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charts/chart23.xml" ContentType="application/vnd.openxmlformats-officedocument.drawingml.chart+xml"/>
  <Override PartName="/word/theme/themeOverride23.xml" ContentType="application/vnd.openxmlformats-officedocument.themeOverride+xml"/>
  <Override PartName="/word/charts/chart24.xml" ContentType="application/vnd.openxmlformats-officedocument.drawingml.chart+xml"/>
  <Override PartName="/word/theme/themeOverride24.xml" ContentType="application/vnd.openxmlformats-officedocument.themeOverride+xml"/>
  <Override PartName="/word/charts/chart25.xml" ContentType="application/vnd.openxmlformats-officedocument.drawingml.chart+xml"/>
  <Override PartName="/word/theme/themeOverride25.xml" ContentType="application/vnd.openxmlformats-officedocument.themeOverride+xml"/>
  <Override PartName="/word/charts/chart26.xml" ContentType="application/vnd.openxmlformats-officedocument.drawingml.chart+xml"/>
  <Override PartName="/word/theme/themeOverride26.xml" ContentType="application/vnd.openxmlformats-officedocument.themeOverride+xml"/>
  <Override PartName="/word/charts/chart27.xml" ContentType="application/vnd.openxmlformats-officedocument.drawingml.chart+xml"/>
  <Override PartName="/word/theme/themeOverride27.xml" ContentType="application/vnd.openxmlformats-officedocument.themeOverride+xml"/>
  <Override PartName="/word/charts/chart28.xml" ContentType="application/vnd.openxmlformats-officedocument.drawingml.chart+xml"/>
  <Override PartName="/word/theme/themeOverride28.xml" ContentType="application/vnd.openxmlformats-officedocument.themeOverride+xml"/>
  <Override PartName="/word/charts/chart29.xml" ContentType="application/vnd.openxmlformats-officedocument.drawingml.chart+xml"/>
  <Override PartName="/word/theme/themeOverride29.xml" ContentType="application/vnd.openxmlformats-officedocument.themeOverride+xml"/>
  <Override PartName="/word/charts/chart30.xml" ContentType="application/vnd.openxmlformats-officedocument.drawingml.chart+xml"/>
  <Override PartName="/word/theme/themeOverride30.xml" ContentType="application/vnd.openxmlformats-officedocument.themeOverride+xml"/>
  <Override PartName="/word/charts/chart31.xml" ContentType="application/vnd.openxmlformats-officedocument.drawingml.chart+xml"/>
  <Override PartName="/word/theme/themeOverride31.xml" ContentType="application/vnd.openxmlformats-officedocument.themeOverride+xml"/>
  <Override PartName="/word/charts/chart32.xml" ContentType="application/vnd.openxmlformats-officedocument.drawingml.chart+xml"/>
  <Override PartName="/word/theme/themeOverride32.xml" ContentType="application/vnd.openxmlformats-officedocument.themeOverride+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AAE" w:rsidRPr="00FE023A" w:rsidRDefault="009C5AAE" w:rsidP="009C5AAE">
      <w:pPr>
        <w:keepNext/>
        <w:keepLines/>
        <w:spacing w:after="32"/>
        <w:ind w:left="10" w:right="86" w:hanging="10"/>
        <w:jc w:val="center"/>
        <w:outlineLvl w:val="0"/>
        <w:rPr>
          <w:rFonts w:ascii="Times New Roman" w:eastAsia="Calibri" w:hAnsi="Times New Roman" w:cs="Times New Roman"/>
          <w:b/>
          <w:color w:val="1F497D"/>
          <w:sz w:val="40"/>
          <w:szCs w:val="40"/>
        </w:rPr>
      </w:pPr>
    </w:p>
    <w:p w:rsidR="00FE023A" w:rsidRPr="00FE023A" w:rsidRDefault="00FE023A" w:rsidP="009C5AAE">
      <w:pPr>
        <w:keepNext/>
        <w:keepLines/>
        <w:spacing w:after="32"/>
        <w:ind w:left="10" w:right="86" w:hanging="10"/>
        <w:jc w:val="center"/>
        <w:outlineLvl w:val="0"/>
        <w:rPr>
          <w:rFonts w:ascii="Times New Roman" w:eastAsia="Calibri" w:hAnsi="Times New Roman" w:cs="Times New Roman"/>
          <w:b/>
          <w:color w:val="1F497D"/>
          <w:sz w:val="40"/>
          <w:szCs w:val="40"/>
        </w:rPr>
      </w:pPr>
      <w:bookmarkStart w:id="0" w:name="_Toc18329979"/>
      <w:r w:rsidRPr="00FE023A">
        <w:rPr>
          <w:rFonts w:ascii="Times New Roman" w:eastAsia="Calibri" w:hAnsi="Times New Roman" w:cs="Times New Roman"/>
          <w:b/>
          <w:color w:val="1F497D"/>
          <w:sz w:val="40"/>
          <w:szCs w:val="40"/>
        </w:rPr>
        <w:t>Internship Report</w:t>
      </w:r>
    </w:p>
    <w:p w:rsidR="00FE023A" w:rsidRPr="00FE023A" w:rsidRDefault="00FE023A" w:rsidP="009C5AAE">
      <w:pPr>
        <w:keepNext/>
        <w:keepLines/>
        <w:spacing w:after="32"/>
        <w:ind w:left="10" w:right="86" w:hanging="10"/>
        <w:jc w:val="center"/>
        <w:outlineLvl w:val="0"/>
        <w:rPr>
          <w:rFonts w:ascii="Times New Roman" w:eastAsia="Calibri" w:hAnsi="Times New Roman" w:cs="Times New Roman"/>
          <w:b/>
          <w:color w:val="1F497D"/>
          <w:sz w:val="40"/>
          <w:szCs w:val="40"/>
        </w:rPr>
      </w:pPr>
      <w:r w:rsidRPr="00FE023A">
        <w:rPr>
          <w:rFonts w:ascii="Times New Roman" w:eastAsia="Calibri" w:hAnsi="Times New Roman" w:cs="Times New Roman"/>
          <w:b/>
          <w:color w:val="1F497D"/>
          <w:sz w:val="40"/>
          <w:szCs w:val="40"/>
        </w:rPr>
        <w:t>On</w:t>
      </w:r>
    </w:p>
    <w:p w:rsidR="00FE023A" w:rsidRPr="00FE023A" w:rsidRDefault="00FE023A" w:rsidP="009C5AAE">
      <w:pPr>
        <w:keepNext/>
        <w:keepLines/>
        <w:spacing w:after="32"/>
        <w:ind w:left="10" w:right="86" w:hanging="10"/>
        <w:jc w:val="center"/>
        <w:outlineLvl w:val="0"/>
        <w:rPr>
          <w:rFonts w:ascii="Times New Roman" w:eastAsia="Calibri" w:hAnsi="Times New Roman" w:cs="Times New Roman"/>
          <w:b/>
          <w:color w:val="1F497D"/>
          <w:sz w:val="40"/>
          <w:szCs w:val="40"/>
        </w:rPr>
      </w:pPr>
    </w:p>
    <w:p w:rsidR="009C5AAE" w:rsidRPr="00FE023A" w:rsidRDefault="009C5AAE" w:rsidP="009C5AAE">
      <w:pPr>
        <w:keepNext/>
        <w:keepLines/>
        <w:spacing w:after="32"/>
        <w:ind w:left="10" w:right="86" w:hanging="10"/>
        <w:jc w:val="center"/>
        <w:outlineLvl w:val="0"/>
        <w:rPr>
          <w:rFonts w:ascii="Times New Roman" w:eastAsia="Calibri" w:hAnsi="Times New Roman" w:cs="Times New Roman"/>
          <w:b/>
          <w:color w:val="1F497D"/>
          <w:sz w:val="40"/>
          <w:szCs w:val="40"/>
        </w:rPr>
      </w:pPr>
      <w:r w:rsidRPr="00FE023A">
        <w:rPr>
          <w:rFonts w:ascii="Times New Roman" w:eastAsia="Calibri" w:hAnsi="Times New Roman" w:cs="Times New Roman"/>
          <w:b/>
          <w:color w:val="1F497D"/>
          <w:sz w:val="40"/>
          <w:szCs w:val="40"/>
        </w:rPr>
        <w:t>Financial Performance Analysis of IDLC</w:t>
      </w:r>
      <w:bookmarkEnd w:id="0"/>
    </w:p>
    <w:p w:rsidR="009C5AAE" w:rsidRPr="005042EC" w:rsidRDefault="009C5AAE" w:rsidP="009C5AAE">
      <w:pPr>
        <w:keepNext/>
        <w:keepLines/>
        <w:spacing w:after="32"/>
        <w:ind w:right="86"/>
        <w:outlineLvl w:val="0"/>
        <w:rPr>
          <w:rFonts w:ascii="Arial" w:eastAsia="Calibri" w:hAnsi="Arial" w:cs="Arial"/>
          <w:b/>
          <w:color w:val="000000"/>
          <w:sz w:val="36"/>
          <w:szCs w:val="36"/>
        </w:rPr>
      </w:pPr>
      <w:bookmarkStart w:id="1" w:name="_Toc18329980"/>
      <w:r w:rsidRPr="005042EC">
        <w:rPr>
          <w:rFonts w:ascii="Arial" w:hAnsi="Arial" w:cs="Arial"/>
          <w:noProof/>
        </w:rPr>
        <w:drawing>
          <wp:inline distT="0" distB="0" distL="0" distR="0" wp14:anchorId="3A16F505" wp14:editId="1DC28621">
            <wp:extent cx="5752214" cy="3342005"/>
            <wp:effectExtent l="0" t="0" r="1270" b="0"/>
            <wp:docPr id="4" name="Picture 4"/>
            <wp:cNvGraphicFramePr/>
            <a:graphic xmlns:a="http://schemas.openxmlformats.org/drawingml/2006/main">
              <a:graphicData uri="http://schemas.openxmlformats.org/drawingml/2006/picture">
                <pic:pic xmlns:pic="http://schemas.openxmlformats.org/drawingml/2006/picture">
                  <pic:nvPicPr>
                    <pic:cNvPr id="2159" name="Picture 2159"/>
                    <pic:cNvPicPr/>
                  </pic:nvPicPr>
                  <pic:blipFill>
                    <a:blip r:embed="rId9"/>
                    <a:stretch>
                      <a:fillRect/>
                    </a:stretch>
                  </pic:blipFill>
                  <pic:spPr>
                    <a:xfrm>
                      <a:off x="0" y="0"/>
                      <a:ext cx="5754088" cy="3343094"/>
                    </a:xfrm>
                    <a:prstGeom prst="rect">
                      <a:avLst/>
                    </a:prstGeom>
                  </pic:spPr>
                </pic:pic>
              </a:graphicData>
            </a:graphic>
          </wp:inline>
        </w:drawing>
      </w:r>
      <w:bookmarkEnd w:id="1"/>
    </w:p>
    <w:p w:rsidR="009C5AAE" w:rsidRPr="005042EC" w:rsidRDefault="009C5AAE" w:rsidP="009C5AAE">
      <w:pPr>
        <w:keepNext/>
        <w:keepLines/>
        <w:spacing w:after="32"/>
        <w:ind w:right="86"/>
        <w:outlineLvl w:val="0"/>
        <w:rPr>
          <w:rFonts w:ascii="Arial" w:eastAsia="Calibri" w:hAnsi="Arial" w:cs="Arial"/>
          <w:b/>
          <w:color w:val="000000"/>
          <w:sz w:val="36"/>
          <w:szCs w:val="36"/>
        </w:rPr>
      </w:pPr>
      <w:r w:rsidRPr="005042EC">
        <w:rPr>
          <w:rFonts w:ascii="Arial" w:eastAsia="Calibri" w:hAnsi="Arial" w:cs="Arial"/>
          <w:b/>
          <w:color w:val="000000"/>
          <w:sz w:val="36"/>
          <w:szCs w:val="36"/>
        </w:rPr>
        <w:t xml:space="preserve">                      </w:t>
      </w:r>
      <w:bookmarkStart w:id="2" w:name="_Toc18329981"/>
      <w:r w:rsidRPr="005042EC">
        <w:rPr>
          <w:rFonts w:ascii="Arial" w:eastAsia="Calibri" w:hAnsi="Arial" w:cs="Arial"/>
          <w:noProof/>
          <w:color w:val="000000"/>
          <w:sz w:val="24"/>
        </w:rPr>
        <w:drawing>
          <wp:inline distT="0" distB="0" distL="0" distR="0" wp14:anchorId="3D8ADCB7" wp14:editId="13422A3B">
            <wp:extent cx="3525398" cy="1542362"/>
            <wp:effectExtent l="0" t="0" r="0" b="1270"/>
            <wp:docPr id="6" name="Picture 6"/>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10"/>
                    <a:stretch>
                      <a:fillRect/>
                    </a:stretch>
                  </pic:blipFill>
                  <pic:spPr>
                    <a:xfrm>
                      <a:off x="0" y="0"/>
                      <a:ext cx="3549124" cy="1552742"/>
                    </a:xfrm>
                    <a:prstGeom prst="rect">
                      <a:avLst/>
                    </a:prstGeom>
                  </pic:spPr>
                </pic:pic>
              </a:graphicData>
            </a:graphic>
          </wp:inline>
        </w:drawing>
      </w:r>
      <w:bookmarkEnd w:id="2"/>
    </w:p>
    <w:p w:rsidR="009C5AAE" w:rsidRPr="005042EC" w:rsidRDefault="009C5AAE" w:rsidP="009C5AAE">
      <w:pPr>
        <w:keepNext/>
        <w:keepLines/>
        <w:spacing w:after="32"/>
        <w:ind w:right="86"/>
        <w:outlineLvl w:val="0"/>
        <w:rPr>
          <w:rFonts w:ascii="Arial" w:eastAsia="Calibri" w:hAnsi="Arial" w:cs="Arial"/>
          <w:b/>
          <w:color w:val="000000"/>
          <w:sz w:val="36"/>
          <w:szCs w:val="36"/>
        </w:rPr>
      </w:pPr>
    </w:p>
    <w:p w:rsidR="009C5AAE" w:rsidRPr="005042EC" w:rsidRDefault="009C5AAE" w:rsidP="009C5AAE">
      <w:pPr>
        <w:keepNext/>
        <w:keepLines/>
        <w:spacing w:after="32"/>
        <w:ind w:right="86"/>
        <w:outlineLvl w:val="0"/>
        <w:rPr>
          <w:rFonts w:ascii="Arial" w:eastAsia="Calibri" w:hAnsi="Arial" w:cs="Arial"/>
          <w:b/>
          <w:color w:val="000000"/>
          <w:sz w:val="36"/>
          <w:szCs w:val="36"/>
        </w:rPr>
      </w:pPr>
    </w:p>
    <w:p w:rsidR="009C5AAE" w:rsidRPr="005042EC" w:rsidRDefault="009C5AAE" w:rsidP="009C5AAE">
      <w:pPr>
        <w:spacing w:after="135"/>
        <w:ind w:right="3"/>
        <w:jc w:val="center"/>
        <w:rPr>
          <w:rFonts w:ascii="Arial" w:eastAsia="Calibri" w:hAnsi="Arial" w:cs="Arial"/>
          <w:color w:val="943634" w:themeColor="accent2" w:themeShade="BF"/>
          <w:sz w:val="52"/>
          <w:szCs w:val="52"/>
        </w:rPr>
      </w:pPr>
      <w:r w:rsidRPr="005042EC">
        <w:rPr>
          <w:rFonts w:ascii="Arial" w:eastAsia="Calibri" w:hAnsi="Arial" w:cs="Arial"/>
          <w:b/>
          <w:color w:val="943634" w:themeColor="accent2" w:themeShade="BF"/>
          <w:sz w:val="52"/>
          <w:szCs w:val="52"/>
        </w:rPr>
        <w:t>United International University</w:t>
      </w:r>
    </w:p>
    <w:p w:rsidR="009C5AAE" w:rsidRPr="005042EC" w:rsidRDefault="009C5AAE" w:rsidP="009C5AAE">
      <w:pPr>
        <w:keepNext/>
        <w:keepLines/>
        <w:spacing w:after="32"/>
        <w:ind w:right="86"/>
        <w:outlineLvl w:val="0"/>
        <w:rPr>
          <w:rFonts w:ascii="Arial" w:eastAsia="Calibri" w:hAnsi="Arial" w:cs="Arial"/>
          <w:b/>
          <w:color w:val="000000"/>
          <w:sz w:val="36"/>
          <w:szCs w:val="36"/>
        </w:rPr>
      </w:pPr>
    </w:p>
    <w:p w:rsidR="00FE023A" w:rsidRPr="00FE023A" w:rsidRDefault="00FE023A" w:rsidP="00FE023A">
      <w:pPr>
        <w:keepNext/>
        <w:keepLines/>
        <w:spacing w:after="32"/>
        <w:ind w:left="10" w:right="86" w:hanging="10"/>
        <w:jc w:val="center"/>
        <w:outlineLvl w:val="0"/>
        <w:rPr>
          <w:rFonts w:ascii="Times New Roman" w:eastAsia="Calibri" w:hAnsi="Times New Roman" w:cs="Times New Roman"/>
          <w:color w:val="1F497D"/>
          <w:sz w:val="40"/>
          <w:szCs w:val="40"/>
        </w:rPr>
      </w:pPr>
      <w:bookmarkStart w:id="3" w:name="_Toc18329983"/>
      <w:r w:rsidRPr="00FE023A">
        <w:rPr>
          <w:rFonts w:ascii="Times New Roman" w:eastAsia="Calibri" w:hAnsi="Times New Roman" w:cs="Times New Roman"/>
          <w:color w:val="1F497D"/>
          <w:sz w:val="40"/>
          <w:szCs w:val="40"/>
        </w:rPr>
        <w:t>Internship Report</w:t>
      </w:r>
    </w:p>
    <w:p w:rsidR="00FE023A" w:rsidRPr="00FE023A" w:rsidRDefault="00FE023A" w:rsidP="00FE023A">
      <w:pPr>
        <w:keepNext/>
        <w:keepLines/>
        <w:spacing w:after="32"/>
        <w:ind w:left="10" w:right="86" w:hanging="10"/>
        <w:jc w:val="center"/>
        <w:outlineLvl w:val="0"/>
        <w:rPr>
          <w:rFonts w:ascii="Times New Roman" w:eastAsia="Calibri" w:hAnsi="Times New Roman" w:cs="Times New Roman"/>
          <w:color w:val="1F497D"/>
          <w:sz w:val="40"/>
          <w:szCs w:val="40"/>
        </w:rPr>
      </w:pPr>
      <w:r w:rsidRPr="00FE023A">
        <w:rPr>
          <w:rFonts w:ascii="Times New Roman" w:eastAsia="Calibri" w:hAnsi="Times New Roman" w:cs="Times New Roman"/>
          <w:color w:val="1F497D"/>
          <w:sz w:val="40"/>
          <w:szCs w:val="40"/>
        </w:rPr>
        <w:t>On</w:t>
      </w:r>
    </w:p>
    <w:p w:rsidR="00FE023A" w:rsidRPr="00FE023A" w:rsidRDefault="00FE023A" w:rsidP="00FE023A">
      <w:pPr>
        <w:keepNext/>
        <w:keepLines/>
        <w:spacing w:after="32"/>
        <w:ind w:left="10" w:right="86" w:hanging="10"/>
        <w:jc w:val="center"/>
        <w:outlineLvl w:val="0"/>
        <w:rPr>
          <w:rFonts w:ascii="Times New Roman" w:eastAsia="Calibri" w:hAnsi="Times New Roman" w:cs="Times New Roman"/>
          <w:b/>
          <w:color w:val="1F497D"/>
          <w:sz w:val="40"/>
          <w:szCs w:val="40"/>
        </w:rPr>
      </w:pPr>
    </w:p>
    <w:p w:rsidR="00FE023A" w:rsidRPr="00FE023A" w:rsidRDefault="00FE023A" w:rsidP="00FE023A">
      <w:pPr>
        <w:keepNext/>
        <w:keepLines/>
        <w:spacing w:after="32"/>
        <w:ind w:left="10" w:right="86" w:hanging="10"/>
        <w:jc w:val="center"/>
        <w:outlineLvl w:val="0"/>
        <w:rPr>
          <w:rFonts w:ascii="Times New Roman" w:eastAsia="Calibri" w:hAnsi="Times New Roman" w:cs="Times New Roman"/>
          <w:b/>
          <w:color w:val="1F497D"/>
          <w:sz w:val="40"/>
          <w:szCs w:val="40"/>
        </w:rPr>
      </w:pPr>
      <w:r w:rsidRPr="00FE023A">
        <w:rPr>
          <w:rFonts w:ascii="Times New Roman" w:eastAsia="Calibri" w:hAnsi="Times New Roman" w:cs="Times New Roman"/>
          <w:b/>
          <w:color w:val="1F497D"/>
          <w:sz w:val="40"/>
          <w:szCs w:val="40"/>
        </w:rPr>
        <w:t>Financial Performance Analysis of IDLC</w:t>
      </w:r>
      <w:r>
        <w:rPr>
          <w:rFonts w:ascii="Times New Roman" w:eastAsia="Calibri" w:hAnsi="Times New Roman" w:cs="Times New Roman"/>
          <w:b/>
          <w:color w:val="1F497D"/>
          <w:sz w:val="40"/>
          <w:szCs w:val="40"/>
        </w:rPr>
        <w:t xml:space="preserve"> Limited</w:t>
      </w:r>
    </w:p>
    <w:p w:rsidR="00FE023A" w:rsidRDefault="00FE023A" w:rsidP="009C5AAE">
      <w:pPr>
        <w:keepNext/>
        <w:keepLines/>
        <w:spacing w:after="154"/>
        <w:ind w:left="10" w:right="86" w:hanging="10"/>
        <w:jc w:val="center"/>
        <w:outlineLvl w:val="2"/>
        <w:rPr>
          <w:rFonts w:ascii="Arial" w:eastAsia="Calibri" w:hAnsi="Arial" w:cs="Arial"/>
          <w:b/>
          <w:color w:val="1F497D"/>
          <w:sz w:val="36"/>
          <w:u w:val="single" w:color="1F497D"/>
        </w:rPr>
      </w:pPr>
    </w:p>
    <w:p w:rsidR="009C5AAE" w:rsidRPr="00ED38E8" w:rsidRDefault="009C5AAE" w:rsidP="009C5AAE">
      <w:pPr>
        <w:keepNext/>
        <w:keepLines/>
        <w:spacing w:after="154"/>
        <w:ind w:left="10" w:right="86" w:hanging="10"/>
        <w:jc w:val="center"/>
        <w:outlineLvl w:val="2"/>
        <w:rPr>
          <w:rFonts w:ascii="Arial" w:eastAsia="Calibri" w:hAnsi="Arial" w:cs="Arial"/>
          <w:b/>
          <w:color w:val="1F497D"/>
          <w:sz w:val="36"/>
        </w:rPr>
      </w:pPr>
      <w:r w:rsidRPr="00ED38E8">
        <w:rPr>
          <w:rFonts w:ascii="Arial" w:eastAsia="Calibri" w:hAnsi="Arial" w:cs="Arial"/>
          <w:b/>
          <w:color w:val="1F497D"/>
          <w:sz w:val="36"/>
          <w:u w:val="single" w:color="1F497D"/>
        </w:rPr>
        <w:t>Submitted To</w:t>
      </w:r>
      <w:bookmarkEnd w:id="3"/>
      <w:r w:rsidRPr="00ED38E8">
        <w:rPr>
          <w:rFonts w:ascii="Arial" w:eastAsia="Calibri" w:hAnsi="Arial" w:cs="Arial"/>
          <w:b/>
          <w:color w:val="1F497D"/>
          <w:sz w:val="36"/>
        </w:rPr>
        <w:t xml:space="preserve"> </w:t>
      </w:r>
    </w:p>
    <w:p w:rsidR="009C5AAE" w:rsidRPr="00ED38E8" w:rsidRDefault="009C5AAE" w:rsidP="009C5AAE">
      <w:pPr>
        <w:keepNext/>
        <w:keepLines/>
        <w:spacing w:after="154"/>
        <w:ind w:left="10" w:right="86" w:hanging="10"/>
        <w:jc w:val="center"/>
        <w:outlineLvl w:val="2"/>
        <w:rPr>
          <w:rFonts w:ascii="Arial" w:eastAsia="Calibri" w:hAnsi="Arial" w:cs="Arial"/>
          <w:color w:val="000000" w:themeColor="text1"/>
          <w:sz w:val="28"/>
          <w:szCs w:val="28"/>
        </w:rPr>
      </w:pPr>
      <w:bookmarkStart w:id="4" w:name="_Toc18329984"/>
      <w:r w:rsidRPr="00ED38E8">
        <w:rPr>
          <w:rFonts w:ascii="Arial" w:eastAsia="Calibri" w:hAnsi="Arial" w:cs="Arial"/>
          <w:color w:val="000000" w:themeColor="text1"/>
          <w:sz w:val="28"/>
          <w:szCs w:val="28"/>
        </w:rPr>
        <w:t xml:space="preserve">Mr. Muhammad </w:t>
      </w:r>
      <w:proofErr w:type="spellStart"/>
      <w:r w:rsidRPr="00ED38E8">
        <w:rPr>
          <w:rFonts w:ascii="Arial" w:eastAsia="Calibri" w:hAnsi="Arial" w:cs="Arial"/>
          <w:color w:val="000000" w:themeColor="text1"/>
          <w:sz w:val="28"/>
          <w:szCs w:val="28"/>
        </w:rPr>
        <w:t>Enamul</w:t>
      </w:r>
      <w:proofErr w:type="spellEnd"/>
      <w:r w:rsidRPr="00ED38E8">
        <w:rPr>
          <w:rFonts w:ascii="Arial" w:eastAsia="Calibri" w:hAnsi="Arial" w:cs="Arial"/>
          <w:color w:val="000000" w:themeColor="text1"/>
          <w:sz w:val="28"/>
          <w:szCs w:val="28"/>
        </w:rPr>
        <w:t xml:space="preserve"> </w:t>
      </w:r>
      <w:proofErr w:type="spellStart"/>
      <w:r w:rsidRPr="00ED38E8">
        <w:rPr>
          <w:rFonts w:ascii="Arial" w:eastAsia="Calibri" w:hAnsi="Arial" w:cs="Arial"/>
          <w:color w:val="000000" w:themeColor="text1"/>
          <w:sz w:val="28"/>
          <w:szCs w:val="28"/>
        </w:rPr>
        <w:t>Haque</w:t>
      </w:r>
      <w:bookmarkEnd w:id="4"/>
      <w:proofErr w:type="spellEnd"/>
    </w:p>
    <w:p w:rsidR="009C5AAE" w:rsidRPr="00ED38E8" w:rsidRDefault="009C5AAE" w:rsidP="009C5AAE">
      <w:pPr>
        <w:keepNext/>
        <w:keepLines/>
        <w:spacing w:after="154"/>
        <w:ind w:left="10" w:right="86" w:hanging="10"/>
        <w:jc w:val="center"/>
        <w:outlineLvl w:val="2"/>
        <w:rPr>
          <w:rFonts w:ascii="Arial" w:eastAsia="Calibri" w:hAnsi="Arial" w:cs="Arial"/>
          <w:b/>
          <w:color w:val="000000" w:themeColor="text1"/>
          <w:sz w:val="28"/>
          <w:szCs w:val="28"/>
        </w:rPr>
      </w:pPr>
      <w:bookmarkStart w:id="5" w:name="_Toc18329985"/>
      <w:r w:rsidRPr="00ED38E8">
        <w:rPr>
          <w:rFonts w:ascii="Arial" w:eastAsia="Calibri" w:hAnsi="Arial" w:cs="Arial"/>
          <w:color w:val="000000" w:themeColor="text1"/>
          <w:sz w:val="28"/>
          <w:szCs w:val="28"/>
        </w:rPr>
        <w:t>Assistant professor</w:t>
      </w:r>
      <w:bookmarkEnd w:id="5"/>
    </w:p>
    <w:p w:rsidR="009C5AAE" w:rsidRPr="00ED38E8" w:rsidRDefault="009C5AAE" w:rsidP="009C5AAE">
      <w:pPr>
        <w:spacing w:after="283"/>
        <w:ind w:left="10" w:right="90" w:hanging="10"/>
        <w:jc w:val="center"/>
        <w:rPr>
          <w:rFonts w:ascii="Arial" w:eastAsia="Calibri" w:hAnsi="Arial" w:cs="Arial"/>
          <w:color w:val="000000"/>
          <w:sz w:val="28"/>
          <w:szCs w:val="28"/>
        </w:rPr>
      </w:pPr>
      <w:r w:rsidRPr="00ED38E8">
        <w:rPr>
          <w:rFonts w:ascii="Arial" w:eastAsia="Calibri" w:hAnsi="Arial" w:cs="Arial"/>
          <w:color w:val="000000"/>
          <w:sz w:val="28"/>
          <w:szCs w:val="28"/>
        </w:rPr>
        <w:t xml:space="preserve">School of Business and Economics </w:t>
      </w:r>
    </w:p>
    <w:p w:rsidR="009C5AAE" w:rsidRPr="00ED38E8" w:rsidRDefault="009C5AAE" w:rsidP="009C5AAE">
      <w:pPr>
        <w:spacing w:after="224"/>
        <w:ind w:left="10" w:right="91" w:hanging="10"/>
        <w:jc w:val="center"/>
        <w:rPr>
          <w:rFonts w:ascii="Arial" w:eastAsia="Calibri" w:hAnsi="Arial" w:cs="Arial"/>
          <w:color w:val="000000"/>
          <w:sz w:val="28"/>
          <w:szCs w:val="28"/>
        </w:rPr>
      </w:pPr>
      <w:r w:rsidRPr="00ED38E8">
        <w:rPr>
          <w:rFonts w:ascii="Arial" w:eastAsia="Calibri" w:hAnsi="Arial" w:cs="Arial"/>
          <w:color w:val="000000"/>
          <w:sz w:val="28"/>
          <w:szCs w:val="28"/>
        </w:rPr>
        <w:t>United International University</w:t>
      </w:r>
      <w:r w:rsidRPr="00ED38E8">
        <w:rPr>
          <w:rFonts w:ascii="Arial" w:eastAsia="Calibri" w:hAnsi="Arial" w:cs="Arial"/>
          <w:b/>
          <w:color w:val="1F497D"/>
          <w:sz w:val="28"/>
          <w:szCs w:val="28"/>
        </w:rPr>
        <w:t xml:space="preserve"> </w:t>
      </w:r>
    </w:p>
    <w:p w:rsidR="009C5AAE" w:rsidRPr="00ED38E8" w:rsidRDefault="009C5AAE" w:rsidP="009C5AAE">
      <w:pPr>
        <w:spacing w:after="231"/>
        <w:ind w:left="1"/>
        <w:jc w:val="center"/>
        <w:rPr>
          <w:rFonts w:ascii="Arial" w:eastAsia="Calibri" w:hAnsi="Arial" w:cs="Arial"/>
          <w:color w:val="000000"/>
          <w:sz w:val="24"/>
        </w:rPr>
      </w:pPr>
      <w:r w:rsidRPr="00ED38E8">
        <w:rPr>
          <w:rFonts w:ascii="Arial" w:eastAsia="Calibri" w:hAnsi="Arial" w:cs="Arial"/>
          <w:b/>
          <w:color w:val="1F497D"/>
          <w:sz w:val="36"/>
        </w:rPr>
        <w:t xml:space="preserve"> </w:t>
      </w:r>
    </w:p>
    <w:p w:rsidR="009C5AAE" w:rsidRPr="00ED38E8" w:rsidRDefault="009C5AAE" w:rsidP="009C5AAE">
      <w:pPr>
        <w:keepNext/>
        <w:keepLines/>
        <w:spacing w:after="154"/>
        <w:ind w:left="10" w:right="89" w:hanging="10"/>
        <w:jc w:val="center"/>
        <w:outlineLvl w:val="2"/>
        <w:rPr>
          <w:rFonts w:ascii="Arial" w:eastAsia="Calibri" w:hAnsi="Arial" w:cs="Arial"/>
          <w:b/>
          <w:color w:val="1F497D"/>
          <w:sz w:val="32"/>
        </w:rPr>
      </w:pPr>
      <w:bookmarkStart w:id="6" w:name="_Toc18329986"/>
      <w:r w:rsidRPr="00ED38E8">
        <w:rPr>
          <w:rFonts w:ascii="Arial" w:eastAsia="Calibri" w:hAnsi="Arial" w:cs="Arial"/>
          <w:b/>
          <w:color w:val="1F497D"/>
          <w:sz w:val="36"/>
          <w:u w:val="single" w:color="1F497D"/>
        </w:rPr>
        <w:t>Submitted By</w:t>
      </w:r>
      <w:bookmarkEnd w:id="6"/>
      <w:r w:rsidRPr="00ED38E8">
        <w:rPr>
          <w:rFonts w:ascii="Arial" w:eastAsia="Calibri" w:hAnsi="Arial" w:cs="Arial"/>
          <w:b/>
          <w:color w:val="1F497D"/>
          <w:sz w:val="36"/>
        </w:rPr>
        <w:t xml:space="preserve"> </w:t>
      </w:r>
    </w:p>
    <w:p w:rsidR="009C5AAE" w:rsidRPr="00ED38E8" w:rsidRDefault="009C5AAE" w:rsidP="009C5AAE">
      <w:pPr>
        <w:spacing w:after="224"/>
        <w:ind w:left="10" w:right="92" w:hanging="10"/>
        <w:jc w:val="center"/>
        <w:rPr>
          <w:rFonts w:ascii="Arial" w:eastAsia="Calibri" w:hAnsi="Arial" w:cs="Arial"/>
          <w:color w:val="000000"/>
          <w:sz w:val="24"/>
        </w:rPr>
      </w:pPr>
      <w:r w:rsidRPr="00ED38E8">
        <w:rPr>
          <w:rFonts w:ascii="Arial" w:eastAsia="Calibri" w:hAnsi="Arial" w:cs="Arial"/>
          <w:color w:val="000000"/>
          <w:sz w:val="28"/>
        </w:rPr>
        <w:t>Mst. Sharmin Akter</w:t>
      </w:r>
    </w:p>
    <w:p w:rsidR="009C5AAE" w:rsidRPr="00ED38E8" w:rsidRDefault="009C5AAE" w:rsidP="009C5AAE">
      <w:pPr>
        <w:spacing w:after="224"/>
        <w:ind w:left="10" w:right="89" w:hanging="10"/>
        <w:jc w:val="center"/>
        <w:rPr>
          <w:rFonts w:ascii="Arial" w:eastAsia="Calibri" w:hAnsi="Arial" w:cs="Arial"/>
          <w:color w:val="000000"/>
          <w:sz w:val="24"/>
        </w:rPr>
      </w:pPr>
      <w:r w:rsidRPr="00ED38E8">
        <w:rPr>
          <w:rFonts w:ascii="Arial" w:eastAsia="Calibri" w:hAnsi="Arial" w:cs="Arial"/>
          <w:color w:val="000000"/>
          <w:sz w:val="28"/>
        </w:rPr>
        <w:t>ID: 111-151-433</w:t>
      </w:r>
    </w:p>
    <w:p w:rsidR="009C5AAE" w:rsidRPr="00ED38E8" w:rsidRDefault="009C5AAE" w:rsidP="009C5AAE">
      <w:pPr>
        <w:spacing w:after="224"/>
        <w:ind w:left="10" w:right="90" w:hanging="10"/>
        <w:jc w:val="center"/>
        <w:rPr>
          <w:rFonts w:ascii="Arial" w:eastAsia="Calibri" w:hAnsi="Arial" w:cs="Arial"/>
          <w:color w:val="000000"/>
          <w:sz w:val="24"/>
        </w:rPr>
      </w:pPr>
      <w:r w:rsidRPr="00ED38E8">
        <w:rPr>
          <w:rFonts w:ascii="Arial" w:eastAsia="Calibri" w:hAnsi="Arial" w:cs="Arial"/>
          <w:color w:val="000000"/>
          <w:sz w:val="28"/>
        </w:rPr>
        <w:t xml:space="preserve">School of Business and Economics </w:t>
      </w:r>
    </w:p>
    <w:p w:rsidR="009C5AAE" w:rsidRPr="00ED38E8" w:rsidRDefault="009C5AAE" w:rsidP="009C5AAE">
      <w:pPr>
        <w:spacing w:after="272"/>
        <w:ind w:left="10" w:right="96" w:hanging="10"/>
        <w:jc w:val="center"/>
        <w:rPr>
          <w:rFonts w:ascii="Arial" w:eastAsia="Calibri" w:hAnsi="Arial" w:cs="Arial"/>
          <w:color w:val="000000"/>
          <w:sz w:val="24"/>
        </w:rPr>
      </w:pPr>
      <w:r w:rsidRPr="00ED38E8">
        <w:rPr>
          <w:rFonts w:ascii="Arial" w:eastAsia="Calibri" w:hAnsi="Arial" w:cs="Arial"/>
          <w:color w:val="000000"/>
          <w:sz w:val="28"/>
        </w:rPr>
        <w:t xml:space="preserve">United International University </w:t>
      </w:r>
      <w:r w:rsidRPr="00ED38E8">
        <w:rPr>
          <w:rFonts w:ascii="Arial" w:eastAsia="Calibri" w:hAnsi="Arial" w:cs="Arial"/>
          <w:color w:val="000000"/>
          <w:sz w:val="24"/>
        </w:rPr>
        <w:t xml:space="preserve"> </w:t>
      </w:r>
    </w:p>
    <w:p w:rsidR="009C5AAE" w:rsidRPr="00ED38E8" w:rsidRDefault="009C5AAE" w:rsidP="009C5AAE">
      <w:pPr>
        <w:spacing w:after="272"/>
        <w:ind w:left="10" w:right="96" w:hanging="10"/>
        <w:jc w:val="center"/>
        <w:rPr>
          <w:rFonts w:ascii="Arial" w:eastAsia="Calibri" w:hAnsi="Arial" w:cs="Arial"/>
          <w:b/>
          <w:color w:val="1F497D"/>
          <w:sz w:val="36"/>
        </w:rPr>
      </w:pPr>
    </w:p>
    <w:p w:rsidR="009C5AAE" w:rsidRPr="00ED38E8" w:rsidRDefault="009C5AAE" w:rsidP="009C5AAE">
      <w:pPr>
        <w:spacing w:after="272"/>
        <w:ind w:left="10" w:right="96" w:hanging="10"/>
        <w:jc w:val="center"/>
        <w:rPr>
          <w:rFonts w:ascii="Arial" w:eastAsia="Calibri" w:hAnsi="Arial" w:cs="Arial"/>
          <w:b/>
          <w:color w:val="1F497D"/>
          <w:sz w:val="36"/>
        </w:rPr>
      </w:pPr>
    </w:p>
    <w:p w:rsidR="009C5AAE" w:rsidRPr="00ED38E8" w:rsidRDefault="009C5AAE" w:rsidP="009C5AAE">
      <w:pPr>
        <w:spacing w:after="272"/>
        <w:ind w:left="10" w:right="96" w:hanging="10"/>
        <w:jc w:val="center"/>
        <w:rPr>
          <w:rFonts w:ascii="Arial" w:eastAsia="Calibri" w:hAnsi="Arial" w:cs="Arial"/>
          <w:b/>
          <w:color w:val="1F497D"/>
          <w:sz w:val="36"/>
        </w:rPr>
      </w:pPr>
    </w:p>
    <w:p w:rsidR="009C5AAE" w:rsidRPr="00FE023A" w:rsidRDefault="009C5AAE" w:rsidP="00FE023A">
      <w:pPr>
        <w:spacing w:after="272"/>
        <w:ind w:left="10" w:right="96" w:hanging="10"/>
        <w:jc w:val="center"/>
        <w:rPr>
          <w:rFonts w:ascii="Arial" w:eastAsia="Calibri" w:hAnsi="Arial" w:cs="Arial"/>
          <w:color w:val="000000"/>
          <w:sz w:val="24"/>
        </w:rPr>
        <w:sectPr w:rsidR="009C5AAE" w:rsidRPr="00FE023A">
          <w:headerReference w:type="even" r:id="rId11"/>
          <w:headerReference w:type="default" r:id="rId12"/>
          <w:footerReference w:type="even" r:id="rId13"/>
          <w:footerReference w:type="default" r:id="rId14"/>
          <w:headerReference w:type="first" r:id="rId15"/>
          <w:footerReference w:type="first" r:id="rId16"/>
          <w:pgSz w:w="12240" w:h="15840"/>
          <w:pgMar w:top="1894" w:right="1355" w:bottom="1438" w:left="1440" w:header="720" w:footer="719" w:gutter="0"/>
          <w:cols w:space="720"/>
        </w:sectPr>
      </w:pPr>
      <w:r w:rsidRPr="00ED38E8">
        <w:rPr>
          <w:rFonts w:ascii="Arial" w:eastAsia="Calibri" w:hAnsi="Arial" w:cs="Arial"/>
          <w:b/>
          <w:color w:val="1F497D"/>
          <w:sz w:val="36"/>
        </w:rPr>
        <w:t>Date of Submission:</w:t>
      </w:r>
      <w:r w:rsidR="009C25A5">
        <w:rPr>
          <w:rFonts w:ascii="Arial" w:eastAsia="Calibri" w:hAnsi="Arial" w:cs="Arial"/>
          <w:b/>
          <w:color w:val="1F497D"/>
          <w:sz w:val="36"/>
        </w:rPr>
        <w:t xml:space="preserve"> </w:t>
      </w:r>
      <w:proofErr w:type="gramStart"/>
      <w:r w:rsidR="009C25A5">
        <w:rPr>
          <w:rFonts w:ascii="Arial" w:eastAsia="Calibri" w:hAnsi="Arial" w:cs="Arial"/>
          <w:b/>
          <w:color w:val="1F497D"/>
          <w:sz w:val="36"/>
        </w:rPr>
        <w:t>4</w:t>
      </w:r>
      <w:r w:rsidRPr="00A231F5">
        <w:rPr>
          <w:rFonts w:ascii="Arial" w:eastAsia="Calibri" w:hAnsi="Arial" w:cs="Arial"/>
          <w:b/>
          <w:color w:val="1F497D"/>
          <w:sz w:val="36"/>
          <w:vertAlign w:val="superscript"/>
        </w:rPr>
        <w:t>th</w:t>
      </w:r>
      <w:r>
        <w:rPr>
          <w:rFonts w:ascii="Arial" w:eastAsia="Calibri" w:hAnsi="Arial" w:cs="Arial"/>
          <w:b/>
          <w:color w:val="1F497D"/>
          <w:sz w:val="36"/>
        </w:rPr>
        <w:t xml:space="preserve"> </w:t>
      </w:r>
      <w:r>
        <w:rPr>
          <w:rFonts w:ascii="Arial" w:eastAsia="Calibri" w:hAnsi="Arial" w:cs="Arial"/>
          <w:b/>
          <w:color w:val="1F497D"/>
          <w:sz w:val="36"/>
          <w:vertAlign w:val="superscript"/>
        </w:rPr>
        <w:t xml:space="preserve"> </w:t>
      </w:r>
      <w:r w:rsidR="009C25A5">
        <w:rPr>
          <w:rFonts w:ascii="Arial" w:eastAsia="Calibri" w:hAnsi="Arial" w:cs="Arial"/>
          <w:b/>
          <w:color w:val="1F497D"/>
          <w:sz w:val="36"/>
        </w:rPr>
        <w:t>Dec</w:t>
      </w:r>
      <w:proofErr w:type="gramEnd"/>
      <w:r w:rsidRPr="00ED38E8">
        <w:rPr>
          <w:rFonts w:ascii="Arial" w:eastAsia="Calibri" w:hAnsi="Arial" w:cs="Arial"/>
          <w:b/>
          <w:color w:val="1F497D"/>
          <w:sz w:val="36"/>
        </w:rPr>
        <w:t>, 2019</w:t>
      </w:r>
    </w:p>
    <w:p w:rsidR="009C5AAE" w:rsidRPr="00ED38E8" w:rsidRDefault="009C5AAE" w:rsidP="009C5AAE">
      <w:pPr>
        <w:spacing w:after="200" w:line="276" w:lineRule="auto"/>
        <w:rPr>
          <w:rFonts w:ascii="Arial" w:eastAsia="Calibri" w:hAnsi="Arial" w:cs="Arial"/>
          <w:b/>
          <w:color w:val="000000"/>
          <w:sz w:val="36"/>
          <w:szCs w:val="36"/>
        </w:rPr>
      </w:pPr>
    </w:p>
    <w:p w:rsidR="009C5AAE" w:rsidRPr="00ED38E8" w:rsidRDefault="009C5AAE" w:rsidP="009C5AAE">
      <w:pPr>
        <w:pStyle w:val="Heading1"/>
        <w:jc w:val="center"/>
        <w:rPr>
          <w:rFonts w:ascii="Arial" w:eastAsia="Calibri" w:hAnsi="Arial" w:cs="Arial"/>
          <w:color w:val="1F497D"/>
          <w:sz w:val="36"/>
          <w:szCs w:val="36"/>
        </w:rPr>
      </w:pPr>
      <w:bookmarkStart w:id="7" w:name="_Toc18329987"/>
      <w:r w:rsidRPr="00ED38E8">
        <w:rPr>
          <w:rFonts w:ascii="Arial" w:eastAsia="Calibri" w:hAnsi="Arial" w:cs="Arial"/>
          <w:sz w:val="36"/>
          <w:szCs w:val="36"/>
        </w:rPr>
        <w:t>Letter of Transmittal</w:t>
      </w:r>
      <w:bookmarkEnd w:id="7"/>
    </w:p>
    <w:p w:rsidR="009C5AAE" w:rsidRPr="00ED38E8" w:rsidRDefault="009C5AAE" w:rsidP="009C5AAE">
      <w:pPr>
        <w:spacing w:after="206" w:line="270" w:lineRule="auto"/>
        <w:ind w:left="10" w:right="124" w:hanging="10"/>
        <w:jc w:val="both"/>
        <w:rPr>
          <w:rFonts w:ascii="Arial" w:eastAsia="Calibri" w:hAnsi="Arial" w:cs="Arial"/>
          <w:color w:val="000000"/>
          <w:sz w:val="24"/>
        </w:rPr>
      </w:pPr>
      <w:r>
        <w:rPr>
          <w:rFonts w:ascii="Arial" w:eastAsia="Calibri" w:hAnsi="Arial" w:cs="Arial"/>
          <w:color w:val="000000"/>
          <w:sz w:val="24"/>
        </w:rPr>
        <w:t xml:space="preserve">Date: </w:t>
      </w:r>
      <w:proofErr w:type="gramStart"/>
      <w:r w:rsidR="009C25A5">
        <w:rPr>
          <w:rFonts w:ascii="Arial" w:eastAsia="Calibri" w:hAnsi="Arial" w:cs="Arial"/>
          <w:color w:val="000000"/>
          <w:sz w:val="24"/>
        </w:rPr>
        <w:t>4</w:t>
      </w:r>
      <w:r w:rsidRPr="00A231F5">
        <w:rPr>
          <w:rFonts w:ascii="Arial" w:eastAsia="Calibri" w:hAnsi="Arial" w:cs="Arial"/>
          <w:color w:val="000000"/>
          <w:sz w:val="24"/>
          <w:vertAlign w:val="superscript"/>
        </w:rPr>
        <w:t>th</w:t>
      </w:r>
      <w:r>
        <w:rPr>
          <w:rFonts w:ascii="Arial" w:eastAsia="Calibri" w:hAnsi="Arial" w:cs="Arial"/>
          <w:color w:val="000000"/>
          <w:sz w:val="24"/>
        </w:rPr>
        <w:t xml:space="preserve"> </w:t>
      </w:r>
      <w:r w:rsidRPr="00C80B12">
        <w:rPr>
          <w:rFonts w:ascii="Arial" w:eastAsia="Calibri" w:hAnsi="Arial" w:cs="Arial"/>
          <w:color w:val="000000" w:themeColor="text1"/>
          <w:sz w:val="24"/>
          <w:szCs w:val="24"/>
        </w:rPr>
        <w:t xml:space="preserve"> </w:t>
      </w:r>
      <w:r w:rsidR="009C25A5">
        <w:rPr>
          <w:rFonts w:ascii="Arial" w:eastAsia="Calibri" w:hAnsi="Arial" w:cs="Arial"/>
          <w:color w:val="000000"/>
          <w:sz w:val="24"/>
          <w:szCs w:val="24"/>
        </w:rPr>
        <w:t>Dec</w:t>
      </w:r>
      <w:proofErr w:type="gramEnd"/>
      <w:r w:rsidRPr="00C80B12">
        <w:rPr>
          <w:rFonts w:ascii="Arial" w:eastAsia="Calibri" w:hAnsi="Arial" w:cs="Arial"/>
          <w:color w:val="000000"/>
          <w:sz w:val="24"/>
          <w:szCs w:val="24"/>
        </w:rPr>
        <w:t>, 2019</w:t>
      </w:r>
      <w:r w:rsidRPr="00ED38E8">
        <w:rPr>
          <w:rFonts w:ascii="Arial" w:eastAsia="Calibri" w:hAnsi="Arial" w:cs="Arial"/>
          <w:color w:val="000000"/>
          <w:sz w:val="24"/>
        </w:rPr>
        <w:t xml:space="preserve"> </w:t>
      </w:r>
    </w:p>
    <w:p w:rsidR="009C5AAE" w:rsidRPr="00ED38E8" w:rsidRDefault="009C5AAE" w:rsidP="009C5AAE">
      <w:pPr>
        <w:keepNext/>
        <w:keepLines/>
        <w:spacing w:after="154"/>
        <w:ind w:left="10" w:right="86" w:hanging="10"/>
        <w:outlineLvl w:val="2"/>
        <w:rPr>
          <w:rFonts w:ascii="Arial" w:eastAsia="Calibri" w:hAnsi="Arial" w:cs="Arial"/>
          <w:color w:val="000000" w:themeColor="text1"/>
          <w:sz w:val="28"/>
          <w:szCs w:val="28"/>
        </w:rPr>
      </w:pPr>
      <w:bookmarkStart w:id="8" w:name="_Toc18329988"/>
      <w:r w:rsidRPr="00ED38E8">
        <w:rPr>
          <w:rFonts w:ascii="Arial" w:eastAsia="Calibri" w:hAnsi="Arial" w:cs="Arial"/>
          <w:color w:val="000000" w:themeColor="text1"/>
          <w:sz w:val="28"/>
          <w:szCs w:val="28"/>
        </w:rPr>
        <w:t xml:space="preserve">Mr. Muhammad </w:t>
      </w:r>
      <w:proofErr w:type="spellStart"/>
      <w:r w:rsidRPr="00ED38E8">
        <w:rPr>
          <w:rFonts w:ascii="Arial" w:eastAsia="Calibri" w:hAnsi="Arial" w:cs="Arial"/>
          <w:color w:val="000000" w:themeColor="text1"/>
          <w:sz w:val="28"/>
          <w:szCs w:val="28"/>
        </w:rPr>
        <w:t>Enamul</w:t>
      </w:r>
      <w:proofErr w:type="spellEnd"/>
      <w:r w:rsidRPr="00ED38E8">
        <w:rPr>
          <w:rFonts w:ascii="Arial" w:eastAsia="Calibri" w:hAnsi="Arial" w:cs="Arial"/>
          <w:color w:val="000000" w:themeColor="text1"/>
          <w:sz w:val="28"/>
          <w:szCs w:val="28"/>
        </w:rPr>
        <w:t xml:space="preserve"> </w:t>
      </w:r>
      <w:proofErr w:type="spellStart"/>
      <w:r w:rsidRPr="00ED38E8">
        <w:rPr>
          <w:rFonts w:ascii="Arial" w:eastAsia="Calibri" w:hAnsi="Arial" w:cs="Arial"/>
          <w:color w:val="000000" w:themeColor="text1"/>
          <w:sz w:val="28"/>
          <w:szCs w:val="28"/>
        </w:rPr>
        <w:t>Haque</w:t>
      </w:r>
      <w:bookmarkEnd w:id="8"/>
      <w:proofErr w:type="spellEnd"/>
    </w:p>
    <w:p w:rsidR="009C5AAE" w:rsidRPr="00ED38E8" w:rsidRDefault="009C5AAE" w:rsidP="009C5AAE">
      <w:pPr>
        <w:keepNext/>
        <w:keepLines/>
        <w:spacing w:after="154"/>
        <w:ind w:left="10" w:right="86" w:hanging="10"/>
        <w:outlineLvl w:val="2"/>
        <w:rPr>
          <w:rFonts w:ascii="Arial" w:eastAsia="Calibri" w:hAnsi="Arial" w:cs="Arial"/>
          <w:b/>
          <w:color w:val="000000" w:themeColor="text1"/>
          <w:sz w:val="28"/>
          <w:szCs w:val="28"/>
        </w:rPr>
      </w:pPr>
      <w:bookmarkStart w:id="9" w:name="_Toc18329989"/>
      <w:r w:rsidRPr="00ED38E8">
        <w:rPr>
          <w:rFonts w:ascii="Arial" w:eastAsia="Calibri" w:hAnsi="Arial" w:cs="Arial"/>
          <w:color w:val="000000" w:themeColor="text1"/>
          <w:sz w:val="28"/>
          <w:szCs w:val="28"/>
        </w:rPr>
        <w:t>Assistant professor</w:t>
      </w:r>
      <w:bookmarkEnd w:id="9"/>
    </w:p>
    <w:p w:rsidR="009C5AAE" w:rsidRPr="009779F9" w:rsidRDefault="009C5AAE" w:rsidP="009C5AAE">
      <w:pPr>
        <w:spacing w:after="211" w:line="270" w:lineRule="auto"/>
        <w:ind w:right="124"/>
        <w:jc w:val="both"/>
        <w:rPr>
          <w:rFonts w:ascii="Arial" w:eastAsia="Calibri" w:hAnsi="Arial" w:cs="Arial"/>
          <w:color w:val="000000"/>
        </w:rPr>
      </w:pPr>
      <w:r w:rsidRPr="009779F9">
        <w:rPr>
          <w:rFonts w:ascii="Arial" w:eastAsia="Calibri" w:hAnsi="Arial" w:cs="Arial"/>
          <w:color w:val="000000"/>
        </w:rPr>
        <w:t xml:space="preserve">School of Business and Economics </w:t>
      </w:r>
    </w:p>
    <w:p w:rsidR="009C5AAE" w:rsidRPr="009779F9" w:rsidRDefault="009C5AAE" w:rsidP="009C5AAE">
      <w:pPr>
        <w:spacing w:after="211" w:line="270" w:lineRule="auto"/>
        <w:ind w:left="10" w:right="124" w:hanging="10"/>
        <w:jc w:val="both"/>
        <w:rPr>
          <w:rFonts w:ascii="Arial" w:eastAsia="Calibri" w:hAnsi="Arial" w:cs="Arial"/>
          <w:color w:val="000000"/>
        </w:rPr>
      </w:pPr>
      <w:r w:rsidRPr="009779F9">
        <w:rPr>
          <w:rFonts w:ascii="Arial" w:eastAsia="Calibri" w:hAnsi="Arial" w:cs="Arial"/>
          <w:color w:val="000000"/>
        </w:rPr>
        <w:t xml:space="preserve">United International University </w:t>
      </w:r>
    </w:p>
    <w:p w:rsidR="009C5AAE" w:rsidRPr="009779F9" w:rsidRDefault="009C5AAE" w:rsidP="009C5AAE">
      <w:pPr>
        <w:spacing w:after="211" w:line="270" w:lineRule="auto"/>
        <w:ind w:left="10" w:right="124" w:hanging="10"/>
        <w:jc w:val="both"/>
        <w:rPr>
          <w:rFonts w:ascii="Arial" w:eastAsia="Calibri" w:hAnsi="Arial" w:cs="Arial"/>
          <w:b/>
          <w:color w:val="000000"/>
        </w:rPr>
      </w:pPr>
      <w:r w:rsidRPr="009779F9">
        <w:rPr>
          <w:rFonts w:ascii="Arial" w:eastAsia="Calibri" w:hAnsi="Arial" w:cs="Arial"/>
          <w:color w:val="000000"/>
        </w:rPr>
        <w:t xml:space="preserve">Subject: </w:t>
      </w:r>
      <w:r w:rsidRPr="009779F9">
        <w:rPr>
          <w:rFonts w:ascii="Arial" w:eastAsia="Calibri" w:hAnsi="Arial" w:cs="Arial"/>
          <w:b/>
          <w:color w:val="000000"/>
        </w:rPr>
        <w:t>Submission of Internship Report</w:t>
      </w:r>
    </w:p>
    <w:p w:rsidR="009C5AAE" w:rsidRPr="009779F9" w:rsidRDefault="009C5AAE" w:rsidP="00A63C6D">
      <w:pPr>
        <w:spacing w:after="211" w:line="270" w:lineRule="auto"/>
        <w:ind w:left="10" w:right="124" w:hanging="10"/>
        <w:jc w:val="both"/>
        <w:rPr>
          <w:rFonts w:ascii="Arial" w:eastAsia="Calibri" w:hAnsi="Arial" w:cs="Arial"/>
          <w:color w:val="000000"/>
        </w:rPr>
      </w:pPr>
      <w:r w:rsidRPr="009779F9">
        <w:rPr>
          <w:rFonts w:ascii="Arial" w:eastAsia="Calibri" w:hAnsi="Arial" w:cs="Arial"/>
          <w:color w:val="000000"/>
        </w:rPr>
        <w:t xml:space="preserve">Dear Sir, </w:t>
      </w:r>
    </w:p>
    <w:p w:rsidR="009C5AAE" w:rsidRDefault="00290491" w:rsidP="00A63C6D">
      <w:pPr>
        <w:spacing w:after="222"/>
        <w:jc w:val="both"/>
        <w:rPr>
          <w:rFonts w:ascii="Arial" w:eastAsia="Calibri" w:hAnsi="Arial" w:cs="Arial"/>
          <w:color w:val="000000"/>
        </w:rPr>
      </w:pPr>
      <w:r>
        <w:rPr>
          <w:rFonts w:ascii="Arial" w:eastAsia="Calibri" w:hAnsi="Arial" w:cs="Arial"/>
          <w:color w:val="000000"/>
        </w:rPr>
        <w:t>With due respect, I would like to notify you that I have completed my Internship Report on “Financial performance evaluation on IDLC Finance Limited”. I h</w:t>
      </w:r>
      <w:r w:rsidR="00A63C6D">
        <w:rPr>
          <w:rFonts w:ascii="Arial" w:eastAsia="Calibri" w:hAnsi="Arial" w:cs="Arial"/>
          <w:color w:val="000000"/>
        </w:rPr>
        <w:t>ave completed my report within 4</w:t>
      </w:r>
      <w:r>
        <w:rPr>
          <w:rFonts w:ascii="Arial" w:eastAsia="Calibri" w:hAnsi="Arial" w:cs="Arial"/>
          <w:color w:val="000000"/>
        </w:rPr>
        <w:t xml:space="preserve">month semester period. This report attempts to describe my </w:t>
      </w:r>
      <w:r w:rsidR="00A63C6D">
        <w:rPr>
          <w:rFonts w:ascii="Arial" w:eastAsia="Calibri" w:hAnsi="Arial" w:cs="Arial"/>
          <w:color w:val="000000"/>
        </w:rPr>
        <w:t>knowledge and work experience that I have gained during my internship period in IDLC Finance Limited. I have given my all efforts to gather valid information in order to make the report meaningful and informative to you.</w:t>
      </w:r>
    </w:p>
    <w:p w:rsidR="00A63C6D" w:rsidRPr="009779F9" w:rsidRDefault="00A63C6D" w:rsidP="00A63C6D">
      <w:pPr>
        <w:spacing w:after="222"/>
        <w:jc w:val="both"/>
        <w:rPr>
          <w:rFonts w:ascii="Arial" w:eastAsia="Calibri" w:hAnsi="Arial" w:cs="Arial"/>
          <w:color w:val="000000"/>
        </w:rPr>
      </w:pPr>
      <w:r>
        <w:rPr>
          <w:rFonts w:ascii="Arial" w:eastAsia="Calibri" w:hAnsi="Arial" w:cs="Arial"/>
          <w:color w:val="000000"/>
        </w:rPr>
        <w:t>It will be a great pleasure if you consider my constraints and accept the report.</w:t>
      </w:r>
    </w:p>
    <w:p w:rsidR="009C5AAE" w:rsidRPr="009779F9" w:rsidRDefault="009C5AAE" w:rsidP="009C5AAE">
      <w:pPr>
        <w:spacing w:after="211" w:line="270" w:lineRule="auto"/>
        <w:ind w:left="10" w:right="124" w:hanging="10"/>
        <w:jc w:val="both"/>
        <w:rPr>
          <w:rFonts w:ascii="Arial" w:eastAsia="Calibri" w:hAnsi="Arial" w:cs="Arial"/>
          <w:color w:val="000000"/>
        </w:rPr>
      </w:pPr>
      <w:r w:rsidRPr="009779F9">
        <w:rPr>
          <w:rFonts w:ascii="Arial" w:eastAsia="Calibri" w:hAnsi="Arial" w:cs="Arial"/>
          <w:color w:val="000000"/>
        </w:rPr>
        <w:t xml:space="preserve">Sincerely yours </w:t>
      </w:r>
    </w:p>
    <w:p w:rsidR="009C5AAE" w:rsidRPr="009779F9" w:rsidRDefault="009C5AAE" w:rsidP="009C5AAE">
      <w:pPr>
        <w:spacing w:after="211" w:line="270" w:lineRule="auto"/>
        <w:ind w:left="10" w:right="124" w:hanging="10"/>
        <w:jc w:val="both"/>
        <w:rPr>
          <w:rFonts w:ascii="Arial" w:eastAsia="Calibri" w:hAnsi="Arial" w:cs="Arial"/>
          <w:color w:val="000000"/>
        </w:rPr>
      </w:pPr>
      <w:r w:rsidRPr="009779F9">
        <w:rPr>
          <w:rFonts w:ascii="Arial" w:eastAsia="Calibri" w:hAnsi="Arial" w:cs="Arial"/>
          <w:color w:val="000000"/>
        </w:rPr>
        <w:t xml:space="preserve">……………………………… </w:t>
      </w:r>
    </w:p>
    <w:p w:rsidR="009C5AAE" w:rsidRPr="009779F9" w:rsidRDefault="009C5AAE" w:rsidP="009C5AAE">
      <w:pPr>
        <w:spacing w:after="211" w:line="270" w:lineRule="auto"/>
        <w:ind w:left="10" w:right="124" w:hanging="10"/>
        <w:jc w:val="both"/>
        <w:rPr>
          <w:rFonts w:ascii="Arial" w:eastAsia="Calibri" w:hAnsi="Arial" w:cs="Arial"/>
          <w:color w:val="000000"/>
        </w:rPr>
      </w:pPr>
      <w:r w:rsidRPr="009779F9">
        <w:rPr>
          <w:rFonts w:ascii="Arial" w:eastAsia="Calibri" w:hAnsi="Arial" w:cs="Arial"/>
          <w:color w:val="000000"/>
        </w:rPr>
        <w:t>Mst. Sharmin Akter</w:t>
      </w:r>
    </w:p>
    <w:p w:rsidR="009C5AAE" w:rsidRPr="009779F9" w:rsidRDefault="009C5AAE" w:rsidP="009C5AAE">
      <w:pPr>
        <w:spacing w:after="206" w:line="270" w:lineRule="auto"/>
        <w:ind w:left="10" w:right="124" w:hanging="10"/>
        <w:jc w:val="both"/>
        <w:rPr>
          <w:rFonts w:ascii="Arial" w:eastAsia="Calibri" w:hAnsi="Arial" w:cs="Arial"/>
          <w:color w:val="000000"/>
        </w:rPr>
      </w:pPr>
      <w:r w:rsidRPr="009779F9">
        <w:rPr>
          <w:rFonts w:ascii="Arial" w:eastAsia="Calibri" w:hAnsi="Arial" w:cs="Arial"/>
          <w:color w:val="000000"/>
        </w:rPr>
        <w:t xml:space="preserve">ID: 111-151-433 </w:t>
      </w:r>
    </w:p>
    <w:p w:rsidR="009C5AAE" w:rsidRPr="009779F9" w:rsidRDefault="009C5AAE" w:rsidP="009C5AAE">
      <w:pPr>
        <w:spacing w:after="206" w:line="270" w:lineRule="auto"/>
        <w:ind w:left="10" w:right="124" w:hanging="10"/>
        <w:jc w:val="both"/>
        <w:rPr>
          <w:rFonts w:ascii="Arial" w:eastAsia="Calibri" w:hAnsi="Arial" w:cs="Arial"/>
          <w:color w:val="000000"/>
        </w:rPr>
      </w:pPr>
      <w:r w:rsidRPr="009779F9">
        <w:rPr>
          <w:rFonts w:ascii="Arial" w:eastAsia="Calibri" w:hAnsi="Arial" w:cs="Arial"/>
          <w:color w:val="000000"/>
        </w:rPr>
        <w:t xml:space="preserve">School of Business and Economics </w:t>
      </w:r>
    </w:p>
    <w:p w:rsidR="009C5AAE" w:rsidRPr="009779F9" w:rsidRDefault="009C5AAE" w:rsidP="009C5AAE">
      <w:pPr>
        <w:spacing w:after="31" w:line="270" w:lineRule="auto"/>
        <w:ind w:left="10" w:right="124" w:hanging="10"/>
        <w:jc w:val="both"/>
        <w:rPr>
          <w:rFonts w:ascii="Arial" w:eastAsia="Calibri" w:hAnsi="Arial" w:cs="Arial"/>
          <w:color w:val="000000"/>
        </w:rPr>
      </w:pPr>
      <w:r w:rsidRPr="009779F9">
        <w:rPr>
          <w:rFonts w:ascii="Arial" w:eastAsia="Calibri" w:hAnsi="Arial" w:cs="Arial"/>
          <w:color w:val="000000"/>
        </w:rPr>
        <w:t xml:space="preserve">United International University </w:t>
      </w:r>
    </w:p>
    <w:p w:rsidR="009C5AAE" w:rsidRDefault="009C5AAE" w:rsidP="009C5AAE">
      <w:pPr>
        <w:pStyle w:val="Heading1"/>
        <w:jc w:val="center"/>
        <w:rPr>
          <w:rFonts w:ascii="Arial" w:eastAsia="Calibri" w:hAnsi="Arial" w:cs="Arial"/>
          <w:sz w:val="36"/>
          <w:szCs w:val="36"/>
        </w:rPr>
      </w:pPr>
      <w:r w:rsidRPr="009779F9">
        <w:rPr>
          <w:rFonts w:ascii="Arial" w:eastAsia="Calibri" w:hAnsi="Arial" w:cs="Arial"/>
          <w:sz w:val="22"/>
          <w:szCs w:val="22"/>
        </w:rPr>
        <w:br w:type="page"/>
      </w:r>
      <w:bookmarkStart w:id="10" w:name="_Toc18329990"/>
      <w:r w:rsidRPr="00ED38E8">
        <w:rPr>
          <w:rFonts w:ascii="Arial" w:eastAsia="Calibri" w:hAnsi="Arial" w:cs="Arial"/>
          <w:sz w:val="36"/>
          <w:szCs w:val="36"/>
        </w:rPr>
        <w:lastRenderedPageBreak/>
        <w:t>Acknowledgement</w:t>
      </w:r>
      <w:bookmarkEnd w:id="10"/>
    </w:p>
    <w:p w:rsidR="003A23FB" w:rsidRPr="003A23FB" w:rsidRDefault="003A23FB" w:rsidP="003A23FB"/>
    <w:p w:rsidR="003E59E6" w:rsidRDefault="00A63EAA" w:rsidP="00882048">
      <w:pPr>
        <w:spacing w:after="226"/>
        <w:jc w:val="both"/>
        <w:rPr>
          <w:rFonts w:ascii="Arial" w:eastAsia="Calibri" w:hAnsi="Arial" w:cs="Arial"/>
          <w:color w:val="000000"/>
        </w:rPr>
      </w:pPr>
      <w:r w:rsidRPr="00A63EAA">
        <w:rPr>
          <w:rFonts w:ascii="Arial" w:eastAsia="Calibri" w:hAnsi="Arial" w:cs="Arial"/>
          <w:color w:val="000000"/>
        </w:rPr>
        <w:t>The successful com</w:t>
      </w:r>
      <w:r>
        <w:rPr>
          <w:rFonts w:ascii="Arial" w:eastAsia="Calibri" w:hAnsi="Arial" w:cs="Arial"/>
          <w:color w:val="000000"/>
        </w:rPr>
        <w:t xml:space="preserve">pletion of this report might never be possible in time without the help and suggestion of some person. Then I must express my deep gratitude to my University supervisor and honorable sir </w:t>
      </w:r>
      <w:r w:rsidRPr="009779F9">
        <w:rPr>
          <w:rFonts w:ascii="Arial" w:eastAsia="Calibri" w:hAnsi="Arial" w:cs="Arial"/>
          <w:color w:val="000000"/>
        </w:rPr>
        <w:t xml:space="preserve">Assistant Professor Mr. Mohammad </w:t>
      </w:r>
      <w:proofErr w:type="spellStart"/>
      <w:r w:rsidRPr="009779F9">
        <w:rPr>
          <w:rFonts w:ascii="Arial" w:eastAsia="Calibri" w:hAnsi="Arial" w:cs="Arial"/>
          <w:color w:val="000000"/>
        </w:rPr>
        <w:t>Enamul</w:t>
      </w:r>
      <w:proofErr w:type="spellEnd"/>
      <w:r w:rsidRPr="009779F9">
        <w:rPr>
          <w:rFonts w:ascii="Arial" w:eastAsia="Calibri" w:hAnsi="Arial" w:cs="Arial"/>
          <w:color w:val="000000"/>
        </w:rPr>
        <w:t xml:space="preserve"> </w:t>
      </w:r>
      <w:proofErr w:type="spellStart"/>
      <w:r w:rsidRPr="009779F9">
        <w:rPr>
          <w:rFonts w:ascii="Arial" w:eastAsia="Calibri" w:hAnsi="Arial" w:cs="Arial"/>
          <w:color w:val="000000"/>
        </w:rPr>
        <w:t>Haque</w:t>
      </w:r>
      <w:proofErr w:type="spellEnd"/>
      <w:r>
        <w:rPr>
          <w:rFonts w:ascii="Arial" w:eastAsia="Calibri" w:hAnsi="Arial" w:cs="Arial"/>
          <w:color w:val="000000"/>
        </w:rPr>
        <w:t xml:space="preserve"> for him guidance and instructions in conducting the internship program successfully. Internship program is the mandatory course for all business graduate students. </w:t>
      </w:r>
      <w:r w:rsidR="00E649F9">
        <w:rPr>
          <w:rFonts w:ascii="Arial" w:eastAsia="Calibri" w:hAnsi="Arial" w:cs="Arial"/>
          <w:color w:val="000000"/>
        </w:rPr>
        <w:t>This course helps</w:t>
      </w:r>
      <w:r>
        <w:rPr>
          <w:rFonts w:ascii="Arial" w:eastAsia="Calibri" w:hAnsi="Arial" w:cs="Arial"/>
          <w:color w:val="000000"/>
        </w:rPr>
        <w:t xml:space="preserve"> us to gather practical knowledge engaging in different organizations.</w:t>
      </w:r>
      <w:r w:rsidR="00E649F9">
        <w:rPr>
          <w:rFonts w:ascii="Arial" w:eastAsia="Calibri" w:hAnsi="Arial" w:cs="Arial"/>
          <w:color w:val="000000"/>
        </w:rPr>
        <w:t xml:space="preserve"> For this reasons students get a big chance to compare academic curriculum activities with the actual situation of real working condition. This course helps the students many way to gain knowledge about real business world.</w:t>
      </w:r>
      <w:r w:rsidR="003E59E6">
        <w:rPr>
          <w:rFonts w:ascii="Arial" w:eastAsia="Calibri" w:hAnsi="Arial" w:cs="Arial"/>
          <w:color w:val="000000"/>
        </w:rPr>
        <w:t xml:space="preserve"> Students are getting helps in their future life to perform the job efficiently and effectively.</w:t>
      </w:r>
    </w:p>
    <w:p w:rsidR="00882048" w:rsidRDefault="00882048" w:rsidP="00882048">
      <w:pPr>
        <w:spacing w:after="226"/>
        <w:jc w:val="both"/>
        <w:rPr>
          <w:rFonts w:ascii="Arial" w:eastAsia="Calibri" w:hAnsi="Arial" w:cs="Arial"/>
          <w:color w:val="000000"/>
        </w:rPr>
      </w:pPr>
    </w:p>
    <w:p w:rsidR="009C5AAE" w:rsidRDefault="003E59E6" w:rsidP="00882048">
      <w:pPr>
        <w:spacing w:after="202" w:line="270" w:lineRule="auto"/>
        <w:ind w:left="10" w:right="124" w:hanging="10"/>
        <w:jc w:val="both"/>
        <w:rPr>
          <w:rFonts w:ascii="Arial" w:eastAsia="Calibri" w:hAnsi="Arial" w:cs="Arial"/>
          <w:color w:val="000000"/>
        </w:rPr>
      </w:pPr>
      <w:r>
        <w:rPr>
          <w:rFonts w:ascii="Arial" w:eastAsia="Calibri" w:hAnsi="Arial" w:cs="Arial"/>
          <w:color w:val="000000"/>
        </w:rPr>
        <w:t xml:space="preserve">It was very limited time for getting the sufficient knowledge about this course practically with in short period of time. </w:t>
      </w:r>
      <w:r w:rsidR="009C5AAE">
        <w:rPr>
          <w:rFonts w:ascii="Arial" w:eastAsia="Calibri" w:hAnsi="Arial" w:cs="Arial"/>
          <w:color w:val="000000"/>
        </w:rPr>
        <w:t>I am very pleased to</w:t>
      </w:r>
      <w:r w:rsidR="009C5AAE" w:rsidRPr="009779F9">
        <w:rPr>
          <w:rFonts w:ascii="Arial" w:eastAsia="Calibri" w:hAnsi="Arial" w:cs="Arial"/>
          <w:color w:val="000000"/>
        </w:rPr>
        <w:t xml:space="preserve"> </w:t>
      </w:r>
      <w:proofErr w:type="spellStart"/>
      <w:r w:rsidR="009C5AAE" w:rsidRPr="009779F9">
        <w:rPr>
          <w:rFonts w:ascii="Arial" w:eastAsia="Calibri" w:hAnsi="Arial" w:cs="Arial"/>
          <w:color w:val="000000"/>
        </w:rPr>
        <w:t>Mahbub</w:t>
      </w:r>
      <w:proofErr w:type="spellEnd"/>
      <w:r w:rsidR="009C5AAE" w:rsidRPr="009779F9">
        <w:rPr>
          <w:rFonts w:ascii="Arial" w:eastAsia="Calibri" w:hAnsi="Arial" w:cs="Arial"/>
          <w:color w:val="000000"/>
        </w:rPr>
        <w:t>-</w:t>
      </w:r>
      <w:proofErr w:type="spellStart"/>
      <w:r w:rsidR="009C5AAE" w:rsidRPr="009779F9">
        <w:rPr>
          <w:rFonts w:ascii="Arial" w:eastAsia="Calibri" w:hAnsi="Arial" w:cs="Arial"/>
          <w:color w:val="000000"/>
        </w:rPr>
        <w:t>ul</w:t>
      </w:r>
      <w:proofErr w:type="spellEnd"/>
      <w:r w:rsidR="009C5AAE" w:rsidRPr="009779F9">
        <w:rPr>
          <w:rFonts w:ascii="Arial" w:eastAsia="Calibri" w:hAnsi="Arial" w:cs="Arial"/>
          <w:color w:val="000000"/>
        </w:rPr>
        <w:t>-Kader</w:t>
      </w:r>
      <w:r w:rsidR="009C5AAE">
        <w:rPr>
          <w:rFonts w:ascii="Arial" w:eastAsia="Calibri" w:hAnsi="Arial" w:cs="Arial"/>
          <w:color w:val="000000"/>
        </w:rPr>
        <w:t xml:space="preserve"> </w:t>
      </w:r>
      <w:r w:rsidR="009C5AAE" w:rsidRPr="009779F9">
        <w:rPr>
          <w:rFonts w:ascii="Arial" w:eastAsia="Calibri" w:hAnsi="Arial" w:cs="Arial"/>
          <w:color w:val="000000"/>
        </w:rPr>
        <w:t>(CAMS) head of I</w:t>
      </w:r>
      <w:r>
        <w:rPr>
          <w:rFonts w:ascii="Arial" w:eastAsia="Calibri" w:hAnsi="Arial" w:cs="Arial"/>
          <w:color w:val="000000"/>
        </w:rPr>
        <w:t xml:space="preserve">nternal </w:t>
      </w:r>
      <w:r w:rsidR="009C5AAE" w:rsidRPr="009779F9">
        <w:rPr>
          <w:rFonts w:ascii="Arial" w:eastAsia="Calibri" w:hAnsi="Arial" w:cs="Arial"/>
          <w:color w:val="000000"/>
        </w:rPr>
        <w:t>C</w:t>
      </w:r>
      <w:r>
        <w:rPr>
          <w:rFonts w:ascii="Arial" w:eastAsia="Calibri" w:hAnsi="Arial" w:cs="Arial"/>
          <w:color w:val="000000"/>
        </w:rPr>
        <w:t xml:space="preserve">ontrol and </w:t>
      </w:r>
      <w:r w:rsidR="009C5AAE" w:rsidRPr="009779F9">
        <w:rPr>
          <w:rFonts w:ascii="Arial" w:eastAsia="Calibri" w:hAnsi="Arial" w:cs="Arial"/>
          <w:color w:val="000000"/>
        </w:rPr>
        <w:t>C</w:t>
      </w:r>
      <w:r>
        <w:rPr>
          <w:rFonts w:ascii="Arial" w:eastAsia="Calibri" w:hAnsi="Arial" w:cs="Arial"/>
          <w:color w:val="000000"/>
        </w:rPr>
        <w:t>ompliance</w:t>
      </w:r>
      <w:r w:rsidR="009C5AAE" w:rsidRPr="009779F9">
        <w:rPr>
          <w:rFonts w:ascii="Arial" w:eastAsia="Calibri" w:hAnsi="Arial" w:cs="Arial"/>
          <w:color w:val="000000"/>
        </w:rPr>
        <w:t xml:space="preserve"> department &amp;</w:t>
      </w:r>
      <w:r w:rsidR="009C5AAE">
        <w:rPr>
          <w:rFonts w:ascii="Arial" w:eastAsia="Calibri" w:hAnsi="Arial" w:cs="Arial"/>
          <w:color w:val="000000"/>
        </w:rPr>
        <w:t xml:space="preserve"> </w:t>
      </w:r>
      <w:proofErr w:type="spellStart"/>
      <w:r w:rsidR="009C5AAE" w:rsidRPr="009779F9">
        <w:rPr>
          <w:rFonts w:ascii="Arial" w:eastAsia="Calibri" w:hAnsi="Arial" w:cs="Arial"/>
          <w:color w:val="000000"/>
        </w:rPr>
        <w:t>Ohidul</w:t>
      </w:r>
      <w:proofErr w:type="spellEnd"/>
      <w:r w:rsidR="009C5AAE" w:rsidRPr="009779F9">
        <w:rPr>
          <w:rFonts w:ascii="Arial" w:eastAsia="Calibri" w:hAnsi="Arial" w:cs="Arial"/>
          <w:color w:val="000000"/>
        </w:rPr>
        <w:t xml:space="preserve"> </w:t>
      </w:r>
      <w:proofErr w:type="spellStart"/>
      <w:r w:rsidR="009C5AAE" w:rsidRPr="009779F9">
        <w:rPr>
          <w:rFonts w:ascii="Arial" w:eastAsia="Calibri" w:hAnsi="Arial" w:cs="Arial"/>
          <w:color w:val="000000"/>
        </w:rPr>
        <w:t>Ambia</w:t>
      </w:r>
      <w:proofErr w:type="spellEnd"/>
      <w:r w:rsidR="009C5AAE" w:rsidRPr="009779F9">
        <w:rPr>
          <w:rFonts w:ascii="Arial" w:eastAsia="Calibri" w:hAnsi="Arial" w:cs="Arial"/>
          <w:color w:val="000000"/>
        </w:rPr>
        <w:t xml:space="preserve"> </w:t>
      </w:r>
      <w:proofErr w:type="spellStart"/>
      <w:r w:rsidR="009C5AAE" w:rsidRPr="009779F9">
        <w:rPr>
          <w:rFonts w:ascii="Arial" w:eastAsia="Calibri" w:hAnsi="Arial" w:cs="Arial"/>
          <w:color w:val="000000"/>
        </w:rPr>
        <w:t>Choudhury</w:t>
      </w:r>
      <w:proofErr w:type="spellEnd"/>
      <w:r w:rsidR="009C5AAE" w:rsidRPr="009779F9">
        <w:rPr>
          <w:rFonts w:ascii="Arial" w:eastAsia="Calibri" w:hAnsi="Arial" w:cs="Arial"/>
          <w:color w:val="000000"/>
        </w:rPr>
        <w:t xml:space="preserve"> Senior Manager of</w:t>
      </w:r>
      <w:r>
        <w:rPr>
          <w:rFonts w:ascii="Arial" w:eastAsia="Calibri" w:hAnsi="Arial" w:cs="Arial"/>
          <w:color w:val="000000"/>
        </w:rPr>
        <w:t xml:space="preserve"> </w:t>
      </w:r>
      <w:r w:rsidRPr="009779F9">
        <w:rPr>
          <w:rFonts w:ascii="Arial" w:eastAsia="Calibri" w:hAnsi="Arial" w:cs="Arial"/>
          <w:color w:val="000000"/>
        </w:rPr>
        <w:t>I</w:t>
      </w:r>
      <w:r>
        <w:rPr>
          <w:rFonts w:ascii="Arial" w:eastAsia="Calibri" w:hAnsi="Arial" w:cs="Arial"/>
          <w:color w:val="000000"/>
        </w:rPr>
        <w:t xml:space="preserve">nternal </w:t>
      </w:r>
      <w:r w:rsidRPr="009779F9">
        <w:rPr>
          <w:rFonts w:ascii="Arial" w:eastAsia="Calibri" w:hAnsi="Arial" w:cs="Arial"/>
          <w:color w:val="000000"/>
        </w:rPr>
        <w:t>C</w:t>
      </w:r>
      <w:r>
        <w:rPr>
          <w:rFonts w:ascii="Arial" w:eastAsia="Calibri" w:hAnsi="Arial" w:cs="Arial"/>
          <w:color w:val="000000"/>
        </w:rPr>
        <w:t xml:space="preserve">ontrol and </w:t>
      </w:r>
      <w:r w:rsidRPr="009779F9">
        <w:rPr>
          <w:rFonts w:ascii="Arial" w:eastAsia="Calibri" w:hAnsi="Arial" w:cs="Arial"/>
          <w:color w:val="000000"/>
        </w:rPr>
        <w:t>C</w:t>
      </w:r>
      <w:r>
        <w:rPr>
          <w:rFonts w:ascii="Arial" w:eastAsia="Calibri" w:hAnsi="Arial" w:cs="Arial"/>
          <w:color w:val="000000"/>
        </w:rPr>
        <w:t>ompliance</w:t>
      </w:r>
      <w:r w:rsidRPr="009779F9">
        <w:rPr>
          <w:rFonts w:ascii="Arial" w:eastAsia="Calibri" w:hAnsi="Arial" w:cs="Arial"/>
          <w:color w:val="000000"/>
        </w:rPr>
        <w:t xml:space="preserve"> departmen</w:t>
      </w:r>
      <w:r>
        <w:rPr>
          <w:rFonts w:ascii="Arial" w:eastAsia="Calibri" w:hAnsi="Arial" w:cs="Arial"/>
          <w:color w:val="000000"/>
        </w:rPr>
        <w:t>t</w:t>
      </w:r>
      <w:r w:rsidR="009C5AAE" w:rsidRPr="009779F9">
        <w:rPr>
          <w:rFonts w:ascii="Arial" w:eastAsia="Calibri" w:hAnsi="Arial" w:cs="Arial"/>
          <w:color w:val="000000"/>
        </w:rPr>
        <w:t xml:space="preserve">, for their </w:t>
      </w:r>
      <w:r>
        <w:rPr>
          <w:rFonts w:ascii="Arial" w:eastAsia="Calibri" w:hAnsi="Arial" w:cs="Arial"/>
          <w:color w:val="000000"/>
        </w:rPr>
        <w:t>i</w:t>
      </w:r>
      <w:r w:rsidR="00882048">
        <w:rPr>
          <w:rFonts w:ascii="Arial" w:eastAsia="Calibri" w:hAnsi="Arial" w:cs="Arial"/>
          <w:color w:val="000000"/>
        </w:rPr>
        <w:t>n</w:t>
      </w:r>
      <w:r>
        <w:rPr>
          <w:rFonts w:ascii="Arial" w:eastAsia="Calibri" w:hAnsi="Arial" w:cs="Arial"/>
          <w:color w:val="000000"/>
        </w:rPr>
        <w:t>valuable suggestion and guidance during the study period</w:t>
      </w:r>
      <w:r w:rsidR="00882048">
        <w:rPr>
          <w:rFonts w:ascii="Arial" w:eastAsia="Calibri" w:hAnsi="Arial" w:cs="Arial"/>
          <w:color w:val="000000"/>
        </w:rPr>
        <w:t xml:space="preserve"> isn’t possible to prepare report.</w:t>
      </w:r>
    </w:p>
    <w:p w:rsidR="00882048" w:rsidRDefault="00882048" w:rsidP="00882048">
      <w:pPr>
        <w:spacing w:after="202" w:line="270" w:lineRule="auto"/>
        <w:ind w:right="124"/>
        <w:jc w:val="both"/>
        <w:rPr>
          <w:rFonts w:ascii="Arial" w:eastAsia="Calibri" w:hAnsi="Arial" w:cs="Arial"/>
          <w:color w:val="000000"/>
        </w:rPr>
      </w:pPr>
    </w:p>
    <w:p w:rsidR="00882048" w:rsidRPr="009779F9" w:rsidRDefault="00882048" w:rsidP="00882048">
      <w:pPr>
        <w:spacing w:after="202" w:line="270" w:lineRule="auto"/>
        <w:ind w:right="124"/>
        <w:jc w:val="both"/>
        <w:rPr>
          <w:rFonts w:ascii="Arial" w:eastAsia="Calibri" w:hAnsi="Arial" w:cs="Arial"/>
          <w:color w:val="000000"/>
        </w:rPr>
      </w:pPr>
      <w:r>
        <w:rPr>
          <w:rFonts w:ascii="Arial" w:eastAsia="Calibri" w:hAnsi="Arial" w:cs="Arial"/>
          <w:color w:val="000000"/>
        </w:rPr>
        <w:t>Finally, I am grateful to my family, friends and my university which is the reason I am standing here with my bachelor degree successfully.</w:t>
      </w:r>
    </w:p>
    <w:p w:rsidR="009C5AAE" w:rsidRPr="009779F9" w:rsidRDefault="009C5AAE" w:rsidP="009C5AAE">
      <w:pPr>
        <w:spacing w:after="221"/>
        <w:rPr>
          <w:rFonts w:ascii="Arial" w:eastAsia="Calibri" w:hAnsi="Arial" w:cs="Arial"/>
          <w:color w:val="000000"/>
        </w:rPr>
      </w:pPr>
      <w:r w:rsidRPr="009779F9">
        <w:rPr>
          <w:rFonts w:ascii="Arial" w:eastAsia="Calibri" w:hAnsi="Arial" w:cs="Arial"/>
          <w:color w:val="000000"/>
        </w:rPr>
        <w:t xml:space="preserve"> </w:t>
      </w:r>
    </w:p>
    <w:p w:rsidR="009C5AAE" w:rsidRPr="00ED38E8" w:rsidRDefault="009C5AAE" w:rsidP="009C5AAE">
      <w:pPr>
        <w:spacing w:after="200" w:line="276" w:lineRule="auto"/>
        <w:rPr>
          <w:rFonts w:ascii="Arial" w:eastAsia="Calibri" w:hAnsi="Arial" w:cs="Arial"/>
          <w:b/>
          <w:color w:val="365F91" w:themeColor="accent1" w:themeShade="BF"/>
          <w:sz w:val="36"/>
        </w:rPr>
      </w:pPr>
    </w:p>
    <w:p w:rsidR="009C5AAE" w:rsidRPr="00ED38E8" w:rsidRDefault="009C5AAE" w:rsidP="009C5AAE">
      <w:pPr>
        <w:spacing w:after="232"/>
        <w:rPr>
          <w:rFonts w:ascii="Arial" w:eastAsia="Calibri" w:hAnsi="Arial" w:cs="Arial"/>
          <w:b/>
          <w:color w:val="365F91" w:themeColor="accent1" w:themeShade="BF"/>
          <w:sz w:val="36"/>
        </w:rPr>
      </w:pPr>
    </w:p>
    <w:p w:rsidR="009C5AAE" w:rsidRPr="00ED38E8" w:rsidRDefault="009C5AAE" w:rsidP="009C5AAE">
      <w:pPr>
        <w:spacing w:after="232"/>
        <w:rPr>
          <w:rFonts w:ascii="Arial" w:eastAsia="Calibri" w:hAnsi="Arial" w:cs="Arial"/>
          <w:b/>
          <w:color w:val="365F91" w:themeColor="accent1" w:themeShade="BF"/>
          <w:sz w:val="36"/>
        </w:rPr>
      </w:pPr>
    </w:p>
    <w:p w:rsidR="009C5AAE" w:rsidRPr="00ED38E8" w:rsidRDefault="009C5AAE" w:rsidP="009C5AAE">
      <w:pPr>
        <w:spacing w:after="232"/>
        <w:rPr>
          <w:rFonts w:ascii="Arial" w:eastAsia="Calibri" w:hAnsi="Arial" w:cs="Arial"/>
          <w:b/>
          <w:color w:val="365F91" w:themeColor="accent1" w:themeShade="BF"/>
          <w:sz w:val="36"/>
        </w:rPr>
      </w:pPr>
    </w:p>
    <w:p w:rsidR="009C5AAE" w:rsidRPr="00ED38E8" w:rsidRDefault="009C5AAE" w:rsidP="009C5AAE">
      <w:pPr>
        <w:spacing w:after="232"/>
        <w:rPr>
          <w:rFonts w:ascii="Arial" w:eastAsia="Calibri" w:hAnsi="Arial" w:cs="Arial"/>
          <w:b/>
          <w:color w:val="365F91" w:themeColor="accent1" w:themeShade="BF"/>
          <w:sz w:val="36"/>
        </w:rPr>
      </w:pPr>
    </w:p>
    <w:p w:rsidR="009C5AAE" w:rsidRPr="00ED38E8" w:rsidRDefault="009C5AAE" w:rsidP="009C5AAE">
      <w:pPr>
        <w:spacing w:after="232"/>
        <w:rPr>
          <w:rFonts w:ascii="Arial" w:eastAsia="Calibri" w:hAnsi="Arial" w:cs="Arial"/>
          <w:b/>
          <w:color w:val="365F91" w:themeColor="accent1" w:themeShade="BF"/>
          <w:sz w:val="36"/>
        </w:rPr>
      </w:pPr>
    </w:p>
    <w:p w:rsidR="009C5AAE" w:rsidRPr="00ED38E8" w:rsidRDefault="009C5AAE" w:rsidP="009C5AAE">
      <w:pPr>
        <w:spacing w:after="232"/>
        <w:rPr>
          <w:rFonts w:ascii="Arial" w:eastAsia="Calibri" w:hAnsi="Arial" w:cs="Arial"/>
          <w:b/>
          <w:color w:val="365F91" w:themeColor="accent1" w:themeShade="BF"/>
          <w:sz w:val="36"/>
        </w:rPr>
      </w:pPr>
    </w:p>
    <w:p w:rsidR="009C5AAE" w:rsidRDefault="009C5AAE" w:rsidP="003A23FB">
      <w:pPr>
        <w:pStyle w:val="Heading1"/>
        <w:jc w:val="center"/>
        <w:rPr>
          <w:rFonts w:ascii="Arial" w:eastAsia="Calibri" w:hAnsi="Arial" w:cs="Arial"/>
          <w:sz w:val="36"/>
          <w:szCs w:val="36"/>
        </w:rPr>
      </w:pPr>
      <w:bookmarkStart w:id="11" w:name="_Toc18329991"/>
      <w:r w:rsidRPr="00ED38E8">
        <w:rPr>
          <w:rFonts w:ascii="Arial" w:eastAsia="Calibri" w:hAnsi="Arial" w:cs="Arial"/>
          <w:sz w:val="36"/>
          <w:szCs w:val="36"/>
        </w:rPr>
        <w:lastRenderedPageBreak/>
        <w:t>Executive summary</w:t>
      </w:r>
      <w:bookmarkEnd w:id="11"/>
    </w:p>
    <w:p w:rsidR="003A23FB" w:rsidRPr="003A23FB" w:rsidRDefault="003A23FB" w:rsidP="003A23FB"/>
    <w:p w:rsidR="00B254DA" w:rsidRDefault="003A23FB" w:rsidP="00B34D36">
      <w:pPr>
        <w:jc w:val="both"/>
        <w:rPr>
          <w:rFonts w:ascii="Arial" w:hAnsi="Arial" w:cs="Arial"/>
        </w:rPr>
      </w:pPr>
      <w:proofErr w:type="gramStart"/>
      <w:r w:rsidRPr="003A23FB">
        <w:rPr>
          <w:rFonts w:ascii="Arial" w:hAnsi="Arial" w:cs="Arial"/>
        </w:rPr>
        <w:t xml:space="preserve">IDLC </w:t>
      </w:r>
      <w:r>
        <w:rPr>
          <w:rFonts w:ascii="Arial" w:hAnsi="Arial" w:cs="Arial"/>
        </w:rPr>
        <w:t>Finance Limited which is the pioneer financial institution in Bangladeshis one of renowned non-banking financial institution in Bangladesh.</w:t>
      </w:r>
      <w:proofErr w:type="gramEnd"/>
      <w:r>
        <w:rPr>
          <w:rFonts w:ascii="Arial" w:hAnsi="Arial" w:cs="Arial"/>
        </w:rPr>
        <w:t xml:space="preserve"> It started its operation at 1985. IDLC was licensed as a financial institution by the country’s cent</w:t>
      </w:r>
      <w:r w:rsidR="00B254DA">
        <w:rPr>
          <w:rFonts w:ascii="Arial" w:hAnsi="Arial" w:cs="Arial"/>
        </w:rPr>
        <w:t>ral bank Bangladesh Bank, following the enactment of the financial Act 1993. IDLC Finance has different kinds of products and services. IDLC Finance Limited is a mother company. It has three separated subsidiaries. A company can’t run without its operation. Like other non-financing company IDLC Finance Limited main operation is loan which is their asset and deposit which is their liability. They take deposit from customer and companies for giving securities of their money and give loan for fulfilling the customer’s and company’s need and prosperity.</w:t>
      </w:r>
    </w:p>
    <w:p w:rsidR="00B34D36" w:rsidRDefault="00B34D36" w:rsidP="00B34D36">
      <w:pPr>
        <w:jc w:val="both"/>
        <w:rPr>
          <w:rFonts w:ascii="Arial" w:hAnsi="Arial" w:cs="Arial"/>
        </w:rPr>
      </w:pPr>
      <w:r w:rsidRPr="00B34D36">
        <w:rPr>
          <w:rFonts w:ascii="Arial" w:hAnsi="Arial" w:cs="Arial"/>
        </w:rPr>
        <w:t xml:space="preserve">Performance </w:t>
      </w:r>
      <w:proofErr w:type="gramStart"/>
      <w:r w:rsidRPr="00B34D36">
        <w:rPr>
          <w:rFonts w:ascii="Arial" w:hAnsi="Arial" w:cs="Arial"/>
        </w:rPr>
        <w:t>evaluation based on ratio analysis approach are</w:t>
      </w:r>
      <w:proofErr w:type="gramEnd"/>
      <w:r w:rsidRPr="00B34D36">
        <w:rPr>
          <w:rFonts w:ascii="Arial" w:hAnsi="Arial" w:cs="Arial"/>
        </w:rPr>
        <w:t xml:space="preserve"> one</w:t>
      </w:r>
      <w:r>
        <w:rPr>
          <w:rFonts w:ascii="Arial" w:hAnsi="Arial" w:cs="Arial"/>
        </w:rPr>
        <w:t xml:space="preserve"> </w:t>
      </w:r>
      <w:r w:rsidRPr="00B34D36">
        <w:rPr>
          <w:rFonts w:ascii="Arial" w:hAnsi="Arial" w:cs="Arial"/>
        </w:rPr>
        <w:t>of the crucial parts for the success of any organization. In this report, we have tried to analyze the</w:t>
      </w:r>
      <w:r>
        <w:rPr>
          <w:rFonts w:ascii="Arial" w:hAnsi="Arial" w:cs="Arial"/>
        </w:rPr>
        <w:t xml:space="preserve"> </w:t>
      </w:r>
      <w:r w:rsidRPr="00B34D36">
        <w:rPr>
          <w:rFonts w:ascii="Arial" w:hAnsi="Arial" w:cs="Arial"/>
        </w:rPr>
        <w:t xml:space="preserve">last five years performance of </w:t>
      </w:r>
      <w:r>
        <w:rPr>
          <w:rFonts w:ascii="Arial" w:hAnsi="Arial" w:cs="Arial"/>
        </w:rPr>
        <w:t xml:space="preserve">IDLC Finance </w:t>
      </w:r>
      <w:r w:rsidRPr="00B34D36">
        <w:rPr>
          <w:rFonts w:ascii="Arial" w:hAnsi="Arial" w:cs="Arial"/>
        </w:rPr>
        <w:t>Limited based on five dimensions of ratio analysis</w:t>
      </w:r>
      <w:r>
        <w:rPr>
          <w:rFonts w:ascii="Arial" w:hAnsi="Arial" w:cs="Arial"/>
        </w:rPr>
        <w:t>.</w:t>
      </w:r>
    </w:p>
    <w:p w:rsidR="00B254DA" w:rsidRDefault="00B34D36" w:rsidP="00B34D36">
      <w:pPr>
        <w:jc w:val="both"/>
        <w:rPr>
          <w:rFonts w:ascii="Arial" w:hAnsi="Arial" w:cs="Arial"/>
        </w:rPr>
      </w:pPr>
      <w:r w:rsidRPr="00B34D36">
        <w:rPr>
          <w:rFonts w:ascii="Arial" w:hAnsi="Arial" w:cs="Arial"/>
        </w:rPr>
        <w:t>At the very beginning of the report, we have tried to evaluate the liquidity dimension with the help</w:t>
      </w:r>
      <w:r>
        <w:rPr>
          <w:rFonts w:ascii="Arial" w:hAnsi="Arial" w:cs="Arial"/>
        </w:rPr>
        <w:t xml:space="preserve"> </w:t>
      </w:r>
      <w:r w:rsidRPr="00B34D36">
        <w:rPr>
          <w:rFonts w:ascii="Arial" w:hAnsi="Arial" w:cs="Arial"/>
        </w:rPr>
        <w:t xml:space="preserve">of four particular ratios that show us that the liquidity position of </w:t>
      </w:r>
      <w:r>
        <w:rPr>
          <w:rFonts w:ascii="Arial" w:hAnsi="Arial" w:cs="Arial"/>
        </w:rPr>
        <w:t>IDLC</w:t>
      </w:r>
      <w:r w:rsidRPr="00B34D36">
        <w:rPr>
          <w:rFonts w:ascii="Arial" w:hAnsi="Arial" w:cs="Arial"/>
        </w:rPr>
        <w:t xml:space="preserve"> is going down for the last</w:t>
      </w:r>
      <w:r>
        <w:rPr>
          <w:rFonts w:ascii="Arial" w:hAnsi="Arial" w:cs="Arial"/>
        </w:rPr>
        <w:t xml:space="preserve"> </w:t>
      </w:r>
      <w:r w:rsidRPr="00B34D36">
        <w:rPr>
          <w:rFonts w:ascii="Arial" w:hAnsi="Arial" w:cs="Arial"/>
        </w:rPr>
        <w:t>five years. Firm is facing more risk in terms of liquidity. Then we evaluate the profitability</w:t>
      </w:r>
      <w:r>
        <w:rPr>
          <w:rFonts w:ascii="Arial" w:hAnsi="Arial" w:cs="Arial"/>
        </w:rPr>
        <w:t xml:space="preserve"> dimension with the help of 10</w:t>
      </w:r>
      <w:r w:rsidRPr="00B34D36">
        <w:rPr>
          <w:rFonts w:ascii="Arial" w:hAnsi="Arial" w:cs="Arial"/>
        </w:rPr>
        <w:t xml:space="preserve"> different ratios which indicate fluctuate profitability conditions of</w:t>
      </w:r>
      <w:r>
        <w:rPr>
          <w:rFonts w:ascii="Arial" w:hAnsi="Arial" w:cs="Arial"/>
        </w:rPr>
        <w:t xml:space="preserve"> IDLC</w:t>
      </w:r>
      <w:r w:rsidRPr="00B34D36">
        <w:rPr>
          <w:rFonts w:ascii="Arial" w:hAnsi="Arial" w:cs="Arial"/>
        </w:rPr>
        <w:t xml:space="preserve">. </w:t>
      </w:r>
      <w:r>
        <w:rPr>
          <w:rFonts w:ascii="Arial" w:hAnsi="Arial" w:cs="Arial"/>
        </w:rPr>
        <w:t>IDLC</w:t>
      </w:r>
      <w:r w:rsidRPr="00B34D36">
        <w:rPr>
          <w:rFonts w:ascii="Arial" w:hAnsi="Arial" w:cs="Arial"/>
        </w:rPr>
        <w:t xml:space="preserve"> is not able to continue their good condition and again, they are not let the profitability</w:t>
      </w:r>
      <w:r>
        <w:rPr>
          <w:rFonts w:ascii="Arial" w:hAnsi="Arial" w:cs="Arial"/>
        </w:rPr>
        <w:t xml:space="preserve"> </w:t>
      </w:r>
      <w:r w:rsidRPr="00B34D36">
        <w:rPr>
          <w:rFonts w:ascii="Arial" w:hAnsi="Arial" w:cs="Arial"/>
        </w:rPr>
        <w:t>conditions down. After that, we have tried to show the performance based on the solvency</w:t>
      </w:r>
      <w:r>
        <w:rPr>
          <w:rFonts w:ascii="Arial" w:hAnsi="Arial" w:cs="Arial"/>
        </w:rPr>
        <w:t xml:space="preserve"> dimension </w:t>
      </w:r>
      <w:proofErr w:type="gramStart"/>
      <w:r>
        <w:rPr>
          <w:rFonts w:ascii="Arial" w:hAnsi="Arial" w:cs="Arial"/>
        </w:rPr>
        <w:t>under</w:t>
      </w:r>
      <w:proofErr w:type="gramEnd"/>
      <w:r>
        <w:rPr>
          <w:rFonts w:ascii="Arial" w:hAnsi="Arial" w:cs="Arial"/>
        </w:rPr>
        <w:t xml:space="preserve"> 6</w:t>
      </w:r>
      <w:r w:rsidRPr="00B34D36">
        <w:rPr>
          <w:rFonts w:ascii="Arial" w:hAnsi="Arial" w:cs="Arial"/>
        </w:rPr>
        <w:t xml:space="preserve"> ratios which indicate that </w:t>
      </w:r>
      <w:r>
        <w:rPr>
          <w:rFonts w:ascii="Arial" w:hAnsi="Arial" w:cs="Arial"/>
        </w:rPr>
        <w:t>IDLC</w:t>
      </w:r>
      <w:r w:rsidRPr="00B34D36">
        <w:rPr>
          <w:rFonts w:ascii="Arial" w:hAnsi="Arial" w:cs="Arial"/>
        </w:rPr>
        <w:t xml:space="preserve"> is relying more and more deposits for the last</w:t>
      </w:r>
      <w:r>
        <w:rPr>
          <w:rFonts w:ascii="Arial" w:hAnsi="Arial" w:cs="Arial"/>
        </w:rPr>
        <w:t xml:space="preserve"> </w:t>
      </w:r>
      <w:r w:rsidRPr="00B34D36">
        <w:rPr>
          <w:rFonts w:ascii="Arial" w:hAnsi="Arial" w:cs="Arial"/>
        </w:rPr>
        <w:t>five years which is increasing their debt portion over the equity.</w:t>
      </w:r>
      <w:r w:rsidRPr="00B34D36">
        <w:rPr>
          <w:rFonts w:ascii="TimesNewRoman" w:hAnsi="TimesNewRoman" w:cs="TimesNewRoman"/>
          <w:sz w:val="24"/>
          <w:szCs w:val="24"/>
        </w:rPr>
        <w:t xml:space="preserve"> </w:t>
      </w:r>
      <w:r w:rsidRPr="00B34D36">
        <w:rPr>
          <w:rFonts w:ascii="Arial" w:hAnsi="Arial" w:cs="Arial"/>
        </w:rPr>
        <w:t xml:space="preserve">Fourth dimension was efficiency dimension that shows us how </w:t>
      </w:r>
      <w:r>
        <w:rPr>
          <w:rFonts w:ascii="Arial" w:hAnsi="Arial" w:cs="Arial"/>
        </w:rPr>
        <w:t xml:space="preserve">efficiently IDLC was using their </w:t>
      </w:r>
      <w:r w:rsidRPr="00B34D36">
        <w:rPr>
          <w:rFonts w:ascii="Arial" w:hAnsi="Arial" w:cs="Arial"/>
        </w:rPr>
        <w:t xml:space="preserve">assets to generate more revenue with the help of </w:t>
      </w:r>
      <w:r>
        <w:rPr>
          <w:rFonts w:ascii="Arial" w:hAnsi="Arial" w:cs="Arial"/>
        </w:rPr>
        <w:t>5</w:t>
      </w:r>
      <w:r w:rsidRPr="00B34D36">
        <w:rPr>
          <w:rFonts w:ascii="Arial" w:hAnsi="Arial" w:cs="Arial"/>
        </w:rPr>
        <w:t xml:space="preserve"> different ratios. It also gives us fluctuate result</w:t>
      </w:r>
      <w:r>
        <w:rPr>
          <w:rFonts w:ascii="Arial" w:hAnsi="Arial" w:cs="Arial"/>
        </w:rPr>
        <w:t xml:space="preserve"> </w:t>
      </w:r>
      <w:r w:rsidRPr="00B34D36">
        <w:rPr>
          <w:rFonts w:ascii="Arial" w:hAnsi="Arial" w:cs="Arial"/>
        </w:rPr>
        <w:t>in terms of efficiency. At the very end, we evaluate the performance based on market value</w:t>
      </w:r>
      <w:r>
        <w:rPr>
          <w:rFonts w:ascii="Arial" w:hAnsi="Arial" w:cs="Arial"/>
        </w:rPr>
        <w:t xml:space="preserve"> </w:t>
      </w:r>
      <w:r w:rsidRPr="00B34D36">
        <w:rPr>
          <w:rFonts w:ascii="Arial" w:hAnsi="Arial" w:cs="Arial"/>
        </w:rPr>
        <w:t xml:space="preserve">dimension under </w:t>
      </w:r>
      <w:r>
        <w:rPr>
          <w:rFonts w:ascii="Arial" w:hAnsi="Arial" w:cs="Arial"/>
        </w:rPr>
        <w:t>6</w:t>
      </w:r>
      <w:r w:rsidRPr="00B34D36">
        <w:rPr>
          <w:rFonts w:ascii="Arial" w:hAnsi="Arial" w:cs="Arial"/>
        </w:rPr>
        <w:t xml:space="preserve"> ratios. Though they are relying less on equity for the last five years, still they</w:t>
      </w:r>
      <w:r>
        <w:rPr>
          <w:rFonts w:ascii="Arial" w:hAnsi="Arial" w:cs="Arial"/>
        </w:rPr>
        <w:t xml:space="preserve"> </w:t>
      </w:r>
      <w:r w:rsidRPr="00B34D36">
        <w:rPr>
          <w:rFonts w:ascii="Arial" w:hAnsi="Arial" w:cs="Arial"/>
        </w:rPr>
        <w:t>had high demand of their shares which increases the price of shares and they also provided</w:t>
      </w:r>
      <w:r>
        <w:rPr>
          <w:rFonts w:ascii="Arial" w:hAnsi="Arial" w:cs="Arial"/>
        </w:rPr>
        <w:t xml:space="preserve"> </w:t>
      </w:r>
      <w:r w:rsidRPr="00B34D36">
        <w:rPr>
          <w:rFonts w:ascii="Arial" w:hAnsi="Arial" w:cs="Arial"/>
        </w:rPr>
        <w:t>sufficient return to their shareholders.</w:t>
      </w:r>
      <w:r w:rsidR="005D2D27">
        <w:rPr>
          <w:rFonts w:ascii="Arial" w:hAnsi="Arial" w:cs="Arial"/>
        </w:rPr>
        <w:t xml:space="preserve"> The company’s operation section plays a vital role to improve its financial performance. The growth of the company is very good as because day by day the earning per share of the company increasing. In 2014 it was 3.56 but in 2016 it was 4.62 which indicate the performance as well as demand of the company increased. Thus happened because the return of the asset of this company was increased, non-performing loan was less. Beside total asset growth, financial expense coverage ratio also increased.</w:t>
      </w:r>
    </w:p>
    <w:p w:rsidR="005D2D27" w:rsidRDefault="007D6D70" w:rsidP="00B34D36">
      <w:pPr>
        <w:jc w:val="both"/>
        <w:rPr>
          <w:rFonts w:ascii="Arial" w:hAnsi="Arial" w:cs="Arial"/>
        </w:rPr>
      </w:pPr>
      <w:r>
        <w:rPr>
          <w:rFonts w:ascii="Arial" w:hAnsi="Arial" w:cs="Arial"/>
        </w:rPr>
        <w:t xml:space="preserve">IDLC Finance Limited is performing its activities in such a way, that why number of client of it is increasing day by day. It is a very good sign for a capital market. </w:t>
      </w:r>
      <w:proofErr w:type="gramStart"/>
      <w:r>
        <w:rPr>
          <w:rFonts w:ascii="Arial" w:hAnsi="Arial" w:cs="Arial"/>
        </w:rPr>
        <w:t>Its good performance is not only beneficiating the company but also providing good return to the country economy through its CSR activities and through maintain</w:t>
      </w:r>
      <w:proofErr w:type="gramEnd"/>
      <w:r>
        <w:rPr>
          <w:rFonts w:ascii="Arial" w:hAnsi="Arial" w:cs="Arial"/>
        </w:rPr>
        <w:t xml:space="preserve"> the government rule properly.</w:t>
      </w:r>
    </w:p>
    <w:p w:rsidR="005D2D27" w:rsidRPr="003A23FB" w:rsidRDefault="005D2D27" w:rsidP="00B34D36">
      <w:pPr>
        <w:jc w:val="both"/>
        <w:rPr>
          <w:rFonts w:ascii="Arial" w:hAnsi="Arial" w:cs="Arial"/>
        </w:rPr>
      </w:pPr>
    </w:p>
    <w:p w:rsidR="009C5AAE" w:rsidRPr="005B0245" w:rsidRDefault="009C5AAE" w:rsidP="009C5AAE">
      <w:pPr>
        <w:spacing w:after="200" w:line="276" w:lineRule="auto"/>
        <w:rPr>
          <w:rFonts w:ascii="Arial" w:hAnsi="Arial" w:cs="Arial"/>
        </w:rPr>
      </w:pPr>
    </w:p>
    <w:p w:rsidR="009C5AAE" w:rsidRPr="00ED38E8" w:rsidRDefault="009C5AAE" w:rsidP="009C5AAE">
      <w:pPr>
        <w:spacing w:after="200" w:line="276" w:lineRule="auto"/>
        <w:rPr>
          <w:rFonts w:ascii="Arial" w:hAnsi="Arial" w:cs="Arial"/>
        </w:rPr>
      </w:pPr>
    </w:p>
    <w:p w:rsidR="00972427" w:rsidRPr="00ED38E8" w:rsidRDefault="00972427">
      <w:pPr>
        <w:spacing w:after="200" w:line="276" w:lineRule="auto"/>
        <w:rPr>
          <w:rFonts w:ascii="Arial" w:hAnsi="Arial" w:cs="Arial"/>
        </w:rPr>
        <w:sectPr w:rsidR="00972427" w:rsidRPr="00ED38E8" w:rsidSect="00972427">
          <w:footerReference w:type="default" r:id="rId17"/>
          <w:pgSz w:w="12240" w:h="15840"/>
          <w:pgMar w:top="1894" w:right="1355" w:bottom="1438" w:left="1440" w:header="720" w:footer="719" w:gutter="0"/>
          <w:pgNumType w:fmt="lowerRoman"/>
          <w:cols w:space="720"/>
        </w:sectPr>
      </w:pPr>
    </w:p>
    <w:p w:rsidR="00BB086D" w:rsidRPr="00ED38E8" w:rsidRDefault="00BB086D">
      <w:pPr>
        <w:spacing w:after="200" w:line="276" w:lineRule="auto"/>
        <w:rPr>
          <w:rFonts w:ascii="Arial" w:hAnsi="Arial" w:cs="Arial"/>
        </w:rPr>
      </w:pPr>
    </w:p>
    <w:sdt>
      <w:sdtPr>
        <w:rPr>
          <w:rFonts w:ascii="Arial" w:eastAsiaTheme="minorHAnsi" w:hAnsi="Arial" w:cs="Arial"/>
          <w:color w:val="auto"/>
          <w:sz w:val="22"/>
          <w:szCs w:val="22"/>
        </w:rPr>
        <w:id w:val="-1108894162"/>
        <w:docPartObj>
          <w:docPartGallery w:val="Table of Contents"/>
          <w:docPartUnique/>
        </w:docPartObj>
      </w:sdtPr>
      <w:sdtEndPr>
        <w:rPr>
          <w:b/>
          <w:bCs/>
          <w:noProof/>
        </w:rPr>
      </w:sdtEndPr>
      <w:sdtContent>
        <w:p w:rsidR="00A745FE" w:rsidRPr="00ED38E8" w:rsidRDefault="00A745FE">
          <w:pPr>
            <w:pStyle w:val="TOCHeading"/>
            <w:rPr>
              <w:rFonts w:ascii="Arial" w:hAnsi="Arial" w:cs="Arial"/>
            </w:rPr>
          </w:pPr>
          <w:r w:rsidRPr="00ED38E8">
            <w:rPr>
              <w:rFonts w:ascii="Arial" w:hAnsi="Arial" w:cs="Arial"/>
            </w:rPr>
            <w:t>Table of Contents</w:t>
          </w:r>
        </w:p>
        <w:p w:rsidR="00A745FE" w:rsidRPr="00ED38E8" w:rsidRDefault="00A745FE" w:rsidP="00A745FE">
          <w:pPr>
            <w:pStyle w:val="TOC1"/>
            <w:tabs>
              <w:tab w:val="right" w:leader="dot" w:pos="9435"/>
            </w:tabs>
            <w:rPr>
              <w:rFonts w:ascii="Arial" w:eastAsiaTheme="minorEastAsia" w:hAnsi="Arial" w:cs="Arial"/>
              <w:noProof/>
            </w:rPr>
          </w:pPr>
          <w:r w:rsidRPr="00ED38E8">
            <w:rPr>
              <w:rFonts w:ascii="Arial" w:hAnsi="Arial" w:cs="Arial"/>
            </w:rPr>
            <w:fldChar w:fldCharType="begin"/>
          </w:r>
          <w:r w:rsidRPr="00ED38E8">
            <w:rPr>
              <w:rFonts w:ascii="Arial" w:hAnsi="Arial" w:cs="Arial"/>
            </w:rPr>
            <w:instrText xml:space="preserve"> TOC \o "1-3" \h \z \u </w:instrText>
          </w:r>
          <w:r w:rsidRPr="00ED38E8">
            <w:rPr>
              <w:rFonts w:ascii="Arial" w:hAnsi="Arial" w:cs="Arial"/>
            </w:rPr>
            <w:fldChar w:fldCharType="separate"/>
          </w:r>
        </w:p>
        <w:p w:rsidR="00A745FE" w:rsidRPr="00ED38E8" w:rsidRDefault="004F236C">
          <w:pPr>
            <w:pStyle w:val="TOC1"/>
            <w:tabs>
              <w:tab w:val="right" w:leader="dot" w:pos="9435"/>
            </w:tabs>
            <w:rPr>
              <w:rFonts w:ascii="Arial" w:eastAsiaTheme="minorEastAsia" w:hAnsi="Arial" w:cs="Arial"/>
              <w:b/>
              <w:bCs/>
              <w:noProof/>
            </w:rPr>
          </w:pPr>
          <w:hyperlink w:anchor="_Toc18329987" w:history="1">
            <w:r w:rsidR="00A745FE" w:rsidRPr="00ED38E8">
              <w:rPr>
                <w:rStyle w:val="Hyperlink"/>
                <w:rFonts w:ascii="Arial" w:eastAsia="Calibri" w:hAnsi="Arial" w:cs="Arial"/>
                <w:b/>
                <w:bCs/>
                <w:noProof/>
              </w:rPr>
              <w:t>Letter of Transmittal</w:t>
            </w:r>
            <w:r w:rsidR="00A745FE" w:rsidRPr="00ED38E8">
              <w:rPr>
                <w:rFonts w:ascii="Arial" w:hAnsi="Arial" w:cs="Arial"/>
                <w:b/>
                <w:bCs/>
                <w:noProof/>
                <w:webHidden/>
              </w:rPr>
              <w:tab/>
            </w:r>
            <w:r w:rsidR="00A745FE" w:rsidRPr="00ED38E8">
              <w:rPr>
                <w:rFonts w:ascii="Arial" w:hAnsi="Arial" w:cs="Arial"/>
                <w:noProof/>
                <w:webHidden/>
              </w:rPr>
              <w:fldChar w:fldCharType="begin"/>
            </w:r>
            <w:r w:rsidR="00A745FE" w:rsidRPr="00ED38E8">
              <w:rPr>
                <w:rFonts w:ascii="Arial" w:hAnsi="Arial" w:cs="Arial"/>
                <w:noProof/>
                <w:webHidden/>
              </w:rPr>
              <w:instrText xml:space="preserve"> PAGEREF _Toc18329987 \h </w:instrText>
            </w:r>
            <w:r w:rsidR="00A745FE" w:rsidRPr="00ED38E8">
              <w:rPr>
                <w:rFonts w:ascii="Arial" w:hAnsi="Arial" w:cs="Arial"/>
                <w:noProof/>
                <w:webHidden/>
              </w:rPr>
            </w:r>
            <w:r w:rsidR="00A745FE" w:rsidRPr="00ED38E8">
              <w:rPr>
                <w:rFonts w:ascii="Arial" w:hAnsi="Arial" w:cs="Arial"/>
                <w:noProof/>
                <w:webHidden/>
              </w:rPr>
              <w:fldChar w:fldCharType="separate"/>
            </w:r>
            <w:r w:rsidR="000444EE" w:rsidRPr="00ED38E8">
              <w:rPr>
                <w:rFonts w:ascii="Arial" w:hAnsi="Arial" w:cs="Arial"/>
                <w:noProof/>
                <w:webHidden/>
              </w:rPr>
              <w:t>iii</w:t>
            </w:r>
            <w:r w:rsidR="00A745FE" w:rsidRPr="00ED38E8">
              <w:rPr>
                <w:rFonts w:ascii="Arial" w:hAnsi="Arial" w:cs="Arial"/>
                <w:noProof/>
                <w:webHidden/>
              </w:rPr>
              <w:fldChar w:fldCharType="end"/>
            </w:r>
          </w:hyperlink>
        </w:p>
        <w:p w:rsidR="00A745FE" w:rsidRPr="00ED38E8" w:rsidRDefault="004F236C">
          <w:pPr>
            <w:pStyle w:val="TOC1"/>
            <w:tabs>
              <w:tab w:val="right" w:leader="dot" w:pos="9435"/>
            </w:tabs>
            <w:rPr>
              <w:rFonts w:ascii="Arial" w:eastAsiaTheme="minorEastAsia" w:hAnsi="Arial" w:cs="Arial"/>
              <w:b/>
              <w:bCs/>
              <w:noProof/>
            </w:rPr>
          </w:pPr>
          <w:hyperlink w:anchor="_Toc18329990" w:history="1">
            <w:r w:rsidR="00A745FE" w:rsidRPr="00ED38E8">
              <w:rPr>
                <w:rStyle w:val="Hyperlink"/>
                <w:rFonts w:ascii="Arial" w:eastAsia="Calibri" w:hAnsi="Arial" w:cs="Arial"/>
                <w:b/>
                <w:bCs/>
                <w:noProof/>
              </w:rPr>
              <w:t>Acknowledgement</w:t>
            </w:r>
            <w:r w:rsidR="00A745FE" w:rsidRPr="00ED38E8">
              <w:rPr>
                <w:rFonts w:ascii="Arial" w:hAnsi="Arial" w:cs="Arial"/>
                <w:b/>
                <w:bCs/>
                <w:noProof/>
                <w:webHidden/>
              </w:rPr>
              <w:tab/>
            </w:r>
            <w:r w:rsidR="00A745FE" w:rsidRPr="00ED38E8">
              <w:rPr>
                <w:rFonts w:ascii="Arial" w:hAnsi="Arial" w:cs="Arial"/>
                <w:noProof/>
                <w:webHidden/>
              </w:rPr>
              <w:fldChar w:fldCharType="begin"/>
            </w:r>
            <w:r w:rsidR="00A745FE" w:rsidRPr="00ED38E8">
              <w:rPr>
                <w:rFonts w:ascii="Arial" w:hAnsi="Arial" w:cs="Arial"/>
                <w:noProof/>
                <w:webHidden/>
              </w:rPr>
              <w:instrText xml:space="preserve"> PAGEREF _Toc18329990 \h </w:instrText>
            </w:r>
            <w:r w:rsidR="00A745FE" w:rsidRPr="00ED38E8">
              <w:rPr>
                <w:rFonts w:ascii="Arial" w:hAnsi="Arial" w:cs="Arial"/>
                <w:noProof/>
                <w:webHidden/>
              </w:rPr>
            </w:r>
            <w:r w:rsidR="00A745FE" w:rsidRPr="00ED38E8">
              <w:rPr>
                <w:rFonts w:ascii="Arial" w:hAnsi="Arial" w:cs="Arial"/>
                <w:noProof/>
                <w:webHidden/>
              </w:rPr>
              <w:fldChar w:fldCharType="separate"/>
            </w:r>
            <w:r w:rsidR="000444EE" w:rsidRPr="00ED38E8">
              <w:rPr>
                <w:rFonts w:ascii="Arial" w:hAnsi="Arial" w:cs="Arial"/>
                <w:noProof/>
                <w:webHidden/>
              </w:rPr>
              <w:t>iv</w:t>
            </w:r>
            <w:r w:rsidR="00A745FE" w:rsidRPr="00ED38E8">
              <w:rPr>
                <w:rFonts w:ascii="Arial" w:hAnsi="Arial" w:cs="Arial"/>
                <w:noProof/>
                <w:webHidden/>
              </w:rPr>
              <w:fldChar w:fldCharType="end"/>
            </w:r>
          </w:hyperlink>
        </w:p>
        <w:p w:rsidR="00A745FE" w:rsidRPr="00ED38E8" w:rsidRDefault="004F236C">
          <w:pPr>
            <w:pStyle w:val="TOC1"/>
            <w:tabs>
              <w:tab w:val="right" w:leader="dot" w:pos="9435"/>
            </w:tabs>
            <w:rPr>
              <w:rStyle w:val="Hyperlink"/>
              <w:rFonts w:ascii="Arial" w:hAnsi="Arial" w:cs="Arial"/>
              <w:b/>
              <w:bCs/>
              <w:noProof/>
            </w:rPr>
          </w:pPr>
          <w:hyperlink w:anchor="_Toc18329991" w:history="1">
            <w:r w:rsidR="00A745FE" w:rsidRPr="00ED38E8">
              <w:rPr>
                <w:rStyle w:val="Hyperlink"/>
                <w:rFonts w:ascii="Arial" w:eastAsia="Calibri" w:hAnsi="Arial" w:cs="Arial"/>
                <w:b/>
                <w:bCs/>
                <w:noProof/>
              </w:rPr>
              <w:t>Executive summary</w:t>
            </w:r>
            <w:r w:rsidR="00A745FE" w:rsidRPr="00ED38E8">
              <w:rPr>
                <w:rFonts w:ascii="Arial" w:hAnsi="Arial" w:cs="Arial"/>
                <w:b/>
                <w:bCs/>
                <w:noProof/>
                <w:webHidden/>
              </w:rPr>
              <w:tab/>
            </w:r>
            <w:r w:rsidR="00A745FE" w:rsidRPr="00ED38E8">
              <w:rPr>
                <w:rFonts w:ascii="Arial" w:hAnsi="Arial" w:cs="Arial"/>
                <w:noProof/>
                <w:webHidden/>
              </w:rPr>
              <w:fldChar w:fldCharType="begin"/>
            </w:r>
            <w:r w:rsidR="00A745FE" w:rsidRPr="00ED38E8">
              <w:rPr>
                <w:rFonts w:ascii="Arial" w:hAnsi="Arial" w:cs="Arial"/>
                <w:noProof/>
                <w:webHidden/>
              </w:rPr>
              <w:instrText xml:space="preserve"> PAGEREF _Toc18329991 \h </w:instrText>
            </w:r>
            <w:r w:rsidR="00A745FE" w:rsidRPr="00ED38E8">
              <w:rPr>
                <w:rFonts w:ascii="Arial" w:hAnsi="Arial" w:cs="Arial"/>
                <w:noProof/>
                <w:webHidden/>
              </w:rPr>
            </w:r>
            <w:r w:rsidR="00A745FE" w:rsidRPr="00ED38E8">
              <w:rPr>
                <w:rFonts w:ascii="Arial" w:hAnsi="Arial" w:cs="Arial"/>
                <w:noProof/>
                <w:webHidden/>
              </w:rPr>
              <w:fldChar w:fldCharType="separate"/>
            </w:r>
            <w:r w:rsidR="000444EE" w:rsidRPr="00ED38E8">
              <w:rPr>
                <w:rFonts w:ascii="Arial" w:hAnsi="Arial" w:cs="Arial"/>
                <w:noProof/>
                <w:webHidden/>
              </w:rPr>
              <w:t>v</w:t>
            </w:r>
            <w:r w:rsidR="00A745FE" w:rsidRPr="00ED38E8">
              <w:rPr>
                <w:rFonts w:ascii="Arial" w:hAnsi="Arial" w:cs="Arial"/>
                <w:noProof/>
                <w:webHidden/>
              </w:rPr>
              <w:fldChar w:fldCharType="end"/>
            </w:r>
          </w:hyperlink>
        </w:p>
        <w:p w:rsidR="007E0DA5" w:rsidRPr="00ED38E8" w:rsidRDefault="007E0DA5" w:rsidP="007E0DA5">
          <w:pPr>
            <w:rPr>
              <w:rFonts w:ascii="Arial" w:hAnsi="Arial" w:cs="Arial"/>
              <w:noProof/>
            </w:rPr>
          </w:pPr>
        </w:p>
        <w:p w:rsidR="00A745FE" w:rsidRPr="00ED38E8" w:rsidRDefault="004F236C">
          <w:pPr>
            <w:pStyle w:val="TOC1"/>
            <w:tabs>
              <w:tab w:val="right" w:leader="dot" w:pos="9435"/>
            </w:tabs>
            <w:rPr>
              <w:rFonts w:ascii="Arial" w:eastAsiaTheme="minorEastAsia" w:hAnsi="Arial" w:cs="Arial"/>
              <w:b/>
              <w:bCs/>
              <w:noProof/>
            </w:rPr>
          </w:pPr>
          <w:hyperlink w:anchor="_Toc18329993" w:history="1">
            <w:r w:rsidR="00A745FE" w:rsidRPr="00ED38E8">
              <w:rPr>
                <w:rStyle w:val="Hyperlink"/>
                <w:rFonts w:ascii="Arial" w:eastAsia="Calibri" w:hAnsi="Arial" w:cs="Arial"/>
                <w:b/>
                <w:bCs/>
                <w:noProof/>
              </w:rPr>
              <w:t>Chapter 1</w:t>
            </w:r>
          </w:hyperlink>
        </w:p>
        <w:p w:rsidR="00A745FE" w:rsidRPr="00ED38E8" w:rsidRDefault="004F236C">
          <w:pPr>
            <w:pStyle w:val="TOC1"/>
            <w:tabs>
              <w:tab w:val="right" w:leader="dot" w:pos="9435"/>
            </w:tabs>
            <w:rPr>
              <w:rFonts w:ascii="Arial" w:eastAsiaTheme="minorEastAsia" w:hAnsi="Arial" w:cs="Arial"/>
              <w:b/>
              <w:bCs/>
              <w:noProof/>
            </w:rPr>
          </w:pPr>
          <w:hyperlink w:anchor="_Toc18329994" w:history="1">
            <w:r w:rsidR="00A745FE" w:rsidRPr="00ED38E8">
              <w:rPr>
                <w:rStyle w:val="Hyperlink"/>
                <w:rFonts w:ascii="Arial" w:eastAsia="Calibri" w:hAnsi="Arial" w:cs="Arial"/>
                <w:b/>
                <w:bCs/>
                <w:noProof/>
              </w:rPr>
              <w:t>Introduction</w:t>
            </w:r>
            <w:r w:rsidR="00A745FE" w:rsidRPr="00ED38E8">
              <w:rPr>
                <w:rFonts w:ascii="Arial" w:hAnsi="Arial" w:cs="Arial"/>
                <w:b/>
                <w:bCs/>
                <w:noProof/>
                <w:webHidden/>
              </w:rPr>
              <w:tab/>
            </w:r>
            <w:r w:rsidR="00A745FE" w:rsidRPr="00ED38E8">
              <w:rPr>
                <w:rFonts w:ascii="Arial" w:hAnsi="Arial" w:cs="Arial"/>
                <w:noProof/>
                <w:webHidden/>
              </w:rPr>
              <w:fldChar w:fldCharType="begin"/>
            </w:r>
            <w:r w:rsidR="00A745FE" w:rsidRPr="00ED38E8">
              <w:rPr>
                <w:rFonts w:ascii="Arial" w:hAnsi="Arial" w:cs="Arial"/>
                <w:noProof/>
                <w:webHidden/>
              </w:rPr>
              <w:instrText xml:space="preserve"> PAGEREF _Toc18329994 \h </w:instrText>
            </w:r>
            <w:r w:rsidR="00A745FE" w:rsidRPr="00ED38E8">
              <w:rPr>
                <w:rFonts w:ascii="Arial" w:hAnsi="Arial" w:cs="Arial"/>
                <w:noProof/>
                <w:webHidden/>
              </w:rPr>
            </w:r>
            <w:r w:rsidR="00A745FE" w:rsidRPr="00ED38E8">
              <w:rPr>
                <w:rFonts w:ascii="Arial" w:hAnsi="Arial" w:cs="Arial"/>
                <w:noProof/>
                <w:webHidden/>
              </w:rPr>
              <w:fldChar w:fldCharType="separate"/>
            </w:r>
            <w:r w:rsidR="000444EE" w:rsidRPr="00ED38E8">
              <w:rPr>
                <w:rFonts w:ascii="Arial" w:hAnsi="Arial" w:cs="Arial"/>
                <w:noProof/>
                <w:webHidden/>
              </w:rPr>
              <w:t>1</w:t>
            </w:r>
            <w:r w:rsidR="00A745FE" w:rsidRPr="00ED38E8">
              <w:rPr>
                <w:rFonts w:ascii="Arial" w:hAnsi="Arial" w:cs="Arial"/>
                <w:noProof/>
                <w:webHidden/>
              </w:rPr>
              <w:fldChar w:fldCharType="end"/>
            </w:r>
          </w:hyperlink>
        </w:p>
        <w:p w:rsidR="00A745FE" w:rsidRPr="00ED38E8" w:rsidRDefault="004F236C">
          <w:pPr>
            <w:pStyle w:val="TOC2"/>
            <w:tabs>
              <w:tab w:val="right" w:leader="dot" w:pos="9435"/>
            </w:tabs>
            <w:rPr>
              <w:rFonts w:ascii="Arial" w:eastAsiaTheme="minorEastAsia" w:hAnsi="Arial" w:cs="Arial"/>
              <w:noProof/>
            </w:rPr>
          </w:pPr>
          <w:hyperlink w:anchor="_Toc18329995" w:history="1">
            <w:r w:rsidR="00A745FE" w:rsidRPr="00ED38E8">
              <w:rPr>
                <w:rStyle w:val="Hyperlink"/>
                <w:rFonts w:ascii="Arial" w:eastAsia="Calibri" w:hAnsi="Arial" w:cs="Arial"/>
                <w:b/>
                <w:bCs/>
                <w:noProof/>
              </w:rPr>
              <w:t>1.1 Origin of the Report</w:t>
            </w:r>
            <w:r w:rsidR="00A745FE" w:rsidRPr="00ED38E8">
              <w:rPr>
                <w:rFonts w:ascii="Arial" w:hAnsi="Arial" w:cs="Arial"/>
                <w:noProof/>
                <w:webHidden/>
              </w:rPr>
              <w:tab/>
            </w:r>
            <w:r w:rsidR="00A745FE" w:rsidRPr="00ED38E8">
              <w:rPr>
                <w:rFonts w:ascii="Arial" w:hAnsi="Arial" w:cs="Arial"/>
                <w:noProof/>
                <w:webHidden/>
              </w:rPr>
              <w:fldChar w:fldCharType="begin"/>
            </w:r>
            <w:r w:rsidR="00A745FE" w:rsidRPr="00ED38E8">
              <w:rPr>
                <w:rFonts w:ascii="Arial" w:hAnsi="Arial" w:cs="Arial"/>
                <w:noProof/>
                <w:webHidden/>
              </w:rPr>
              <w:instrText xml:space="preserve"> PAGEREF _Toc18329995 \h </w:instrText>
            </w:r>
            <w:r w:rsidR="00A745FE" w:rsidRPr="00ED38E8">
              <w:rPr>
                <w:rFonts w:ascii="Arial" w:hAnsi="Arial" w:cs="Arial"/>
                <w:noProof/>
                <w:webHidden/>
              </w:rPr>
            </w:r>
            <w:r w:rsidR="00A745FE" w:rsidRPr="00ED38E8">
              <w:rPr>
                <w:rFonts w:ascii="Arial" w:hAnsi="Arial" w:cs="Arial"/>
                <w:noProof/>
                <w:webHidden/>
              </w:rPr>
              <w:fldChar w:fldCharType="separate"/>
            </w:r>
            <w:r w:rsidR="000444EE" w:rsidRPr="00ED38E8">
              <w:rPr>
                <w:rFonts w:ascii="Arial" w:hAnsi="Arial" w:cs="Arial"/>
                <w:noProof/>
                <w:webHidden/>
              </w:rPr>
              <w:t>2</w:t>
            </w:r>
            <w:r w:rsidR="00A745FE" w:rsidRPr="00ED38E8">
              <w:rPr>
                <w:rFonts w:ascii="Arial" w:hAnsi="Arial" w:cs="Arial"/>
                <w:noProof/>
                <w:webHidden/>
              </w:rPr>
              <w:fldChar w:fldCharType="end"/>
            </w:r>
          </w:hyperlink>
        </w:p>
        <w:p w:rsidR="00A745FE" w:rsidRPr="00ED38E8" w:rsidRDefault="004F236C">
          <w:pPr>
            <w:pStyle w:val="TOC2"/>
            <w:tabs>
              <w:tab w:val="right" w:leader="dot" w:pos="9435"/>
            </w:tabs>
            <w:rPr>
              <w:rFonts w:ascii="Arial" w:eastAsiaTheme="minorEastAsia" w:hAnsi="Arial" w:cs="Arial"/>
              <w:noProof/>
            </w:rPr>
          </w:pPr>
          <w:hyperlink w:anchor="_Toc18329996" w:history="1">
            <w:r w:rsidR="00A745FE" w:rsidRPr="00ED38E8">
              <w:rPr>
                <w:rStyle w:val="Hyperlink"/>
                <w:rFonts w:ascii="Arial" w:eastAsia="Calibri" w:hAnsi="Arial" w:cs="Arial"/>
                <w:b/>
                <w:bCs/>
                <w:noProof/>
              </w:rPr>
              <w:t>1.2 Objectives of the report</w:t>
            </w:r>
            <w:r w:rsidR="00A745FE" w:rsidRPr="00ED38E8">
              <w:rPr>
                <w:rFonts w:ascii="Arial" w:hAnsi="Arial" w:cs="Arial"/>
                <w:noProof/>
                <w:webHidden/>
              </w:rPr>
              <w:tab/>
            </w:r>
            <w:r w:rsidR="00A745FE" w:rsidRPr="00ED38E8">
              <w:rPr>
                <w:rFonts w:ascii="Arial" w:hAnsi="Arial" w:cs="Arial"/>
                <w:noProof/>
                <w:webHidden/>
              </w:rPr>
              <w:fldChar w:fldCharType="begin"/>
            </w:r>
            <w:r w:rsidR="00A745FE" w:rsidRPr="00ED38E8">
              <w:rPr>
                <w:rFonts w:ascii="Arial" w:hAnsi="Arial" w:cs="Arial"/>
                <w:noProof/>
                <w:webHidden/>
              </w:rPr>
              <w:instrText xml:space="preserve"> PAGEREF _Toc18329996 \h </w:instrText>
            </w:r>
            <w:r w:rsidR="00A745FE" w:rsidRPr="00ED38E8">
              <w:rPr>
                <w:rFonts w:ascii="Arial" w:hAnsi="Arial" w:cs="Arial"/>
                <w:noProof/>
                <w:webHidden/>
              </w:rPr>
            </w:r>
            <w:r w:rsidR="00A745FE" w:rsidRPr="00ED38E8">
              <w:rPr>
                <w:rFonts w:ascii="Arial" w:hAnsi="Arial" w:cs="Arial"/>
                <w:noProof/>
                <w:webHidden/>
              </w:rPr>
              <w:fldChar w:fldCharType="separate"/>
            </w:r>
            <w:r w:rsidR="000444EE" w:rsidRPr="00ED38E8">
              <w:rPr>
                <w:rFonts w:ascii="Arial" w:hAnsi="Arial" w:cs="Arial"/>
                <w:noProof/>
                <w:webHidden/>
              </w:rPr>
              <w:t>2</w:t>
            </w:r>
            <w:r w:rsidR="00A745FE" w:rsidRPr="00ED38E8">
              <w:rPr>
                <w:rFonts w:ascii="Arial" w:hAnsi="Arial" w:cs="Arial"/>
                <w:noProof/>
                <w:webHidden/>
              </w:rPr>
              <w:fldChar w:fldCharType="end"/>
            </w:r>
          </w:hyperlink>
        </w:p>
        <w:p w:rsidR="00A745FE" w:rsidRPr="00ED38E8" w:rsidRDefault="004F236C">
          <w:pPr>
            <w:pStyle w:val="TOC2"/>
            <w:tabs>
              <w:tab w:val="right" w:leader="dot" w:pos="9435"/>
            </w:tabs>
            <w:rPr>
              <w:rFonts w:ascii="Arial" w:eastAsiaTheme="minorEastAsia" w:hAnsi="Arial" w:cs="Arial"/>
              <w:noProof/>
            </w:rPr>
          </w:pPr>
          <w:hyperlink w:anchor="_Toc18329997" w:history="1">
            <w:r w:rsidR="00A745FE" w:rsidRPr="00ED38E8">
              <w:rPr>
                <w:rStyle w:val="Hyperlink"/>
                <w:rFonts w:ascii="Arial" w:eastAsia="Calibri" w:hAnsi="Arial" w:cs="Arial"/>
                <w:b/>
                <w:bCs/>
                <w:noProof/>
              </w:rPr>
              <w:t>1.3 Scope of study</w:t>
            </w:r>
            <w:r w:rsidR="00A745FE" w:rsidRPr="00ED38E8">
              <w:rPr>
                <w:rFonts w:ascii="Arial" w:hAnsi="Arial" w:cs="Arial"/>
                <w:noProof/>
                <w:webHidden/>
              </w:rPr>
              <w:tab/>
            </w:r>
            <w:r w:rsidR="00A745FE" w:rsidRPr="00ED38E8">
              <w:rPr>
                <w:rFonts w:ascii="Arial" w:hAnsi="Arial" w:cs="Arial"/>
                <w:noProof/>
                <w:webHidden/>
              </w:rPr>
              <w:fldChar w:fldCharType="begin"/>
            </w:r>
            <w:r w:rsidR="00A745FE" w:rsidRPr="00ED38E8">
              <w:rPr>
                <w:rFonts w:ascii="Arial" w:hAnsi="Arial" w:cs="Arial"/>
                <w:noProof/>
                <w:webHidden/>
              </w:rPr>
              <w:instrText xml:space="preserve"> PAGEREF _Toc18329997 \h </w:instrText>
            </w:r>
            <w:r w:rsidR="00A745FE" w:rsidRPr="00ED38E8">
              <w:rPr>
                <w:rFonts w:ascii="Arial" w:hAnsi="Arial" w:cs="Arial"/>
                <w:noProof/>
                <w:webHidden/>
              </w:rPr>
            </w:r>
            <w:r w:rsidR="00A745FE" w:rsidRPr="00ED38E8">
              <w:rPr>
                <w:rFonts w:ascii="Arial" w:hAnsi="Arial" w:cs="Arial"/>
                <w:noProof/>
                <w:webHidden/>
              </w:rPr>
              <w:fldChar w:fldCharType="separate"/>
            </w:r>
            <w:r w:rsidR="000444EE" w:rsidRPr="00ED38E8">
              <w:rPr>
                <w:rFonts w:ascii="Arial" w:hAnsi="Arial" w:cs="Arial"/>
                <w:noProof/>
                <w:webHidden/>
              </w:rPr>
              <w:t>2</w:t>
            </w:r>
            <w:r w:rsidR="00A745FE" w:rsidRPr="00ED38E8">
              <w:rPr>
                <w:rFonts w:ascii="Arial" w:hAnsi="Arial" w:cs="Arial"/>
                <w:noProof/>
                <w:webHidden/>
              </w:rPr>
              <w:fldChar w:fldCharType="end"/>
            </w:r>
          </w:hyperlink>
        </w:p>
        <w:p w:rsidR="00A745FE" w:rsidRPr="00ED38E8" w:rsidRDefault="004F236C">
          <w:pPr>
            <w:pStyle w:val="TOC2"/>
            <w:tabs>
              <w:tab w:val="right" w:leader="dot" w:pos="9435"/>
            </w:tabs>
            <w:rPr>
              <w:rFonts w:ascii="Arial" w:eastAsiaTheme="minorEastAsia" w:hAnsi="Arial" w:cs="Arial"/>
              <w:noProof/>
            </w:rPr>
          </w:pPr>
          <w:hyperlink w:anchor="_Toc18329998" w:history="1">
            <w:r w:rsidR="00A745FE" w:rsidRPr="00ED38E8">
              <w:rPr>
                <w:rStyle w:val="Hyperlink"/>
                <w:rFonts w:ascii="Arial" w:eastAsia="Calibri" w:hAnsi="Arial" w:cs="Arial"/>
                <w:b/>
                <w:bCs/>
                <w:noProof/>
              </w:rPr>
              <w:t>1.4 Methodology of study</w:t>
            </w:r>
            <w:r w:rsidR="00A745FE" w:rsidRPr="00ED38E8">
              <w:rPr>
                <w:rFonts w:ascii="Arial" w:hAnsi="Arial" w:cs="Arial"/>
                <w:noProof/>
                <w:webHidden/>
              </w:rPr>
              <w:tab/>
            </w:r>
            <w:r w:rsidR="00A745FE" w:rsidRPr="00ED38E8">
              <w:rPr>
                <w:rFonts w:ascii="Arial" w:hAnsi="Arial" w:cs="Arial"/>
                <w:noProof/>
                <w:webHidden/>
              </w:rPr>
              <w:fldChar w:fldCharType="begin"/>
            </w:r>
            <w:r w:rsidR="00A745FE" w:rsidRPr="00ED38E8">
              <w:rPr>
                <w:rFonts w:ascii="Arial" w:hAnsi="Arial" w:cs="Arial"/>
                <w:noProof/>
                <w:webHidden/>
              </w:rPr>
              <w:instrText xml:space="preserve"> PAGEREF _Toc18329998 \h </w:instrText>
            </w:r>
            <w:r w:rsidR="00A745FE" w:rsidRPr="00ED38E8">
              <w:rPr>
                <w:rFonts w:ascii="Arial" w:hAnsi="Arial" w:cs="Arial"/>
                <w:noProof/>
                <w:webHidden/>
              </w:rPr>
            </w:r>
            <w:r w:rsidR="00A745FE" w:rsidRPr="00ED38E8">
              <w:rPr>
                <w:rFonts w:ascii="Arial" w:hAnsi="Arial" w:cs="Arial"/>
                <w:noProof/>
                <w:webHidden/>
              </w:rPr>
              <w:fldChar w:fldCharType="separate"/>
            </w:r>
            <w:r w:rsidR="000444EE" w:rsidRPr="00ED38E8">
              <w:rPr>
                <w:rFonts w:ascii="Arial" w:hAnsi="Arial" w:cs="Arial"/>
                <w:noProof/>
                <w:webHidden/>
              </w:rPr>
              <w:t>2</w:t>
            </w:r>
            <w:r w:rsidR="00A745FE" w:rsidRPr="00ED38E8">
              <w:rPr>
                <w:rFonts w:ascii="Arial" w:hAnsi="Arial" w:cs="Arial"/>
                <w:noProof/>
                <w:webHidden/>
              </w:rPr>
              <w:fldChar w:fldCharType="end"/>
            </w:r>
          </w:hyperlink>
        </w:p>
        <w:p w:rsidR="00A745FE" w:rsidRPr="00ED38E8" w:rsidRDefault="004F236C">
          <w:pPr>
            <w:pStyle w:val="TOC2"/>
            <w:tabs>
              <w:tab w:val="right" w:leader="dot" w:pos="9435"/>
            </w:tabs>
            <w:rPr>
              <w:rStyle w:val="Hyperlink"/>
              <w:rFonts w:ascii="Arial" w:hAnsi="Arial" w:cs="Arial"/>
              <w:noProof/>
            </w:rPr>
          </w:pPr>
          <w:hyperlink w:anchor="_Toc18329999" w:history="1">
            <w:r w:rsidR="00A745FE" w:rsidRPr="00ED38E8">
              <w:rPr>
                <w:rStyle w:val="Hyperlink"/>
                <w:rFonts w:ascii="Arial" w:eastAsia="Calibri" w:hAnsi="Arial" w:cs="Arial"/>
                <w:b/>
                <w:bCs/>
                <w:noProof/>
              </w:rPr>
              <w:t>1.5 Limitations of the Study</w:t>
            </w:r>
            <w:r w:rsidR="00A745FE" w:rsidRPr="00ED38E8">
              <w:rPr>
                <w:rFonts w:ascii="Arial" w:hAnsi="Arial" w:cs="Arial"/>
                <w:noProof/>
                <w:webHidden/>
              </w:rPr>
              <w:tab/>
            </w:r>
            <w:r w:rsidR="00A745FE" w:rsidRPr="00ED38E8">
              <w:rPr>
                <w:rFonts w:ascii="Arial" w:hAnsi="Arial" w:cs="Arial"/>
                <w:noProof/>
                <w:webHidden/>
              </w:rPr>
              <w:fldChar w:fldCharType="begin"/>
            </w:r>
            <w:r w:rsidR="00A745FE" w:rsidRPr="00ED38E8">
              <w:rPr>
                <w:rFonts w:ascii="Arial" w:hAnsi="Arial" w:cs="Arial"/>
                <w:noProof/>
                <w:webHidden/>
              </w:rPr>
              <w:instrText xml:space="preserve"> PAGEREF _Toc18329999 \h </w:instrText>
            </w:r>
            <w:r w:rsidR="00A745FE" w:rsidRPr="00ED38E8">
              <w:rPr>
                <w:rFonts w:ascii="Arial" w:hAnsi="Arial" w:cs="Arial"/>
                <w:noProof/>
                <w:webHidden/>
              </w:rPr>
            </w:r>
            <w:r w:rsidR="00A745FE" w:rsidRPr="00ED38E8">
              <w:rPr>
                <w:rFonts w:ascii="Arial" w:hAnsi="Arial" w:cs="Arial"/>
                <w:noProof/>
                <w:webHidden/>
              </w:rPr>
              <w:fldChar w:fldCharType="separate"/>
            </w:r>
            <w:r w:rsidR="000444EE" w:rsidRPr="00ED38E8">
              <w:rPr>
                <w:rFonts w:ascii="Arial" w:hAnsi="Arial" w:cs="Arial"/>
                <w:noProof/>
                <w:webHidden/>
              </w:rPr>
              <w:t>3</w:t>
            </w:r>
            <w:r w:rsidR="00A745FE" w:rsidRPr="00ED38E8">
              <w:rPr>
                <w:rFonts w:ascii="Arial" w:hAnsi="Arial" w:cs="Arial"/>
                <w:noProof/>
                <w:webHidden/>
              </w:rPr>
              <w:fldChar w:fldCharType="end"/>
            </w:r>
          </w:hyperlink>
        </w:p>
        <w:p w:rsidR="007E0DA5" w:rsidRPr="00ED38E8" w:rsidRDefault="007E0DA5" w:rsidP="007E0DA5">
          <w:pPr>
            <w:rPr>
              <w:rFonts w:ascii="Arial" w:hAnsi="Arial" w:cs="Arial"/>
              <w:noProof/>
            </w:rPr>
          </w:pPr>
        </w:p>
        <w:p w:rsidR="00A745FE" w:rsidRPr="00ED38E8" w:rsidRDefault="004F236C">
          <w:pPr>
            <w:pStyle w:val="TOC1"/>
            <w:tabs>
              <w:tab w:val="right" w:leader="dot" w:pos="9435"/>
            </w:tabs>
            <w:rPr>
              <w:rFonts w:ascii="Arial" w:eastAsiaTheme="minorEastAsia" w:hAnsi="Arial" w:cs="Arial"/>
              <w:b/>
              <w:bCs/>
              <w:noProof/>
            </w:rPr>
          </w:pPr>
          <w:hyperlink w:anchor="_Toc18330000" w:history="1">
            <w:r w:rsidR="00A745FE" w:rsidRPr="00ED38E8">
              <w:rPr>
                <w:rStyle w:val="Hyperlink"/>
                <w:rFonts w:ascii="Arial" w:eastAsia="Calibri" w:hAnsi="Arial" w:cs="Arial"/>
                <w:b/>
                <w:bCs/>
                <w:noProof/>
              </w:rPr>
              <w:t>Chapter 2</w:t>
            </w:r>
          </w:hyperlink>
        </w:p>
        <w:p w:rsidR="00A745FE" w:rsidRPr="00ED38E8" w:rsidRDefault="004F236C">
          <w:pPr>
            <w:pStyle w:val="TOC1"/>
            <w:tabs>
              <w:tab w:val="right" w:leader="dot" w:pos="9435"/>
            </w:tabs>
            <w:rPr>
              <w:rFonts w:ascii="Arial" w:eastAsiaTheme="minorEastAsia" w:hAnsi="Arial" w:cs="Arial"/>
              <w:b/>
              <w:bCs/>
              <w:noProof/>
            </w:rPr>
          </w:pPr>
          <w:hyperlink w:anchor="_Toc18330001" w:history="1">
            <w:r w:rsidR="00A745FE" w:rsidRPr="00ED38E8">
              <w:rPr>
                <w:rStyle w:val="Hyperlink"/>
                <w:rFonts w:ascii="Arial" w:eastAsia="Calibri" w:hAnsi="Arial" w:cs="Arial"/>
                <w:b/>
                <w:bCs/>
                <w:noProof/>
              </w:rPr>
              <w:t>An Overview of IDLC Finance Limited</w:t>
            </w:r>
            <w:r w:rsidR="00A745FE" w:rsidRPr="00ED38E8">
              <w:rPr>
                <w:rFonts w:ascii="Arial" w:hAnsi="Arial" w:cs="Arial"/>
                <w:b/>
                <w:bCs/>
                <w:noProof/>
                <w:webHidden/>
              </w:rPr>
              <w:tab/>
            </w:r>
            <w:r w:rsidR="0004638A">
              <w:rPr>
                <w:rFonts w:ascii="Arial" w:hAnsi="Arial" w:cs="Arial"/>
                <w:noProof/>
                <w:webHidden/>
              </w:rPr>
              <w:t>4</w:t>
            </w:r>
          </w:hyperlink>
        </w:p>
        <w:p w:rsidR="00A745FE" w:rsidRPr="00ED38E8" w:rsidRDefault="004F236C">
          <w:pPr>
            <w:pStyle w:val="TOC2"/>
            <w:tabs>
              <w:tab w:val="right" w:leader="dot" w:pos="9435"/>
            </w:tabs>
            <w:rPr>
              <w:rFonts w:ascii="Arial" w:eastAsiaTheme="minorEastAsia" w:hAnsi="Arial" w:cs="Arial"/>
              <w:noProof/>
            </w:rPr>
          </w:pPr>
          <w:hyperlink w:anchor="_Toc18330002" w:history="1">
            <w:r w:rsidR="00A745FE" w:rsidRPr="00ED38E8">
              <w:rPr>
                <w:rStyle w:val="Hyperlink"/>
                <w:rFonts w:ascii="Arial" w:eastAsia="Calibri" w:hAnsi="Arial" w:cs="Arial"/>
                <w:b/>
                <w:bCs/>
                <w:noProof/>
              </w:rPr>
              <w:t>2.1CompanyTOverview</w:t>
            </w:r>
            <w:r w:rsidR="00A745FE" w:rsidRPr="00ED38E8">
              <w:rPr>
                <w:rFonts w:ascii="Arial" w:hAnsi="Arial" w:cs="Arial"/>
                <w:noProof/>
                <w:webHidden/>
              </w:rPr>
              <w:tab/>
            </w:r>
            <w:r w:rsidR="0004638A">
              <w:rPr>
                <w:rFonts w:ascii="Arial" w:hAnsi="Arial" w:cs="Arial"/>
                <w:noProof/>
                <w:webHidden/>
              </w:rPr>
              <w:t>5</w:t>
            </w:r>
          </w:hyperlink>
        </w:p>
        <w:p w:rsidR="00A745FE" w:rsidRPr="00ED38E8" w:rsidRDefault="004F236C">
          <w:pPr>
            <w:pStyle w:val="TOC2"/>
            <w:tabs>
              <w:tab w:val="right" w:leader="dot" w:pos="9435"/>
            </w:tabs>
            <w:rPr>
              <w:rFonts w:ascii="Arial" w:eastAsiaTheme="minorEastAsia" w:hAnsi="Arial" w:cs="Arial"/>
              <w:noProof/>
              <w:color w:val="000000" w:themeColor="text1"/>
            </w:rPr>
          </w:pPr>
          <w:hyperlink w:anchor="_Toc18330003" w:history="1">
            <w:r w:rsidR="00A745FE" w:rsidRPr="00ED38E8">
              <w:rPr>
                <w:rStyle w:val="Hyperlink"/>
                <w:rFonts w:ascii="Arial" w:eastAsia="Calibri" w:hAnsi="Arial" w:cs="Arial"/>
                <w:b/>
                <w:bCs/>
                <w:noProof/>
                <w:color w:val="000000" w:themeColor="text1"/>
              </w:rPr>
              <w:t>2.2 Subsidiaries</w:t>
            </w:r>
            <w:r w:rsidR="00A745FE" w:rsidRPr="00ED38E8">
              <w:rPr>
                <w:rFonts w:ascii="Arial" w:hAnsi="Arial" w:cs="Arial"/>
                <w:noProof/>
                <w:webHidden/>
                <w:color w:val="000000" w:themeColor="text1"/>
              </w:rPr>
              <w:tab/>
            </w:r>
            <w:r w:rsidR="0004638A">
              <w:rPr>
                <w:rFonts w:ascii="Arial" w:hAnsi="Arial" w:cs="Arial"/>
                <w:noProof/>
                <w:webHidden/>
                <w:color w:val="000000" w:themeColor="text1"/>
              </w:rPr>
              <w:t>5</w:t>
            </w:r>
          </w:hyperlink>
        </w:p>
        <w:p w:rsidR="00A745FE" w:rsidRDefault="004F236C">
          <w:pPr>
            <w:pStyle w:val="TOC2"/>
            <w:tabs>
              <w:tab w:val="right" w:leader="dot" w:pos="9435"/>
            </w:tabs>
            <w:rPr>
              <w:rFonts w:ascii="Arial" w:hAnsi="Arial" w:cs="Arial"/>
              <w:noProof/>
              <w:color w:val="000000" w:themeColor="text1"/>
            </w:rPr>
          </w:pPr>
          <w:hyperlink w:anchor="_Toc18330014" w:history="1">
            <w:r w:rsidR="00A745FE" w:rsidRPr="00ED38E8">
              <w:rPr>
                <w:rStyle w:val="Hyperlink"/>
                <w:rFonts w:ascii="Arial" w:hAnsi="Arial" w:cs="Arial"/>
                <w:b/>
                <w:bCs/>
                <w:noProof/>
                <w:color w:val="000000" w:themeColor="text1"/>
              </w:rPr>
              <w:t>2.</w:t>
            </w:r>
            <w:r w:rsidR="00D90713">
              <w:rPr>
                <w:rStyle w:val="Hyperlink"/>
                <w:rFonts w:ascii="Arial" w:hAnsi="Arial" w:cs="Arial"/>
                <w:b/>
                <w:bCs/>
                <w:noProof/>
                <w:color w:val="000000" w:themeColor="text1"/>
              </w:rPr>
              <w:t>3</w:t>
            </w:r>
            <w:r w:rsidR="00A745FE" w:rsidRPr="00ED38E8">
              <w:rPr>
                <w:rStyle w:val="Hyperlink"/>
                <w:rFonts w:ascii="Arial" w:hAnsi="Arial" w:cs="Arial"/>
                <w:b/>
                <w:bCs/>
                <w:noProof/>
                <w:color w:val="000000" w:themeColor="text1"/>
              </w:rPr>
              <w:t xml:space="preserve"> </w:t>
            </w:r>
            <w:r w:rsidR="009C6580">
              <w:rPr>
                <w:rStyle w:val="Hyperlink"/>
                <w:rFonts w:ascii="Arial" w:hAnsi="Arial" w:cs="Arial"/>
                <w:b/>
                <w:bCs/>
                <w:noProof/>
                <w:color w:val="000000" w:themeColor="text1"/>
              </w:rPr>
              <w:t>Corprate Division / Department</w:t>
            </w:r>
            <w:r w:rsidR="00A745FE" w:rsidRPr="00ED38E8">
              <w:rPr>
                <w:rFonts w:ascii="Arial" w:hAnsi="Arial" w:cs="Arial"/>
                <w:noProof/>
                <w:webHidden/>
                <w:color w:val="000000" w:themeColor="text1"/>
              </w:rPr>
              <w:tab/>
            </w:r>
            <w:r w:rsidR="009C6580">
              <w:rPr>
                <w:rFonts w:ascii="Arial" w:hAnsi="Arial" w:cs="Arial"/>
                <w:noProof/>
                <w:webHidden/>
                <w:color w:val="000000" w:themeColor="text1"/>
              </w:rPr>
              <w:t>5</w:t>
            </w:r>
          </w:hyperlink>
        </w:p>
        <w:p w:rsidR="009C6580" w:rsidRDefault="009C6580" w:rsidP="009C6580">
          <w:r>
            <w:t xml:space="preserve">   </w:t>
          </w:r>
          <w:r w:rsidRPr="009C6580">
            <w:rPr>
              <w:rFonts w:ascii="Arial" w:hAnsi="Arial" w:cs="Arial"/>
            </w:rPr>
            <w:t xml:space="preserve"> </w:t>
          </w:r>
          <w:r w:rsidRPr="009C6580">
            <w:rPr>
              <w:rFonts w:ascii="Arial" w:hAnsi="Arial" w:cs="Arial"/>
              <w:b/>
            </w:rPr>
            <w:t>2.4 Contribution to the National Economy</w:t>
          </w:r>
          <w:r>
            <w:t>………………………………………………………………………………….</w:t>
          </w:r>
          <w:r w:rsidRPr="009C6580">
            <w:t>6</w:t>
          </w:r>
        </w:p>
        <w:p w:rsidR="009C6580" w:rsidRPr="004A4A28" w:rsidRDefault="004A4A28" w:rsidP="009C6580">
          <w:pPr>
            <w:rPr>
              <w:rFonts w:ascii="Arial" w:hAnsi="Arial" w:cs="Arial"/>
              <w:bCs/>
            </w:rPr>
          </w:pPr>
          <w:r>
            <w:rPr>
              <w:rFonts w:ascii="Arial" w:hAnsi="Arial" w:cs="Arial"/>
              <w:b/>
            </w:rPr>
            <w:t xml:space="preserve">  2.5 Competition Market </w:t>
          </w:r>
          <w:r>
            <w:rPr>
              <w:rFonts w:ascii="Arial" w:hAnsi="Arial" w:cs="Arial"/>
              <w:bCs/>
            </w:rPr>
            <w:t>………………………………………………………………….……………6</w:t>
          </w:r>
        </w:p>
        <w:p w:rsidR="007E0DA5" w:rsidRPr="004A4A28" w:rsidRDefault="004A4A28" w:rsidP="007E0DA5">
          <w:pPr>
            <w:rPr>
              <w:rFonts w:ascii="Arial" w:hAnsi="Arial" w:cs="Arial"/>
              <w:noProof/>
            </w:rPr>
          </w:pPr>
          <w:r>
            <w:rPr>
              <w:rFonts w:ascii="Arial" w:hAnsi="Arial" w:cs="Arial"/>
              <w:noProof/>
            </w:rPr>
            <w:t xml:space="preserve">  </w:t>
          </w:r>
          <w:r w:rsidRPr="004A4A28">
            <w:rPr>
              <w:rFonts w:ascii="Arial" w:hAnsi="Arial" w:cs="Arial"/>
              <w:b/>
              <w:bCs/>
              <w:noProof/>
            </w:rPr>
            <w:t>2.6 Corporate Social Responsibility</w:t>
          </w:r>
          <w:r>
            <w:rPr>
              <w:rFonts w:ascii="Arial" w:hAnsi="Arial" w:cs="Arial"/>
              <w:b/>
              <w:bCs/>
              <w:noProof/>
            </w:rPr>
            <w:t xml:space="preserve"> </w:t>
          </w:r>
          <w:r>
            <w:rPr>
              <w:rFonts w:ascii="Arial" w:hAnsi="Arial" w:cs="Arial"/>
              <w:noProof/>
            </w:rPr>
            <w:t>………………………………………………………………..6</w:t>
          </w:r>
        </w:p>
        <w:p w:rsidR="00A745FE" w:rsidRPr="00ED38E8" w:rsidRDefault="004F236C">
          <w:pPr>
            <w:pStyle w:val="TOC1"/>
            <w:tabs>
              <w:tab w:val="right" w:leader="dot" w:pos="9435"/>
            </w:tabs>
            <w:rPr>
              <w:rFonts w:ascii="Arial" w:eastAsiaTheme="minorEastAsia" w:hAnsi="Arial" w:cs="Arial"/>
              <w:b/>
              <w:bCs/>
              <w:noProof/>
            </w:rPr>
          </w:pPr>
          <w:hyperlink w:anchor="_Toc18330019" w:history="1">
            <w:r w:rsidR="00A745FE" w:rsidRPr="00ED38E8">
              <w:rPr>
                <w:rStyle w:val="Hyperlink"/>
                <w:rFonts w:ascii="Arial" w:eastAsia="Calibri" w:hAnsi="Arial" w:cs="Arial"/>
                <w:b/>
                <w:bCs/>
                <w:noProof/>
              </w:rPr>
              <w:t>Chapter 3</w:t>
            </w:r>
          </w:hyperlink>
        </w:p>
        <w:p w:rsidR="00A745FE" w:rsidRPr="00ED38E8" w:rsidRDefault="004F236C">
          <w:pPr>
            <w:pStyle w:val="TOC1"/>
            <w:tabs>
              <w:tab w:val="right" w:leader="dot" w:pos="9435"/>
            </w:tabs>
            <w:rPr>
              <w:rFonts w:ascii="Arial" w:eastAsiaTheme="minorEastAsia" w:hAnsi="Arial" w:cs="Arial"/>
              <w:b/>
              <w:bCs/>
              <w:noProof/>
            </w:rPr>
          </w:pPr>
          <w:hyperlink w:anchor="_Toc18330020" w:history="1">
            <w:r w:rsidR="00A745FE" w:rsidRPr="00ED38E8">
              <w:rPr>
                <w:rStyle w:val="Hyperlink"/>
                <w:rFonts w:ascii="Arial" w:eastAsia="Calibri" w:hAnsi="Arial" w:cs="Arial"/>
                <w:b/>
                <w:bCs/>
                <w:noProof/>
              </w:rPr>
              <w:t>Financial Analysis of IDLC</w:t>
            </w:r>
            <w:r w:rsidR="00A745FE" w:rsidRPr="00ED38E8">
              <w:rPr>
                <w:rFonts w:ascii="Arial" w:hAnsi="Arial" w:cs="Arial"/>
                <w:b/>
                <w:bCs/>
                <w:noProof/>
                <w:webHidden/>
              </w:rPr>
              <w:tab/>
            </w:r>
            <w:r w:rsidR="009C25A5">
              <w:rPr>
                <w:rFonts w:ascii="Arial" w:hAnsi="Arial" w:cs="Arial"/>
                <w:noProof/>
                <w:webHidden/>
              </w:rPr>
              <w:t>7</w:t>
            </w:r>
          </w:hyperlink>
        </w:p>
        <w:p w:rsidR="00AA4F47" w:rsidRPr="00ED38E8" w:rsidRDefault="004F236C" w:rsidP="00AA4F47">
          <w:pPr>
            <w:pStyle w:val="TOC2"/>
            <w:tabs>
              <w:tab w:val="right" w:leader="dot" w:pos="9435"/>
            </w:tabs>
            <w:rPr>
              <w:rFonts w:ascii="Arial" w:eastAsiaTheme="minorEastAsia" w:hAnsi="Arial" w:cs="Arial"/>
              <w:noProof/>
              <w:color w:val="000000" w:themeColor="text1"/>
            </w:rPr>
          </w:pPr>
          <w:hyperlink w:anchor="_Toc18330014" w:history="1">
            <w:r w:rsidR="00AA4F47" w:rsidRPr="00AA4F47">
              <w:rPr>
                <w:rStyle w:val="Hyperlink"/>
                <w:rFonts w:ascii="Arial" w:hAnsi="Arial" w:cs="Arial"/>
                <w:b/>
                <w:bCs/>
                <w:noProof/>
              </w:rPr>
              <w:t>3.1 Horizontal Analysis (IDLC)</w:t>
            </w:r>
            <w:r w:rsidR="00AA4F47" w:rsidRPr="00AA4F47">
              <w:rPr>
                <w:rStyle w:val="Hyperlink"/>
                <w:rFonts w:ascii="Arial" w:hAnsi="Arial" w:cs="Arial"/>
                <w:noProof/>
                <w:webHidden/>
              </w:rPr>
              <w:tab/>
            </w:r>
            <w:r w:rsidR="009C25A5">
              <w:rPr>
                <w:rStyle w:val="Hyperlink"/>
                <w:rFonts w:ascii="Arial" w:hAnsi="Arial" w:cs="Arial"/>
                <w:noProof/>
                <w:webHidden/>
              </w:rPr>
              <w:t>8</w:t>
            </w:r>
          </w:hyperlink>
        </w:p>
        <w:p w:rsidR="00AA4F47" w:rsidRPr="00ED38E8" w:rsidRDefault="004F236C" w:rsidP="00AA4F47">
          <w:pPr>
            <w:pStyle w:val="TOC3"/>
            <w:tabs>
              <w:tab w:val="right" w:leader="dot" w:pos="9435"/>
            </w:tabs>
            <w:rPr>
              <w:rFonts w:ascii="Arial" w:eastAsiaTheme="minorEastAsia" w:hAnsi="Arial" w:cs="Arial"/>
              <w:noProof/>
              <w:color w:val="000000" w:themeColor="text1"/>
            </w:rPr>
          </w:pPr>
          <w:hyperlink w:anchor="_Toc18330015" w:history="1">
            <w:r w:rsidR="00AA4F47" w:rsidRPr="00AA4F47">
              <w:rPr>
                <w:rStyle w:val="Hyperlink"/>
                <w:rFonts w:ascii="Arial" w:hAnsi="Arial" w:cs="Arial"/>
                <w:b/>
                <w:bCs/>
                <w:noProof/>
              </w:rPr>
              <w:t>3.1.1 Horizontal Analysis of Balance Sheet (IDLC)</w:t>
            </w:r>
            <w:r w:rsidR="00AA4F47" w:rsidRPr="00AA4F47">
              <w:rPr>
                <w:rStyle w:val="Hyperlink"/>
                <w:rFonts w:ascii="Arial" w:hAnsi="Arial" w:cs="Arial"/>
                <w:noProof/>
                <w:webHidden/>
              </w:rPr>
              <w:tab/>
            </w:r>
            <w:r w:rsidR="009C25A5">
              <w:rPr>
                <w:rStyle w:val="Hyperlink"/>
                <w:rFonts w:ascii="Arial" w:hAnsi="Arial" w:cs="Arial"/>
                <w:noProof/>
                <w:webHidden/>
              </w:rPr>
              <w:t>8</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23" w:history="1">
            <w:r w:rsidR="00A745FE" w:rsidRPr="00E73066">
              <w:rPr>
                <w:rStyle w:val="Hyperlink"/>
                <w:rFonts w:ascii="Arial" w:eastAsia="Calibri" w:hAnsi="Arial" w:cs="Arial"/>
                <w:b/>
                <w:bCs/>
                <w:noProof/>
              </w:rPr>
              <w:t>3.</w:t>
            </w:r>
            <w:r w:rsidR="00E73066" w:rsidRPr="00E73066">
              <w:rPr>
                <w:rStyle w:val="Hyperlink"/>
                <w:rFonts w:ascii="Arial" w:eastAsia="Calibri" w:hAnsi="Arial" w:cs="Arial"/>
                <w:b/>
                <w:bCs/>
                <w:noProof/>
              </w:rPr>
              <w:t>1</w:t>
            </w:r>
            <w:r w:rsidR="00A745FE" w:rsidRPr="00E73066">
              <w:rPr>
                <w:rStyle w:val="Hyperlink"/>
                <w:rFonts w:ascii="Arial" w:eastAsia="Calibri" w:hAnsi="Arial" w:cs="Arial"/>
                <w:b/>
                <w:bCs/>
                <w:noProof/>
              </w:rPr>
              <w:t>.</w:t>
            </w:r>
            <w:r w:rsidR="00E73066" w:rsidRPr="00E73066">
              <w:rPr>
                <w:rStyle w:val="Hyperlink"/>
                <w:rFonts w:ascii="Arial" w:eastAsia="Calibri" w:hAnsi="Arial" w:cs="Arial"/>
                <w:b/>
                <w:bCs/>
                <w:noProof/>
              </w:rPr>
              <w:t>2</w:t>
            </w:r>
            <w:r w:rsidR="00A745FE" w:rsidRPr="00E73066">
              <w:rPr>
                <w:rStyle w:val="Hyperlink"/>
                <w:rFonts w:ascii="Arial" w:eastAsia="Calibri" w:hAnsi="Arial" w:cs="Arial"/>
                <w:b/>
                <w:bCs/>
                <w:noProof/>
              </w:rPr>
              <w:t xml:space="preserve"> </w:t>
            </w:r>
            <w:r w:rsidR="00E73066" w:rsidRPr="00E73066">
              <w:rPr>
                <w:rStyle w:val="Hyperlink"/>
                <w:rFonts w:ascii="Arial" w:eastAsia="Calibri" w:hAnsi="Arial" w:cs="Arial"/>
                <w:b/>
                <w:bCs/>
                <w:noProof/>
              </w:rPr>
              <w:t>Horizontal Analysis of Profit and Loss Account (IDLC)</w:t>
            </w:r>
            <w:r w:rsidR="00A745FE" w:rsidRPr="00E73066">
              <w:rPr>
                <w:rStyle w:val="Hyperlink"/>
                <w:rFonts w:ascii="Arial" w:hAnsi="Arial" w:cs="Arial"/>
                <w:noProof/>
                <w:webHidden/>
              </w:rPr>
              <w:tab/>
            </w:r>
            <w:r w:rsidR="00A745FE" w:rsidRPr="00E73066">
              <w:rPr>
                <w:rStyle w:val="Hyperlink"/>
                <w:rFonts w:ascii="Arial" w:hAnsi="Arial" w:cs="Arial"/>
                <w:noProof/>
                <w:webHidden/>
              </w:rPr>
              <w:fldChar w:fldCharType="begin"/>
            </w:r>
            <w:r w:rsidR="00A745FE" w:rsidRPr="00E73066">
              <w:rPr>
                <w:rStyle w:val="Hyperlink"/>
                <w:rFonts w:ascii="Arial" w:hAnsi="Arial" w:cs="Arial"/>
                <w:noProof/>
                <w:webHidden/>
              </w:rPr>
              <w:instrText xml:space="preserve"> PAGEREF _Toc18330023 \h </w:instrText>
            </w:r>
            <w:r w:rsidR="00A745FE" w:rsidRPr="00E73066">
              <w:rPr>
                <w:rStyle w:val="Hyperlink"/>
                <w:rFonts w:ascii="Arial" w:hAnsi="Arial" w:cs="Arial"/>
                <w:noProof/>
                <w:webHidden/>
              </w:rPr>
            </w:r>
            <w:r w:rsidR="00A745FE" w:rsidRPr="00E73066">
              <w:rPr>
                <w:rStyle w:val="Hyperlink"/>
                <w:rFonts w:ascii="Arial" w:hAnsi="Arial" w:cs="Arial"/>
                <w:noProof/>
                <w:webHidden/>
              </w:rPr>
              <w:fldChar w:fldCharType="separate"/>
            </w:r>
            <w:r w:rsidR="000444EE" w:rsidRPr="00E73066">
              <w:rPr>
                <w:rStyle w:val="Hyperlink"/>
                <w:rFonts w:ascii="Arial" w:hAnsi="Arial" w:cs="Arial"/>
                <w:noProof/>
                <w:webHidden/>
              </w:rPr>
              <w:t>1</w:t>
            </w:r>
            <w:r w:rsidR="009C25A5">
              <w:rPr>
                <w:rStyle w:val="Hyperlink"/>
                <w:rFonts w:ascii="Arial" w:hAnsi="Arial" w:cs="Arial"/>
                <w:noProof/>
                <w:webHidden/>
              </w:rPr>
              <w:t>0</w:t>
            </w:r>
            <w:r w:rsidR="00A745FE" w:rsidRPr="00E73066">
              <w:rPr>
                <w:rStyle w:val="Hyperlink"/>
                <w:rFonts w:ascii="Arial" w:hAnsi="Arial" w:cs="Arial"/>
                <w:noProof/>
                <w:webHidden/>
              </w:rPr>
              <w:fldChar w:fldCharType="end"/>
            </w:r>
          </w:hyperlink>
        </w:p>
        <w:p w:rsidR="00A745FE" w:rsidRPr="00ED38E8" w:rsidRDefault="004F236C">
          <w:pPr>
            <w:pStyle w:val="TOC2"/>
            <w:tabs>
              <w:tab w:val="right" w:leader="dot" w:pos="9435"/>
            </w:tabs>
            <w:rPr>
              <w:rFonts w:ascii="Arial" w:eastAsiaTheme="minorEastAsia" w:hAnsi="Arial" w:cs="Arial"/>
              <w:noProof/>
              <w:color w:val="000000" w:themeColor="text1"/>
            </w:rPr>
          </w:pPr>
          <w:hyperlink w:anchor="_Toc18330025" w:history="1">
            <w:r w:rsidR="00A745FE" w:rsidRPr="00ED38E8">
              <w:rPr>
                <w:rStyle w:val="Hyperlink"/>
                <w:rFonts w:ascii="Arial" w:eastAsia="Calibri" w:hAnsi="Arial" w:cs="Arial"/>
                <w:b/>
                <w:bCs/>
                <w:noProof/>
                <w:color w:val="000000" w:themeColor="text1"/>
              </w:rPr>
              <w:t>3.</w:t>
            </w:r>
            <w:r w:rsidR="00236342">
              <w:rPr>
                <w:rStyle w:val="Hyperlink"/>
                <w:rFonts w:ascii="Arial" w:eastAsia="Calibri" w:hAnsi="Arial" w:cs="Arial"/>
                <w:b/>
                <w:bCs/>
                <w:noProof/>
                <w:color w:val="000000" w:themeColor="text1"/>
              </w:rPr>
              <w:t>2</w:t>
            </w:r>
            <w:r w:rsidR="00A745FE" w:rsidRPr="00ED38E8">
              <w:rPr>
                <w:rStyle w:val="Hyperlink"/>
                <w:rFonts w:ascii="Arial" w:eastAsia="Calibri" w:hAnsi="Arial" w:cs="Arial"/>
                <w:b/>
                <w:bCs/>
                <w:noProof/>
                <w:color w:val="000000" w:themeColor="text1"/>
              </w:rPr>
              <w:t xml:space="preserve"> Vertical Analysis (IDLC)</w:t>
            </w:r>
            <w:r w:rsidR="00A745FE" w:rsidRPr="00ED38E8">
              <w:rPr>
                <w:rFonts w:ascii="Arial" w:hAnsi="Arial" w:cs="Arial"/>
                <w:noProof/>
                <w:webHidden/>
                <w:color w:val="000000" w:themeColor="text1"/>
              </w:rPr>
              <w:tab/>
            </w:r>
            <w:r w:rsidR="00236342">
              <w:rPr>
                <w:rFonts w:ascii="Arial" w:hAnsi="Arial" w:cs="Arial"/>
                <w:noProof/>
                <w:webHidden/>
                <w:color w:val="000000" w:themeColor="text1"/>
              </w:rPr>
              <w:t>1</w:t>
            </w:r>
            <w:r w:rsidR="009C25A5">
              <w:rPr>
                <w:rFonts w:ascii="Arial" w:hAnsi="Arial" w:cs="Arial"/>
                <w:noProof/>
                <w:webHidden/>
                <w:color w:val="000000" w:themeColor="text1"/>
              </w:rPr>
              <w:t>2</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26" w:history="1">
            <w:r w:rsidR="00A745FE" w:rsidRPr="00ED38E8">
              <w:rPr>
                <w:rStyle w:val="Hyperlink"/>
                <w:rFonts w:ascii="Arial" w:eastAsia="Calibri" w:hAnsi="Arial" w:cs="Arial"/>
                <w:b/>
                <w:bCs/>
                <w:noProof/>
                <w:color w:val="000000" w:themeColor="text1"/>
              </w:rPr>
              <w:t>3.</w:t>
            </w:r>
            <w:r w:rsidR="00236342">
              <w:rPr>
                <w:rStyle w:val="Hyperlink"/>
                <w:rFonts w:ascii="Arial" w:eastAsia="Calibri" w:hAnsi="Arial" w:cs="Arial"/>
                <w:b/>
                <w:bCs/>
                <w:noProof/>
                <w:color w:val="000000" w:themeColor="text1"/>
              </w:rPr>
              <w:t>2</w:t>
            </w:r>
            <w:r w:rsidR="00A745FE" w:rsidRPr="00ED38E8">
              <w:rPr>
                <w:rStyle w:val="Hyperlink"/>
                <w:rFonts w:ascii="Arial" w:eastAsia="Calibri" w:hAnsi="Arial" w:cs="Arial"/>
                <w:b/>
                <w:bCs/>
                <w:noProof/>
                <w:color w:val="000000" w:themeColor="text1"/>
              </w:rPr>
              <w:t>.1 Vertical Analysis of Balance Sheet (IDLC)</w:t>
            </w:r>
            <w:r w:rsidR="00A745FE" w:rsidRPr="00ED38E8">
              <w:rPr>
                <w:rFonts w:ascii="Arial" w:hAnsi="Arial" w:cs="Arial"/>
                <w:noProof/>
                <w:webHidden/>
                <w:color w:val="000000" w:themeColor="text1"/>
              </w:rPr>
              <w:tab/>
            </w:r>
            <w:r w:rsidR="00236342">
              <w:rPr>
                <w:rFonts w:ascii="Arial" w:hAnsi="Arial" w:cs="Arial"/>
                <w:noProof/>
                <w:webHidden/>
                <w:color w:val="000000" w:themeColor="text1"/>
              </w:rPr>
              <w:t>1</w:t>
            </w:r>
            <w:r w:rsidR="009C25A5">
              <w:rPr>
                <w:rFonts w:ascii="Arial" w:hAnsi="Arial" w:cs="Arial"/>
                <w:noProof/>
                <w:webHidden/>
                <w:color w:val="000000" w:themeColor="text1"/>
              </w:rPr>
              <w:t>2</w:t>
            </w:r>
          </w:hyperlink>
        </w:p>
        <w:p w:rsidR="00A745FE" w:rsidRPr="00ED38E8" w:rsidRDefault="004F236C">
          <w:pPr>
            <w:pStyle w:val="TOC3"/>
            <w:tabs>
              <w:tab w:val="right" w:leader="dot" w:pos="9435"/>
            </w:tabs>
            <w:rPr>
              <w:rStyle w:val="Hyperlink"/>
              <w:rFonts w:ascii="Arial" w:hAnsi="Arial" w:cs="Arial"/>
              <w:noProof/>
              <w:color w:val="000000" w:themeColor="text1"/>
            </w:rPr>
          </w:pPr>
          <w:hyperlink w:anchor="_Toc18330027" w:history="1">
            <w:r w:rsidR="00A745FE" w:rsidRPr="00ED38E8">
              <w:rPr>
                <w:rStyle w:val="Hyperlink"/>
                <w:rFonts w:ascii="Arial" w:eastAsia="Calibri" w:hAnsi="Arial" w:cs="Arial"/>
                <w:b/>
                <w:bCs/>
                <w:noProof/>
                <w:color w:val="000000" w:themeColor="text1"/>
              </w:rPr>
              <w:t>3.</w:t>
            </w:r>
            <w:r w:rsidR="00236342">
              <w:rPr>
                <w:rStyle w:val="Hyperlink"/>
                <w:rFonts w:ascii="Arial" w:eastAsia="Calibri" w:hAnsi="Arial" w:cs="Arial"/>
                <w:b/>
                <w:bCs/>
                <w:noProof/>
                <w:color w:val="000000" w:themeColor="text1"/>
              </w:rPr>
              <w:t>2</w:t>
            </w:r>
            <w:r w:rsidR="00A745FE" w:rsidRPr="00ED38E8">
              <w:rPr>
                <w:rStyle w:val="Hyperlink"/>
                <w:rFonts w:ascii="Arial" w:eastAsia="Calibri" w:hAnsi="Arial" w:cs="Arial"/>
                <w:b/>
                <w:bCs/>
                <w:noProof/>
                <w:color w:val="000000" w:themeColor="text1"/>
              </w:rPr>
              <w:t>.2 Vertical Analysis of Profit and Loss Account</w:t>
            </w:r>
            <w:r w:rsidR="00A745FE" w:rsidRPr="00ED38E8">
              <w:rPr>
                <w:rFonts w:ascii="Arial" w:hAnsi="Arial" w:cs="Arial"/>
                <w:noProof/>
                <w:webHidden/>
                <w:color w:val="000000" w:themeColor="text1"/>
              </w:rPr>
              <w:tab/>
            </w:r>
            <w:r w:rsidR="00236342">
              <w:rPr>
                <w:rFonts w:ascii="Arial" w:hAnsi="Arial" w:cs="Arial"/>
                <w:noProof/>
                <w:webHidden/>
                <w:color w:val="000000" w:themeColor="text1"/>
              </w:rPr>
              <w:t>1</w:t>
            </w:r>
            <w:r w:rsidR="009C25A5">
              <w:rPr>
                <w:rFonts w:ascii="Arial" w:hAnsi="Arial" w:cs="Arial"/>
                <w:noProof/>
                <w:webHidden/>
                <w:color w:val="000000" w:themeColor="text1"/>
              </w:rPr>
              <w:t>4</w:t>
            </w:r>
          </w:hyperlink>
        </w:p>
        <w:p w:rsidR="007E0DA5" w:rsidRPr="00ED38E8" w:rsidRDefault="007E0DA5" w:rsidP="007E0DA5">
          <w:pPr>
            <w:rPr>
              <w:rFonts w:ascii="Arial" w:hAnsi="Arial" w:cs="Arial"/>
              <w:b/>
              <w:bCs/>
              <w:noProof/>
            </w:rPr>
          </w:pPr>
        </w:p>
        <w:p w:rsidR="00A745FE" w:rsidRPr="00ED38E8" w:rsidRDefault="004F236C">
          <w:pPr>
            <w:pStyle w:val="TOC1"/>
            <w:tabs>
              <w:tab w:val="right" w:leader="dot" w:pos="9435"/>
            </w:tabs>
            <w:rPr>
              <w:rFonts w:ascii="Arial" w:eastAsiaTheme="minorEastAsia" w:hAnsi="Arial" w:cs="Arial"/>
              <w:b/>
              <w:bCs/>
              <w:noProof/>
            </w:rPr>
          </w:pPr>
          <w:hyperlink w:anchor="_Toc18330028" w:history="1">
            <w:r w:rsidR="00A745FE" w:rsidRPr="00ED38E8">
              <w:rPr>
                <w:rStyle w:val="Hyperlink"/>
                <w:rFonts w:ascii="Arial" w:eastAsia="Calibri" w:hAnsi="Arial" w:cs="Arial"/>
                <w:b/>
                <w:bCs/>
                <w:noProof/>
              </w:rPr>
              <w:t>CHAPTER 4</w:t>
            </w:r>
          </w:hyperlink>
        </w:p>
        <w:p w:rsidR="00A745FE" w:rsidRPr="00ED38E8" w:rsidRDefault="004F236C">
          <w:pPr>
            <w:pStyle w:val="TOC1"/>
            <w:tabs>
              <w:tab w:val="right" w:leader="dot" w:pos="9435"/>
            </w:tabs>
            <w:rPr>
              <w:rFonts w:ascii="Arial" w:eastAsiaTheme="minorEastAsia" w:hAnsi="Arial" w:cs="Arial"/>
              <w:b/>
              <w:bCs/>
              <w:noProof/>
            </w:rPr>
          </w:pPr>
          <w:hyperlink w:anchor="_Toc18330029" w:history="1">
            <w:r w:rsidR="00A745FE" w:rsidRPr="00ED38E8">
              <w:rPr>
                <w:rStyle w:val="Hyperlink"/>
                <w:rFonts w:ascii="Arial" w:eastAsia="Calibri" w:hAnsi="Arial" w:cs="Arial"/>
                <w:b/>
                <w:bCs/>
                <w:noProof/>
              </w:rPr>
              <w:t>FINANCIAL PERFORMANCE EVALUATION OF IDLC</w:t>
            </w:r>
            <w:r w:rsidR="00A745FE" w:rsidRPr="00ED38E8">
              <w:rPr>
                <w:rFonts w:ascii="Arial" w:hAnsi="Arial" w:cs="Arial"/>
                <w:b/>
                <w:bCs/>
                <w:noProof/>
                <w:webHidden/>
              </w:rPr>
              <w:tab/>
            </w:r>
            <w:r w:rsidR="00236342">
              <w:rPr>
                <w:rFonts w:ascii="Arial" w:hAnsi="Arial" w:cs="Arial"/>
                <w:noProof/>
                <w:webHidden/>
              </w:rPr>
              <w:t>1</w:t>
            </w:r>
            <w:r w:rsidR="009C25A5">
              <w:rPr>
                <w:rFonts w:ascii="Arial" w:hAnsi="Arial" w:cs="Arial"/>
                <w:noProof/>
                <w:webHidden/>
              </w:rPr>
              <w:t>6</w:t>
            </w:r>
          </w:hyperlink>
        </w:p>
        <w:p w:rsidR="00A745FE" w:rsidRPr="00ED38E8" w:rsidRDefault="004F236C">
          <w:pPr>
            <w:pStyle w:val="TOC2"/>
            <w:tabs>
              <w:tab w:val="right" w:leader="dot" w:pos="9435"/>
            </w:tabs>
            <w:rPr>
              <w:rFonts w:ascii="Arial" w:eastAsiaTheme="minorEastAsia" w:hAnsi="Arial" w:cs="Arial"/>
              <w:noProof/>
            </w:rPr>
          </w:pPr>
          <w:hyperlink w:anchor="_Toc18330030" w:history="1">
            <w:r w:rsidR="00236342">
              <w:rPr>
                <w:rStyle w:val="Hyperlink"/>
                <w:rFonts w:ascii="Arial" w:eastAsia="Calibri" w:hAnsi="Arial" w:cs="Arial"/>
                <w:b/>
                <w:bCs/>
                <w:noProof/>
              </w:rPr>
              <w:t>4.1 Ratio Analysis</w:t>
            </w:r>
            <w:r w:rsidR="00A745FE" w:rsidRPr="00ED38E8">
              <w:rPr>
                <w:rFonts w:ascii="Arial" w:hAnsi="Arial" w:cs="Arial"/>
                <w:noProof/>
                <w:webHidden/>
              </w:rPr>
              <w:tab/>
            </w:r>
            <w:r w:rsidR="003C045D">
              <w:rPr>
                <w:rFonts w:ascii="Arial" w:hAnsi="Arial" w:cs="Arial"/>
                <w:noProof/>
                <w:webHidden/>
              </w:rPr>
              <w:t>1</w:t>
            </w:r>
            <w:r w:rsidR="009C25A5">
              <w:rPr>
                <w:rFonts w:ascii="Arial" w:hAnsi="Arial" w:cs="Arial"/>
                <w:noProof/>
                <w:webHidden/>
              </w:rPr>
              <w:t>7</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31" w:history="1">
            <w:r w:rsidR="00A745FE" w:rsidRPr="00ED38E8">
              <w:rPr>
                <w:rStyle w:val="Hyperlink"/>
                <w:rFonts w:ascii="Arial" w:eastAsia="Calibri" w:hAnsi="Arial" w:cs="Arial"/>
                <w:b/>
                <w:bCs/>
                <w:noProof/>
                <w:color w:val="000000" w:themeColor="text1"/>
              </w:rPr>
              <w:t>4.1.1:</w:t>
            </w:r>
            <w:r w:rsidR="00A745FE" w:rsidRPr="00ED38E8">
              <w:rPr>
                <w:rStyle w:val="Hyperlink"/>
                <w:rFonts w:ascii="Arial" w:hAnsi="Arial" w:cs="Arial"/>
                <w:b/>
                <w:bCs/>
                <w:noProof/>
                <w:color w:val="000000" w:themeColor="text1"/>
              </w:rPr>
              <w:t xml:space="preserve"> </w:t>
            </w:r>
            <w:r w:rsidR="00A745FE" w:rsidRPr="00ED38E8">
              <w:rPr>
                <w:rStyle w:val="Hyperlink"/>
                <w:rFonts w:ascii="Arial" w:eastAsia="Calibri" w:hAnsi="Arial" w:cs="Arial"/>
                <w:b/>
                <w:bCs/>
                <w:noProof/>
                <w:color w:val="000000" w:themeColor="text1"/>
              </w:rPr>
              <w:t>Current Ratio</w:t>
            </w:r>
            <w:r w:rsidR="00A745FE" w:rsidRPr="00ED38E8">
              <w:rPr>
                <w:rFonts w:ascii="Arial" w:hAnsi="Arial" w:cs="Arial"/>
                <w:noProof/>
                <w:webHidden/>
                <w:color w:val="000000" w:themeColor="text1"/>
              </w:rPr>
              <w:tab/>
            </w:r>
            <w:r w:rsidR="003C045D">
              <w:rPr>
                <w:rFonts w:ascii="Arial" w:hAnsi="Arial" w:cs="Arial"/>
                <w:noProof/>
                <w:webHidden/>
                <w:color w:val="000000" w:themeColor="text1"/>
              </w:rPr>
              <w:t>1</w:t>
            </w:r>
            <w:r w:rsidR="009C25A5">
              <w:rPr>
                <w:rFonts w:ascii="Arial" w:hAnsi="Arial" w:cs="Arial"/>
                <w:noProof/>
                <w:webHidden/>
                <w:color w:val="000000" w:themeColor="text1"/>
              </w:rPr>
              <w:t>7</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32" w:history="1">
            <w:r w:rsidR="00A745FE" w:rsidRPr="00ED38E8">
              <w:rPr>
                <w:rStyle w:val="Hyperlink"/>
                <w:rFonts w:ascii="Arial" w:eastAsia="Calibri" w:hAnsi="Arial" w:cs="Arial"/>
                <w:b/>
                <w:bCs/>
                <w:noProof/>
                <w:color w:val="000000" w:themeColor="text1"/>
              </w:rPr>
              <w:t>4.1.2:</w:t>
            </w:r>
            <w:r w:rsidR="00A745FE" w:rsidRPr="00ED38E8">
              <w:rPr>
                <w:rStyle w:val="Hyperlink"/>
                <w:rFonts w:ascii="Arial" w:eastAsia="Times New Roman" w:hAnsi="Arial" w:cs="Arial"/>
                <w:b/>
                <w:bCs/>
                <w:noProof/>
                <w:color w:val="000000" w:themeColor="text1"/>
              </w:rPr>
              <w:t xml:space="preserve"> </w:t>
            </w:r>
            <w:r w:rsidR="00A745FE" w:rsidRPr="00ED38E8">
              <w:rPr>
                <w:rStyle w:val="Hyperlink"/>
                <w:rFonts w:ascii="Arial" w:eastAsia="Calibri" w:hAnsi="Arial" w:cs="Arial"/>
                <w:b/>
                <w:bCs/>
                <w:noProof/>
                <w:color w:val="000000" w:themeColor="text1"/>
              </w:rPr>
              <w:t>Cash Ratio</w:t>
            </w:r>
            <w:r w:rsidR="00A745FE" w:rsidRPr="00ED38E8">
              <w:rPr>
                <w:rFonts w:ascii="Arial" w:hAnsi="Arial" w:cs="Arial"/>
                <w:noProof/>
                <w:webHidden/>
                <w:color w:val="000000" w:themeColor="text1"/>
              </w:rPr>
              <w:tab/>
            </w:r>
            <w:r w:rsidR="003C045D">
              <w:rPr>
                <w:rFonts w:ascii="Arial" w:hAnsi="Arial" w:cs="Arial"/>
                <w:noProof/>
                <w:webHidden/>
                <w:color w:val="000000" w:themeColor="text1"/>
              </w:rPr>
              <w:t>1</w:t>
            </w:r>
            <w:r w:rsidR="009C25A5">
              <w:rPr>
                <w:rFonts w:ascii="Arial" w:hAnsi="Arial" w:cs="Arial"/>
                <w:noProof/>
                <w:webHidden/>
                <w:color w:val="000000" w:themeColor="text1"/>
              </w:rPr>
              <w:t>8</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33" w:history="1">
            <w:r w:rsidR="00A745FE" w:rsidRPr="00ED38E8">
              <w:rPr>
                <w:rStyle w:val="Hyperlink"/>
                <w:rFonts w:ascii="Arial" w:eastAsia="Calibri" w:hAnsi="Arial" w:cs="Arial"/>
                <w:b/>
                <w:bCs/>
                <w:noProof/>
                <w:color w:val="000000" w:themeColor="text1"/>
              </w:rPr>
              <w:t>4.1.3:</w:t>
            </w:r>
            <w:r w:rsidR="00A745FE" w:rsidRPr="00ED38E8">
              <w:rPr>
                <w:rStyle w:val="Hyperlink"/>
                <w:rFonts w:ascii="Arial" w:eastAsia="Times New Roman" w:hAnsi="Arial" w:cs="Arial"/>
                <w:b/>
                <w:bCs/>
                <w:noProof/>
                <w:color w:val="000000" w:themeColor="text1"/>
              </w:rPr>
              <w:t xml:space="preserve"> </w:t>
            </w:r>
            <w:r w:rsidR="00A745FE" w:rsidRPr="00ED38E8">
              <w:rPr>
                <w:rStyle w:val="Hyperlink"/>
                <w:rFonts w:ascii="Arial" w:eastAsia="Calibri" w:hAnsi="Arial" w:cs="Arial"/>
                <w:b/>
                <w:bCs/>
                <w:noProof/>
                <w:color w:val="000000" w:themeColor="text1"/>
              </w:rPr>
              <w:t>Cash Reserve Ratio</w:t>
            </w:r>
            <w:r w:rsidR="00A745FE" w:rsidRPr="00ED38E8">
              <w:rPr>
                <w:rFonts w:ascii="Arial" w:hAnsi="Arial" w:cs="Arial"/>
                <w:noProof/>
                <w:webHidden/>
                <w:color w:val="000000" w:themeColor="text1"/>
              </w:rPr>
              <w:tab/>
            </w:r>
            <w:r w:rsidR="009C25A5">
              <w:rPr>
                <w:rFonts w:ascii="Arial" w:hAnsi="Arial" w:cs="Arial"/>
                <w:noProof/>
                <w:webHidden/>
                <w:color w:val="000000" w:themeColor="text1"/>
              </w:rPr>
              <w:t>19</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34" w:history="1">
            <w:r w:rsidR="00A745FE" w:rsidRPr="00ED38E8">
              <w:rPr>
                <w:rStyle w:val="Hyperlink"/>
                <w:rFonts w:ascii="Arial" w:eastAsia="Calibri" w:hAnsi="Arial" w:cs="Arial"/>
                <w:b/>
                <w:bCs/>
                <w:noProof/>
                <w:color w:val="000000" w:themeColor="text1"/>
              </w:rPr>
              <w:t>4.1.4:</w:t>
            </w:r>
            <w:r w:rsidR="00A745FE" w:rsidRPr="00ED38E8">
              <w:rPr>
                <w:rStyle w:val="Hyperlink"/>
                <w:rFonts w:ascii="Arial" w:eastAsia="Times New Roman" w:hAnsi="Arial" w:cs="Arial"/>
                <w:b/>
                <w:bCs/>
                <w:noProof/>
                <w:color w:val="000000" w:themeColor="text1"/>
              </w:rPr>
              <w:t xml:space="preserve"> </w:t>
            </w:r>
            <w:r w:rsidR="00A745FE" w:rsidRPr="00ED38E8">
              <w:rPr>
                <w:rStyle w:val="Hyperlink"/>
                <w:rFonts w:ascii="Arial" w:eastAsia="Calibri" w:hAnsi="Arial" w:cs="Arial"/>
                <w:b/>
                <w:bCs/>
                <w:noProof/>
                <w:color w:val="000000" w:themeColor="text1"/>
              </w:rPr>
              <w:t>Statutory Liquidity Reserve Ratio</w:t>
            </w:r>
            <w:r w:rsidR="00A745FE" w:rsidRPr="00ED38E8">
              <w:rPr>
                <w:rFonts w:ascii="Arial" w:hAnsi="Arial" w:cs="Arial"/>
                <w:noProof/>
                <w:webHidden/>
                <w:color w:val="000000" w:themeColor="text1"/>
              </w:rPr>
              <w:tab/>
            </w:r>
            <w:r w:rsidR="003C045D">
              <w:rPr>
                <w:rFonts w:ascii="Arial" w:hAnsi="Arial" w:cs="Arial"/>
                <w:noProof/>
                <w:webHidden/>
                <w:color w:val="000000" w:themeColor="text1"/>
              </w:rPr>
              <w:t>2</w:t>
            </w:r>
            <w:r w:rsidR="009C25A5">
              <w:rPr>
                <w:rFonts w:ascii="Arial" w:hAnsi="Arial" w:cs="Arial"/>
                <w:noProof/>
                <w:webHidden/>
                <w:color w:val="000000" w:themeColor="text1"/>
              </w:rPr>
              <w:t>0</w:t>
            </w:r>
          </w:hyperlink>
        </w:p>
        <w:p w:rsidR="00A745FE" w:rsidRPr="00ED38E8" w:rsidRDefault="004F236C">
          <w:pPr>
            <w:pStyle w:val="TOC2"/>
            <w:tabs>
              <w:tab w:val="right" w:leader="dot" w:pos="9435"/>
            </w:tabs>
            <w:rPr>
              <w:rFonts w:ascii="Arial" w:eastAsiaTheme="minorEastAsia" w:hAnsi="Arial" w:cs="Arial"/>
              <w:noProof/>
              <w:color w:val="000000" w:themeColor="text1"/>
            </w:rPr>
          </w:pPr>
          <w:hyperlink w:anchor="_Toc18330035" w:history="1">
            <w:r w:rsidR="00A745FE" w:rsidRPr="00ED38E8">
              <w:rPr>
                <w:rStyle w:val="Hyperlink"/>
                <w:rFonts w:ascii="Arial" w:hAnsi="Arial" w:cs="Arial"/>
                <w:b/>
                <w:bCs/>
                <w:noProof/>
                <w:color w:val="000000" w:themeColor="text1"/>
              </w:rPr>
              <w:t>Profitability Dimension</w:t>
            </w:r>
            <w:r w:rsidR="00A745FE" w:rsidRPr="00ED38E8">
              <w:rPr>
                <w:rFonts w:ascii="Arial" w:hAnsi="Arial" w:cs="Arial"/>
                <w:noProof/>
                <w:webHidden/>
                <w:color w:val="000000" w:themeColor="text1"/>
              </w:rPr>
              <w:tab/>
            </w:r>
            <w:r w:rsidR="00A745FE" w:rsidRPr="00ED38E8">
              <w:rPr>
                <w:rFonts w:ascii="Arial" w:hAnsi="Arial" w:cs="Arial"/>
                <w:noProof/>
                <w:webHidden/>
                <w:color w:val="000000" w:themeColor="text1"/>
              </w:rPr>
              <w:fldChar w:fldCharType="begin"/>
            </w:r>
            <w:r w:rsidR="00A745FE" w:rsidRPr="00ED38E8">
              <w:rPr>
                <w:rFonts w:ascii="Arial" w:hAnsi="Arial" w:cs="Arial"/>
                <w:noProof/>
                <w:webHidden/>
                <w:color w:val="000000" w:themeColor="text1"/>
              </w:rPr>
              <w:instrText xml:space="preserve"> PAGEREF _Toc18330035 \h </w:instrText>
            </w:r>
            <w:r w:rsidR="00A745FE" w:rsidRPr="00ED38E8">
              <w:rPr>
                <w:rFonts w:ascii="Arial" w:hAnsi="Arial" w:cs="Arial"/>
                <w:noProof/>
                <w:webHidden/>
                <w:color w:val="000000" w:themeColor="text1"/>
              </w:rPr>
            </w:r>
            <w:r w:rsidR="00A745FE" w:rsidRPr="00ED38E8">
              <w:rPr>
                <w:rFonts w:ascii="Arial" w:hAnsi="Arial" w:cs="Arial"/>
                <w:noProof/>
                <w:webHidden/>
                <w:color w:val="000000" w:themeColor="text1"/>
              </w:rPr>
              <w:fldChar w:fldCharType="separate"/>
            </w:r>
            <w:r w:rsidR="000444EE" w:rsidRPr="00ED38E8">
              <w:rPr>
                <w:rFonts w:ascii="Arial" w:hAnsi="Arial" w:cs="Arial"/>
                <w:noProof/>
                <w:webHidden/>
                <w:color w:val="000000" w:themeColor="text1"/>
              </w:rPr>
              <w:t>2</w:t>
            </w:r>
            <w:r w:rsidR="00DD4427">
              <w:rPr>
                <w:rFonts w:ascii="Arial" w:hAnsi="Arial" w:cs="Arial"/>
                <w:noProof/>
                <w:webHidden/>
                <w:color w:val="000000" w:themeColor="text1"/>
              </w:rPr>
              <w:t>1</w:t>
            </w:r>
            <w:r w:rsidR="00A745FE" w:rsidRPr="00ED38E8">
              <w:rPr>
                <w:rFonts w:ascii="Arial" w:hAnsi="Arial" w:cs="Arial"/>
                <w:noProof/>
                <w:webHidden/>
                <w:color w:val="000000" w:themeColor="text1"/>
              </w:rPr>
              <w:fldChar w:fldCharType="end"/>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36" w:history="1">
            <w:r w:rsidR="00A745FE" w:rsidRPr="00ED38E8">
              <w:rPr>
                <w:rStyle w:val="Hyperlink"/>
                <w:rFonts w:ascii="Arial" w:eastAsia="Calibri" w:hAnsi="Arial" w:cs="Arial"/>
                <w:b/>
                <w:bCs/>
                <w:noProof/>
                <w:color w:val="000000" w:themeColor="text1"/>
              </w:rPr>
              <w:t>4.1.5: Net Profit margin</w:t>
            </w:r>
            <w:r w:rsidR="00A745FE" w:rsidRPr="00ED38E8">
              <w:rPr>
                <w:rFonts w:ascii="Arial" w:hAnsi="Arial" w:cs="Arial"/>
                <w:noProof/>
                <w:webHidden/>
                <w:color w:val="000000" w:themeColor="text1"/>
              </w:rPr>
              <w:tab/>
            </w:r>
            <w:r w:rsidR="00A745FE" w:rsidRPr="00ED38E8">
              <w:rPr>
                <w:rFonts w:ascii="Arial" w:hAnsi="Arial" w:cs="Arial"/>
                <w:noProof/>
                <w:webHidden/>
                <w:color w:val="000000" w:themeColor="text1"/>
              </w:rPr>
              <w:fldChar w:fldCharType="begin"/>
            </w:r>
            <w:r w:rsidR="00A745FE" w:rsidRPr="00ED38E8">
              <w:rPr>
                <w:rFonts w:ascii="Arial" w:hAnsi="Arial" w:cs="Arial"/>
                <w:noProof/>
                <w:webHidden/>
                <w:color w:val="000000" w:themeColor="text1"/>
              </w:rPr>
              <w:instrText xml:space="preserve"> PAGEREF _Toc18330036 \h </w:instrText>
            </w:r>
            <w:r w:rsidR="00A745FE" w:rsidRPr="00ED38E8">
              <w:rPr>
                <w:rFonts w:ascii="Arial" w:hAnsi="Arial" w:cs="Arial"/>
                <w:noProof/>
                <w:webHidden/>
                <w:color w:val="000000" w:themeColor="text1"/>
              </w:rPr>
            </w:r>
            <w:r w:rsidR="00A745FE" w:rsidRPr="00ED38E8">
              <w:rPr>
                <w:rFonts w:ascii="Arial" w:hAnsi="Arial" w:cs="Arial"/>
                <w:noProof/>
                <w:webHidden/>
                <w:color w:val="000000" w:themeColor="text1"/>
              </w:rPr>
              <w:fldChar w:fldCharType="separate"/>
            </w:r>
            <w:r w:rsidR="000444EE" w:rsidRPr="00ED38E8">
              <w:rPr>
                <w:rFonts w:ascii="Arial" w:hAnsi="Arial" w:cs="Arial"/>
                <w:noProof/>
                <w:webHidden/>
                <w:color w:val="000000" w:themeColor="text1"/>
              </w:rPr>
              <w:t>2</w:t>
            </w:r>
            <w:r w:rsidR="00DD4427">
              <w:rPr>
                <w:rFonts w:ascii="Arial" w:hAnsi="Arial" w:cs="Arial"/>
                <w:noProof/>
                <w:webHidden/>
                <w:color w:val="000000" w:themeColor="text1"/>
              </w:rPr>
              <w:t>1</w:t>
            </w:r>
            <w:r w:rsidR="00A745FE" w:rsidRPr="00ED38E8">
              <w:rPr>
                <w:rFonts w:ascii="Arial" w:hAnsi="Arial" w:cs="Arial"/>
                <w:noProof/>
                <w:webHidden/>
                <w:color w:val="000000" w:themeColor="text1"/>
              </w:rPr>
              <w:fldChar w:fldCharType="end"/>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37" w:history="1">
            <w:r w:rsidR="00A745FE" w:rsidRPr="00ED38E8">
              <w:rPr>
                <w:rStyle w:val="Hyperlink"/>
                <w:rFonts w:ascii="Arial" w:eastAsia="Calibri" w:hAnsi="Arial" w:cs="Arial"/>
                <w:b/>
                <w:bCs/>
                <w:noProof/>
                <w:color w:val="000000" w:themeColor="text1"/>
              </w:rPr>
              <w:t>4.1.6:</w:t>
            </w:r>
            <w:r w:rsidR="00A745FE" w:rsidRPr="00ED38E8">
              <w:rPr>
                <w:rStyle w:val="Hyperlink"/>
                <w:rFonts w:ascii="Arial" w:hAnsi="Arial" w:cs="Arial"/>
                <w:b/>
                <w:bCs/>
                <w:noProof/>
                <w:color w:val="000000" w:themeColor="text1"/>
              </w:rPr>
              <w:t xml:space="preserve"> </w:t>
            </w:r>
            <w:r w:rsidR="00A745FE" w:rsidRPr="00ED38E8">
              <w:rPr>
                <w:rStyle w:val="Hyperlink"/>
                <w:rFonts w:ascii="Arial" w:eastAsia="Calibri" w:hAnsi="Arial" w:cs="Arial"/>
                <w:b/>
                <w:bCs/>
                <w:noProof/>
                <w:color w:val="000000" w:themeColor="text1"/>
              </w:rPr>
              <w:t>Operating Profit Margin</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2</w:t>
            </w:r>
            <w:r w:rsidR="00DD4427">
              <w:rPr>
                <w:rFonts w:ascii="Arial" w:hAnsi="Arial" w:cs="Arial"/>
                <w:noProof/>
                <w:webHidden/>
                <w:color w:val="000000" w:themeColor="text1"/>
              </w:rPr>
              <w:t>2</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38" w:history="1">
            <w:r w:rsidR="00A745FE" w:rsidRPr="00ED38E8">
              <w:rPr>
                <w:rStyle w:val="Hyperlink"/>
                <w:rFonts w:ascii="Arial" w:eastAsia="Calibri" w:hAnsi="Arial" w:cs="Arial"/>
                <w:b/>
                <w:bCs/>
                <w:noProof/>
                <w:color w:val="000000" w:themeColor="text1"/>
              </w:rPr>
              <w:t>4.1.7: Return on Total Asset</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2</w:t>
            </w:r>
            <w:r w:rsidR="00DD4427">
              <w:rPr>
                <w:rFonts w:ascii="Arial" w:hAnsi="Arial" w:cs="Arial"/>
                <w:noProof/>
                <w:webHidden/>
                <w:color w:val="000000" w:themeColor="text1"/>
              </w:rPr>
              <w:t>3</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39" w:history="1">
            <w:r w:rsidR="00A745FE" w:rsidRPr="00ED38E8">
              <w:rPr>
                <w:rStyle w:val="Hyperlink"/>
                <w:rFonts w:ascii="Arial" w:eastAsia="Calibri" w:hAnsi="Arial" w:cs="Arial"/>
                <w:b/>
                <w:bCs/>
                <w:noProof/>
                <w:color w:val="000000" w:themeColor="text1"/>
              </w:rPr>
              <w:t>4.1.8: Return on Equity</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2</w:t>
            </w:r>
            <w:r w:rsidR="00DD4427">
              <w:rPr>
                <w:rFonts w:ascii="Arial" w:hAnsi="Arial" w:cs="Arial"/>
                <w:noProof/>
                <w:webHidden/>
                <w:color w:val="000000" w:themeColor="text1"/>
              </w:rPr>
              <w:t>4</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40" w:history="1">
            <w:r w:rsidR="00A745FE" w:rsidRPr="00ED38E8">
              <w:rPr>
                <w:rStyle w:val="Hyperlink"/>
                <w:rFonts w:ascii="Arial" w:eastAsia="Calibri" w:hAnsi="Arial" w:cs="Arial"/>
                <w:b/>
                <w:bCs/>
                <w:noProof/>
                <w:color w:val="000000" w:themeColor="text1"/>
              </w:rPr>
              <w:t>4.1.9: Return on Capital Employed</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2</w:t>
            </w:r>
            <w:r w:rsidR="00DD4427">
              <w:rPr>
                <w:rFonts w:ascii="Arial" w:hAnsi="Arial" w:cs="Arial"/>
                <w:noProof/>
                <w:webHidden/>
                <w:color w:val="000000" w:themeColor="text1"/>
              </w:rPr>
              <w:t>5</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41" w:history="1">
            <w:r w:rsidR="00A745FE" w:rsidRPr="00ED38E8">
              <w:rPr>
                <w:rStyle w:val="Hyperlink"/>
                <w:rFonts w:ascii="Arial" w:eastAsia="Calibri" w:hAnsi="Arial" w:cs="Arial"/>
                <w:b/>
                <w:bCs/>
                <w:noProof/>
                <w:color w:val="000000" w:themeColor="text1"/>
              </w:rPr>
              <w:t>4.1.10:</w:t>
            </w:r>
            <w:r w:rsidR="00A745FE" w:rsidRPr="00ED38E8">
              <w:rPr>
                <w:rStyle w:val="Hyperlink"/>
                <w:rFonts w:ascii="Arial" w:eastAsia="Times New Roman" w:hAnsi="Arial" w:cs="Arial"/>
                <w:b/>
                <w:bCs/>
                <w:noProof/>
                <w:color w:val="000000" w:themeColor="text1"/>
              </w:rPr>
              <w:t xml:space="preserve"> </w:t>
            </w:r>
            <w:r w:rsidR="00A745FE" w:rsidRPr="00ED38E8">
              <w:rPr>
                <w:rStyle w:val="Hyperlink"/>
                <w:rFonts w:ascii="Arial" w:eastAsia="Calibri" w:hAnsi="Arial" w:cs="Arial"/>
                <w:b/>
                <w:bCs/>
                <w:noProof/>
                <w:color w:val="000000" w:themeColor="text1"/>
              </w:rPr>
              <w:t>Cost to Income Ratio</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2</w:t>
            </w:r>
            <w:r w:rsidR="00DD4427">
              <w:rPr>
                <w:rFonts w:ascii="Arial" w:hAnsi="Arial" w:cs="Arial"/>
                <w:noProof/>
                <w:webHidden/>
                <w:color w:val="000000" w:themeColor="text1"/>
              </w:rPr>
              <w:t>6</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42" w:history="1">
            <w:r w:rsidR="00A745FE" w:rsidRPr="00ED38E8">
              <w:rPr>
                <w:rStyle w:val="Hyperlink"/>
                <w:rFonts w:ascii="Arial" w:eastAsia="Calibri" w:hAnsi="Arial" w:cs="Arial"/>
                <w:b/>
                <w:bCs/>
                <w:noProof/>
                <w:color w:val="000000" w:themeColor="text1"/>
              </w:rPr>
              <w:t>4.1.11: Net Interest Income to total Operating Income</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2</w:t>
            </w:r>
            <w:r w:rsidR="00DD4427">
              <w:rPr>
                <w:rFonts w:ascii="Arial" w:hAnsi="Arial" w:cs="Arial"/>
                <w:noProof/>
                <w:webHidden/>
                <w:color w:val="000000" w:themeColor="text1"/>
              </w:rPr>
              <w:t>7</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43" w:history="1">
            <w:r w:rsidR="00A745FE" w:rsidRPr="00ED38E8">
              <w:rPr>
                <w:rStyle w:val="Hyperlink"/>
                <w:rFonts w:ascii="Arial" w:eastAsia="Calibri" w:hAnsi="Arial" w:cs="Arial"/>
                <w:b/>
                <w:bCs/>
                <w:noProof/>
                <w:color w:val="000000" w:themeColor="text1"/>
              </w:rPr>
              <w:t>4.1.12: Investment Income to Total Operating income</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2</w:t>
            </w:r>
            <w:r w:rsidR="00DD4427">
              <w:rPr>
                <w:rFonts w:ascii="Arial" w:hAnsi="Arial" w:cs="Arial"/>
                <w:noProof/>
                <w:webHidden/>
                <w:color w:val="000000" w:themeColor="text1"/>
              </w:rPr>
              <w:t>8</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44" w:history="1">
            <w:r w:rsidR="00A745FE" w:rsidRPr="00ED38E8">
              <w:rPr>
                <w:rStyle w:val="Hyperlink"/>
                <w:rFonts w:ascii="Arial" w:eastAsia="Calibri" w:hAnsi="Arial" w:cs="Arial"/>
                <w:b/>
                <w:bCs/>
                <w:noProof/>
                <w:color w:val="000000" w:themeColor="text1"/>
              </w:rPr>
              <w:t>4.1.13: Investment Income to Total Revenue</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2</w:t>
            </w:r>
            <w:r w:rsidR="00DD4427">
              <w:rPr>
                <w:rFonts w:ascii="Arial" w:hAnsi="Arial" w:cs="Arial"/>
                <w:noProof/>
                <w:webHidden/>
                <w:color w:val="000000" w:themeColor="text1"/>
              </w:rPr>
              <w:t>8</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45" w:history="1">
            <w:r w:rsidR="00A745FE" w:rsidRPr="00ED38E8">
              <w:rPr>
                <w:rStyle w:val="Hyperlink"/>
                <w:rFonts w:ascii="Arial" w:eastAsia="Calibri" w:hAnsi="Arial" w:cs="Arial"/>
                <w:b/>
                <w:bCs/>
                <w:noProof/>
                <w:color w:val="000000" w:themeColor="text1"/>
              </w:rPr>
              <w:t>4.1.14: Return on Capital</w:t>
            </w:r>
            <w:r w:rsidR="00A745FE" w:rsidRPr="00ED38E8">
              <w:rPr>
                <w:rFonts w:ascii="Arial" w:hAnsi="Arial" w:cs="Arial"/>
                <w:noProof/>
                <w:webHidden/>
                <w:color w:val="000000" w:themeColor="text1"/>
              </w:rPr>
              <w:tab/>
            </w:r>
            <w:r w:rsidR="00DD4427">
              <w:rPr>
                <w:rFonts w:ascii="Arial" w:hAnsi="Arial" w:cs="Arial"/>
                <w:noProof/>
                <w:webHidden/>
                <w:color w:val="000000" w:themeColor="text1"/>
              </w:rPr>
              <w:t>29</w:t>
            </w:r>
          </w:hyperlink>
        </w:p>
        <w:p w:rsidR="00A745FE" w:rsidRPr="00ED38E8" w:rsidRDefault="004F236C">
          <w:pPr>
            <w:pStyle w:val="TOC2"/>
            <w:tabs>
              <w:tab w:val="right" w:leader="dot" w:pos="9435"/>
            </w:tabs>
            <w:rPr>
              <w:rFonts w:ascii="Arial" w:eastAsiaTheme="minorEastAsia" w:hAnsi="Arial" w:cs="Arial"/>
              <w:noProof/>
              <w:color w:val="000000" w:themeColor="text1"/>
            </w:rPr>
          </w:pPr>
          <w:hyperlink w:anchor="_Toc18330046" w:history="1">
            <w:r w:rsidR="00A745FE" w:rsidRPr="00ED38E8">
              <w:rPr>
                <w:rStyle w:val="Hyperlink"/>
                <w:rFonts w:ascii="Arial" w:hAnsi="Arial" w:cs="Arial"/>
                <w:b/>
                <w:bCs/>
                <w:noProof/>
                <w:color w:val="000000" w:themeColor="text1"/>
              </w:rPr>
              <w:t>Solvency Dimension</w:t>
            </w:r>
            <w:r w:rsidR="00A745FE" w:rsidRPr="00ED38E8">
              <w:rPr>
                <w:rFonts w:ascii="Arial" w:hAnsi="Arial" w:cs="Arial"/>
                <w:noProof/>
                <w:webHidden/>
                <w:color w:val="000000" w:themeColor="text1"/>
              </w:rPr>
              <w:tab/>
            </w:r>
            <w:r w:rsidR="00A745FE" w:rsidRPr="00ED38E8">
              <w:rPr>
                <w:rFonts w:ascii="Arial" w:hAnsi="Arial" w:cs="Arial"/>
                <w:noProof/>
                <w:webHidden/>
                <w:color w:val="000000" w:themeColor="text1"/>
              </w:rPr>
              <w:fldChar w:fldCharType="begin"/>
            </w:r>
            <w:r w:rsidR="00A745FE" w:rsidRPr="00ED38E8">
              <w:rPr>
                <w:rFonts w:ascii="Arial" w:hAnsi="Arial" w:cs="Arial"/>
                <w:noProof/>
                <w:webHidden/>
                <w:color w:val="000000" w:themeColor="text1"/>
              </w:rPr>
              <w:instrText xml:space="preserve"> PAGEREF _Toc18330046 \h </w:instrText>
            </w:r>
            <w:r w:rsidR="00A745FE" w:rsidRPr="00ED38E8">
              <w:rPr>
                <w:rFonts w:ascii="Arial" w:hAnsi="Arial" w:cs="Arial"/>
                <w:noProof/>
                <w:webHidden/>
                <w:color w:val="000000" w:themeColor="text1"/>
              </w:rPr>
            </w:r>
            <w:r w:rsidR="00A745FE" w:rsidRPr="00ED38E8">
              <w:rPr>
                <w:rFonts w:ascii="Arial" w:hAnsi="Arial" w:cs="Arial"/>
                <w:noProof/>
                <w:webHidden/>
                <w:color w:val="000000" w:themeColor="text1"/>
              </w:rPr>
              <w:fldChar w:fldCharType="separate"/>
            </w:r>
            <w:r w:rsidR="000444EE" w:rsidRPr="00ED38E8">
              <w:rPr>
                <w:rFonts w:ascii="Arial" w:hAnsi="Arial" w:cs="Arial"/>
                <w:noProof/>
                <w:webHidden/>
                <w:color w:val="000000" w:themeColor="text1"/>
              </w:rPr>
              <w:t>3</w:t>
            </w:r>
            <w:r w:rsidR="0065097F">
              <w:rPr>
                <w:rFonts w:ascii="Arial" w:hAnsi="Arial" w:cs="Arial"/>
                <w:noProof/>
                <w:webHidden/>
                <w:color w:val="000000" w:themeColor="text1"/>
              </w:rPr>
              <w:t>0</w:t>
            </w:r>
            <w:r w:rsidR="00A745FE" w:rsidRPr="00ED38E8">
              <w:rPr>
                <w:rFonts w:ascii="Arial" w:hAnsi="Arial" w:cs="Arial"/>
                <w:noProof/>
                <w:webHidden/>
                <w:color w:val="000000" w:themeColor="text1"/>
              </w:rPr>
              <w:fldChar w:fldCharType="end"/>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47" w:history="1">
            <w:r w:rsidR="00A745FE" w:rsidRPr="00ED38E8">
              <w:rPr>
                <w:rStyle w:val="Hyperlink"/>
                <w:rFonts w:ascii="Arial" w:eastAsia="Calibri" w:hAnsi="Arial" w:cs="Arial"/>
                <w:b/>
                <w:bCs/>
                <w:noProof/>
                <w:color w:val="000000" w:themeColor="text1"/>
              </w:rPr>
              <w:t>4.1.15: Debt to Equity Ratio</w:t>
            </w:r>
            <w:r w:rsidR="00A745FE" w:rsidRPr="00ED38E8">
              <w:rPr>
                <w:rFonts w:ascii="Arial" w:hAnsi="Arial" w:cs="Arial"/>
                <w:noProof/>
                <w:webHidden/>
                <w:color w:val="000000" w:themeColor="text1"/>
              </w:rPr>
              <w:tab/>
            </w:r>
            <w:r w:rsidR="00A745FE" w:rsidRPr="00ED38E8">
              <w:rPr>
                <w:rFonts w:ascii="Arial" w:hAnsi="Arial" w:cs="Arial"/>
                <w:noProof/>
                <w:webHidden/>
                <w:color w:val="000000" w:themeColor="text1"/>
              </w:rPr>
              <w:fldChar w:fldCharType="begin"/>
            </w:r>
            <w:r w:rsidR="00A745FE" w:rsidRPr="00ED38E8">
              <w:rPr>
                <w:rFonts w:ascii="Arial" w:hAnsi="Arial" w:cs="Arial"/>
                <w:noProof/>
                <w:webHidden/>
                <w:color w:val="000000" w:themeColor="text1"/>
              </w:rPr>
              <w:instrText xml:space="preserve"> PAGEREF _Toc18330047 \h </w:instrText>
            </w:r>
            <w:r w:rsidR="00A745FE" w:rsidRPr="00ED38E8">
              <w:rPr>
                <w:rFonts w:ascii="Arial" w:hAnsi="Arial" w:cs="Arial"/>
                <w:noProof/>
                <w:webHidden/>
                <w:color w:val="000000" w:themeColor="text1"/>
              </w:rPr>
            </w:r>
            <w:r w:rsidR="00A745FE" w:rsidRPr="00ED38E8">
              <w:rPr>
                <w:rFonts w:ascii="Arial" w:hAnsi="Arial" w:cs="Arial"/>
                <w:noProof/>
                <w:webHidden/>
                <w:color w:val="000000" w:themeColor="text1"/>
              </w:rPr>
              <w:fldChar w:fldCharType="separate"/>
            </w:r>
            <w:r w:rsidR="000444EE" w:rsidRPr="00ED38E8">
              <w:rPr>
                <w:rFonts w:ascii="Arial" w:hAnsi="Arial" w:cs="Arial"/>
                <w:noProof/>
                <w:webHidden/>
                <w:color w:val="000000" w:themeColor="text1"/>
              </w:rPr>
              <w:t>3</w:t>
            </w:r>
            <w:r w:rsidR="0065097F">
              <w:rPr>
                <w:rFonts w:ascii="Arial" w:hAnsi="Arial" w:cs="Arial"/>
                <w:noProof/>
                <w:webHidden/>
                <w:color w:val="000000" w:themeColor="text1"/>
              </w:rPr>
              <w:t>0</w:t>
            </w:r>
            <w:r w:rsidR="00A745FE" w:rsidRPr="00ED38E8">
              <w:rPr>
                <w:rFonts w:ascii="Arial" w:hAnsi="Arial" w:cs="Arial"/>
                <w:noProof/>
                <w:webHidden/>
                <w:color w:val="000000" w:themeColor="text1"/>
              </w:rPr>
              <w:fldChar w:fldCharType="end"/>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48" w:history="1">
            <w:r w:rsidR="00A745FE" w:rsidRPr="00ED38E8">
              <w:rPr>
                <w:rStyle w:val="Hyperlink"/>
                <w:rFonts w:ascii="Arial" w:eastAsia="Calibri" w:hAnsi="Arial" w:cs="Arial"/>
                <w:b/>
                <w:bCs/>
                <w:noProof/>
                <w:color w:val="000000" w:themeColor="text1"/>
              </w:rPr>
              <w:t>4.1.16: Total debt to total asset ratio</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3</w:t>
            </w:r>
            <w:r w:rsidR="0065097F">
              <w:rPr>
                <w:rFonts w:ascii="Arial" w:hAnsi="Arial" w:cs="Arial"/>
                <w:noProof/>
                <w:webHidden/>
                <w:color w:val="000000" w:themeColor="text1"/>
              </w:rPr>
              <w:t>1</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49" w:history="1">
            <w:r w:rsidR="00A745FE" w:rsidRPr="00ED38E8">
              <w:rPr>
                <w:rStyle w:val="Hyperlink"/>
                <w:rFonts w:ascii="Arial" w:eastAsia="Calibri" w:hAnsi="Arial" w:cs="Arial"/>
                <w:b/>
                <w:bCs/>
                <w:noProof/>
                <w:color w:val="000000" w:themeColor="text1"/>
              </w:rPr>
              <w:t>4.1.17: Total equity to total assets</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3</w:t>
            </w:r>
            <w:r w:rsidR="0065097F">
              <w:rPr>
                <w:rFonts w:ascii="Arial" w:hAnsi="Arial" w:cs="Arial"/>
                <w:noProof/>
                <w:webHidden/>
                <w:color w:val="000000" w:themeColor="text1"/>
              </w:rPr>
              <w:t>2</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50" w:history="1">
            <w:r w:rsidR="00A745FE" w:rsidRPr="00ED38E8">
              <w:rPr>
                <w:rStyle w:val="Hyperlink"/>
                <w:rFonts w:ascii="Arial" w:eastAsia="Calibri" w:hAnsi="Arial" w:cs="Arial"/>
                <w:b/>
                <w:bCs/>
                <w:noProof/>
                <w:color w:val="000000" w:themeColor="text1"/>
              </w:rPr>
              <w:t>4.1.18: Loan to Total Asset Ratio</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3</w:t>
            </w:r>
            <w:r w:rsidR="0065097F">
              <w:rPr>
                <w:rFonts w:ascii="Arial" w:hAnsi="Arial" w:cs="Arial"/>
                <w:noProof/>
                <w:webHidden/>
                <w:color w:val="000000" w:themeColor="text1"/>
              </w:rPr>
              <w:t>3</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51" w:history="1">
            <w:r w:rsidR="00A745FE" w:rsidRPr="00ED38E8">
              <w:rPr>
                <w:rStyle w:val="Hyperlink"/>
                <w:rFonts w:ascii="Arial" w:eastAsia="Calibri" w:hAnsi="Arial" w:cs="Arial"/>
                <w:b/>
                <w:bCs/>
                <w:noProof/>
                <w:color w:val="000000" w:themeColor="text1"/>
              </w:rPr>
              <w:t>4.1.19:  Loan to Deposit Ratio</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3</w:t>
            </w:r>
            <w:r w:rsidR="0065097F">
              <w:rPr>
                <w:rFonts w:ascii="Arial" w:hAnsi="Arial" w:cs="Arial"/>
                <w:noProof/>
                <w:webHidden/>
                <w:color w:val="000000" w:themeColor="text1"/>
              </w:rPr>
              <w:t>4</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52" w:history="1">
            <w:r w:rsidR="00A745FE" w:rsidRPr="00ED38E8">
              <w:rPr>
                <w:rStyle w:val="Hyperlink"/>
                <w:rFonts w:ascii="Arial" w:eastAsia="Calibri" w:hAnsi="Arial" w:cs="Arial"/>
                <w:b/>
                <w:bCs/>
                <w:noProof/>
                <w:color w:val="000000" w:themeColor="text1"/>
              </w:rPr>
              <w:t>4.1.20: Equity Multiplier</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3</w:t>
            </w:r>
            <w:r w:rsidR="0065097F">
              <w:rPr>
                <w:rFonts w:ascii="Arial" w:hAnsi="Arial" w:cs="Arial"/>
                <w:noProof/>
                <w:webHidden/>
                <w:color w:val="000000" w:themeColor="text1"/>
              </w:rPr>
              <w:t>5</w:t>
            </w:r>
          </w:hyperlink>
        </w:p>
        <w:p w:rsidR="00A745FE" w:rsidRPr="00ED38E8" w:rsidRDefault="004F236C">
          <w:pPr>
            <w:pStyle w:val="TOC2"/>
            <w:tabs>
              <w:tab w:val="right" w:leader="dot" w:pos="9435"/>
            </w:tabs>
            <w:rPr>
              <w:rFonts w:ascii="Arial" w:eastAsiaTheme="minorEastAsia" w:hAnsi="Arial" w:cs="Arial"/>
              <w:noProof/>
              <w:color w:val="000000" w:themeColor="text1"/>
            </w:rPr>
          </w:pPr>
          <w:hyperlink w:anchor="_Toc18330053" w:history="1">
            <w:r w:rsidR="00A745FE" w:rsidRPr="00ED38E8">
              <w:rPr>
                <w:rStyle w:val="Hyperlink"/>
                <w:rFonts w:ascii="Arial" w:hAnsi="Arial" w:cs="Arial"/>
                <w:b/>
                <w:bCs/>
                <w:noProof/>
                <w:color w:val="000000" w:themeColor="text1"/>
              </w:rPr>
              <w:t>Efficiency Dimension</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3</w:t>
            </w:r>
            <w:r w:rsidR="0065097F">
              <w:rPr>
                <w:rFonts w:ascii="Arial" w:hAnsi="Arial" w:cs="Arial"/>
                <w:noProof/>
                <w:webHidden/>
                <w:color w:val="000000" w:themeColor="text1"/>
              </w:rPr>
              <w:t>6</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54" w:history="1">
            <w:r w:rsidR="00A745FE" w:rsidRPr="00ED38E8">
              <w:rPr>
                <w:rStyle w:val="Hyperlink"/>
                <w:rFonts w:ascii="Arial" w:eastAsia="Calibri" w:hAnsi="Arial" w:cs="Arial"/>
                <w:b/>
                <w:bCs/>
                <w:noProof/>
                <w:color w:val="000000" w:themeColor="text1"/>
              </w:rPr>
              <w:t>4.1.21:</w:t>
            </w:r>
            <w:r w:rsidR="00A745FE" w:rsidRPr="00ED38E8">
              <w:rPr>
                <w:rStyle w:val="Hyperlink"/>
                <w:rFonts w:ascii="Arial" w:eastAsia="Times New Roman" w:hAnsi="Arial" w:cs="Arial"/>
                <w:b/>
                <w:bCs/>
                <w:noProof/>
                <w:color w:val="000000" w:themeColor="text1"/>
              </w:rPr>
              <w:t xml:space="preserve"> </w:t>
            </w:r>
            <w:r w:rsidR="00A745FE" w:rsidRPr="00ED38E8">
              <w:rPr>
                <w:rStyle w:val="Hyperlink"/>
                <w:rFonts w:ascii="Arial" w:eastAsia="Calibri" w:hAnsi="Arial" w:cs="Arial"/>
                <w:b/>
                <w:bCs/>
                <w:noProof/>
                <w:color w:val="000000" w:themeColor="text1"/>
              </w:rPr>
              <w:t>Asset Utilization Ratio</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3</w:t>
            </w:r>
            <w:r w:rsidR="0065097F">
              <w:rPr>
                <w:rFonts w:ascii="Arial" w:hAnsi="Arial" w:cs="Arial"/>
                <w:noProof/>
                <w:webHidden/>
                <w:color w:val="000000" w:themeColor="text1"/>
              </w:rPr>
              <w:t>6</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55" w:history="1">
            <w:r w:rsidR="00A745FE" w:rsidRPr="00ED38E8">
              <w:rPr>
                <w:rStyle w:val="Hyperlink"/>
                <w:rFonts w:ascii="Arial" w:eastAsia="Calibri" w:hAnsi="Arial" w:cs="Arial"/>
                <w:b/>
                <w:bCs/>
                <w:noProof/>
                <w:color w:val="000000" w:themeColor="text1"/>
              </w:rPr>
              <w:t>4.1.22:  Loans Utilization Ratio</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3</w:t>
            </w:r>
            <w:r w:rsidR="0065097F">
              <w:rPr>
                <w:rFonts w:ascii="Arial" w:hAnsi="Arial" w:cs="Arial"/>
                <w:noProof/>
                <w:webHidden/>
                <w:color w:val="000000" w:themeColor="text1"/>
              </w:rPr>
              <w:t>7</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56" w:history="1">
            <w:r w:rsidR="00A745FE" w:rsidRPr="00ED38E8">
              <w:rPr>
                <w:rStyle w:val="Hyperlink"/>
                <w:rFonts w:ascii="Arial" w:eastAsia="Calibri" w:hAnsi="Arial" w:cs="Arial"/>
                <w:b/>
                <w:bCs/>
                <w:noProof/>
                <w:color w:val="000000" w:themeColor="text1"/>
              </w:rPr>
              <w:t>4.1.23:  Operating Ratio</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3</w:t>
            </w:r>
            <w:r w:rsidR="0065097F">
              <w:rPr>
                <w:rFonts w:ascii="Arial" w:hAnsi="Arial" w:cs="Arial"/>
                <w:noProof/>
                <w:webHidden/>
                <w:color w:val="000000" w:themeColor="text1"/>
              </w:rPr>
              <w:t>7</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57" w:history="1">
            <w:r w:rsidR="00A745FE" w:rsidRPr="00ED38E8">
              <w:rPr>
                <w:rStyle w:val="Hyperlink"/>
                <w:rFonts w:ascii="Arial" w:eastAsia="Calibri" w:hAnsi="Arial" w:cs="Arial"/>
                <w:b/>
                <w:bCs/>
                <w:noProof/>
                <w:color w:val="000000" w:themeColor="text1"/>
              </w:rPr>
              <w:t>4.1.24: Yield on Assets</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3</w:t>
            </w:r>
            <w:r w:rsidR="0065097F">
              <w:rPr>
                <w:rFonts w:ascii="Arial" w:hAnsi="Arial" w:cs="Arial"/>
                <w:noProof/>
                <w:webHidden/>
                <w:color w:val="000000" w:themeColor="text1"/>
              </w:rPr>
              <w:t>8</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58" w:history="1">
            <w:r w:rsidR="00A745FE" w:rsidRPr="00ED38E8">
              <w:rPr>
                <w:rStyle w:val="Hyperlink"/>
                <w:rFonts w:ascii="Arial" w:eastAsia="Calibri" w:hAnsi="Arial" w:cs="Arial"/>
                <w:b/>
                <w:bCs/>
                <w:noProof/>
                <w:color w:val="000000" w:themeColor="text1"/>
              </w:rPr>
              <w:t>4.1.25: Expense Ratio</w:t>
            </w:r>
            <w:r w:rsidR="00A745FE" w:rsidRPr="00ED38E8">
              <w:rPr>
                <w:rFonts w:ascii="Arial" w:hAnsi="Arial" w:cs="Arial"/>
                <w:noProof/>
                <w:webHidden/>
                <w:color w:val="000000" w:themeColor="text1"/>
              </w:rPr>
              <w:tab/>
            </w:r>
            <w:r w:rsidR="0065097F">
              <w:rPr>
                <w:rFonts w:ascii="Arial" w:hAnsi="Arial" w:cs="Arial"/>
                <w:noProof/>
                <w:webHidden/>
                <w:color w:val="000000" w:themeColor="text1"/>
              </w:rPr>
              <w:t>39</w:t>
            </w:r>
          </w:hyperlink>
        </w:p>
        <w:bookmarkStart w:id="12" w:name="_Hlk23627066"/>
        <w:p w:rsidR="00A745FE" w:rsidRPr="00ED38E8" w:rsidRDefault="00D90713">
          <w:pPr>
            <w:pStyle w:val="TOC2"/>
            <w:tabs>
              <w:tab w:val="right" w:leader="dot" w:pos="9435"/>
            </w:tabs>
            <w:rPr>
              <w:rFonts w:ascii="Arial" w:eastAsiaTheme="minorEastAsia" w:hAnsi="Arial" w:cs="Arial"/>
              <w:noProof/>
              <w:color w:val="000000" w:themeColor="text1"/>
            </w:rPr>
          </w:pPr>
          <w:r>
            <w:fldChar w:fldCharType="begin"/>
          </w:r>
          <w:r>
            <w:instrText xml:space="preserve"> HYPERLINK \l "_Toc18330059" </w:instrText>
          </w:r>
          <w:r>
            <w:fldChar w:fldCharType="separate"/>
          </w:r>
          <w:r w:rsidR="00A745FE" w:rsidRPr="00ED38E8">
            <w:rPr>
              <w:rStyle w:val="Hyperlink"/>
              <w:rFonts w:ascii="Arial" w:hAnsi="Arial" w:cs="Arial"/>
              <w:b/>
              <w:bCs/>
              <w:noProof/>
              <w:color w:val="000000" w:themeColor="text1"/>
            </w:rPr>
            <w:t>Market Value Dimension</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4</w:t>
          </w:r>
          <w:r w:rsidR="0065097F">
            <w:rPr>
              <w:rFonts w:ascii="Arial" w:hAnsi="Arial" w:cs="Arial"/>
              <w:noProof/>
              <w:webHidden/>
              <w:color w:val="000000" w:themeColor="text1"/>
            </w:rPr>
            <w:t>0</w:t>
          </w:r>
          <w:r>
            <w:rPr>
              <w:rFonts w:ascii="Arial" w:hAnsi="Arial" w:cs="Arial"/>
              <w:noProof/>
              <w:color w:val="000000" w:themeColor="text1"/>
            </w:rPr>
            <w:fldChar w:fldCharType="end"/>
          </w:r>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60" w:history="1">
            <w:r w:rsidR="00A745FE" w:rsidRPr="00ED38E8">
              <w:rPr>
                <w:rStyle w:val="Hyperlink"/>
                <w:rFonts w:ascii="Arial" w:eastAsia="Calibri" w:hAnsi="Arial" w:cs="Arial"/>
                <w:b/>
                <w:bCs/>
                <w:noProof/>
                <w:color w:val="000000" w:themeColor="text1"/>
              </w:rPr>
              <w:t>4.</w:t>
            </w:r>
            <w:bookmarkStart w:id="13" w:name="_Hlk23627128"/>
            <w:r w:rsidR="00A745FE" w:rsidRPr="00ED38E8">
              <w:rPr>
                <w:rStyle w:val="Hyperlink"/>
                <w:rFonts w:ascii="Arial" w:eastAsia="Calibri" w:hAnsi="Arial" w:cs="Arial"/>
                <w:b/>
                <w:bCs/>
                <w:noProof/>
                <w:color w:val="000000" w:themeColor="text1"/>
              </w:rPr>
              <w:t>1.26:</w:t>
            </w:r>
            <w:bookmarkEnd w:id="13"/>
            <w:r w:rsidR="00A745FE" w:rsidRPr="00ED38E8">
              <w:rPr>
                <w:rStyle w:val="Hyperlink"/>
                <w:rFonts w:ascii="Arial" w:eastAsia="Calibri" w:hAnsi="Arial" w:cs="Arial"/>
                <w:b/>
                <w:bCs/>
                <w:noProof/>
                <w:color w:val="000000" w:themeColor="text1"/>
              </w:rPr>
              <w:t xml:space="preserve">  Earning per Share</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4</w:t>
            </w:r>
            <w:r w:rsidR="0065097F">
              <w:rPr>
                <w:rFonts w:ascii="Arial" w:hAnsi="Arial" w:cs="Arial"/>
                <w:noProof/>
                <w:webHidden/>
                <w:color w:val="000000" w:themeColor="text1"/>
              </w:rPr>
              <w:t>0</w:t>
            </w:r>
          </w:hyperlink>
        </w:p>
        <w:bookmarkEnd w:id="12"/>
        <w:p w:rsidR="00A745FE" w:rsidRPr="00ED38E8" w:rsidRDefault="00D90713">
          <w:pPr>
            <w:pStyle w:val="TOC3"/>
            <w:tabs>
              <w:tab w:val="right" w:leader="dot" w:pos="9435"/>
            </w:tabs>
            <w:rPr>
              <w:rFonts w:ascii="Arial" w:eastAsiaTheme="minorEastAsia" w:hAnsi="Arial" w:cs="Arial"/>
              <w:noProof/>
              <w:color w:val="000000" w:themeColor="text1"/>
            </w:rPr>
          </w:pPr>
          <w:r>
            <w:lastRenderedPageBreak/>
            <w:fldChar w:fldCharType="begin"/>
          </w:r>
          <w:r>
            <w:instrText xml:space="preserve"> HYPERLINK \l "_Toc18330061" </w:instrText>
          </w:r>
          <w:r>
            <w:fldChar w:fldCharType="separate"/>
          </w:r>
          <w:r w:rsidR="00A745FE" w:rsidRPr="00ED38E8">
            <w:rPr>
              <w:rStyle w:val="Hyperlink"/>
              <w:rFonts w:ascii="Arial" w:eastAsia="Calibri" w:hAnsi="Arial" w:cs="Arial"/>
              <w:b/>
              <w:bCs/>
              <w:noProof/>
              <w:color w:val="000000" w:themeColor="text1"/>
            </w:rPr>
            <w:t>4.1.27:  Dividend Payout Ratio</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42</w:t>
          </w:r>
          <w:r>
            <w:rPr>
              <w:rFonts w:ascii="Arial" w:hAnsi="Arial" w:cs="Arial"/>
              <w:noProof/>
              <w:color w:val="000000" w:themeColor="text1"/>
            </w:rPr>
            <w:fldChar w:fldCharType="end"/>
          </w:r>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62" w:history="1">
            <w:r w:rsidR="00A745FE" w:rsidRPr="00ED38E8">
              <w:rPr>
                <w:rStyle w:val="Hyperlink"/>
                <w:rFonts w:ascii="Arial" w:eastAsia="Calibri" w:hAnsi="Arial" w:cs="Arial"/>
                <w:b/>
                <w:bCs/>
                <w:noProof/>
                <w:color w:val="000000" w:themeColor="text1"/>
              </w:rPr>
              <w:t>4.1.28:  Price Ratio</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43</w:t>
            </w:r>
          </w:hyperlink>
        </w:p>
        <w:p w:rsidR="00A745FE" w:rsidRPr="00ED38E8" w:rsidRDefault="004F236C">
          <w:pPr>
            <w:pStyle w:val="TOC3"/>
            <w:tabs>
              <w:tab w:val="right" w:leader="dot" w:pos="9435"/>
            </w:tabs>
            <w:rPr>
              <w:rFonts w:ascii="Arial" w:eastAsiaTheme="minorEastAsia" w:hAnsi="Arial" w:cs="Arial"/>
              <w:noProof/>
              <w:color w:val="000000" w:themeColor="text1"/>
            </w:rPr>
          </w:pPr>
          <w:hyperlink w:anchor="_Toc18330063" w:history="1">
            <w:r w:rsidR="00A745FE" w:rsidRPr="00ED38E8">
              <w:rPr>
                <w:rStyle w:val="Hyperlink"/>
                <w:rFonts w:ascii="Arial" w:eastAsia="Calibri" w:hAnsi="Arial" w:cs="Arial"/>
                <w:b/>
                <w:bCs/>
                <w:noProof/>
                <w:color w:val="000000" w:themeColor="text1"/>
              </w:rPr>
              <w:t>4.1.29: Market/Book Ratio</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4</w:t>
            </w:r>
            <w:r w:rsidR="00D20D8C">
              <w:rPr>
                <w:rFonts w:ascii="Arial" w:hAnsi="Arial" w:cs="Arial"/>
                <w:noProof/>
                <w:webHidden/>
                <w:color w:val="000000" w:themeColor="text1"/>
              </w:rPr>
              <w:t>3</w:t>
            </w:r>
          </w:hyperlink>
        </w:p>
        <w:p w:rsidR="00A745FE" w:rsidRDefault="004F236C">
          <w:pPr>
            <w:pStyle w:val="TOC3"/>
            <w:tabs>
              <w:tab w:val="right" w:leader="dot" w:pos="9435"/>
            </w:tabs>
            <w:rPr>
              <w:rFonts w:ascii="Arial" w:hAnsi="Arial" w:cs="Arial"/>
              <w:noProof/>
              <w:color w:val="000000" w:themeColor="text1"/>
            </w:rPr>
          </w:pPr>
          <w:hyperlink w:anchor="_Toc18330064" w:history="1">
            <w:r w:rsidR="00A745FE" w:rsidRPr="00ED38E8">
              <w:rPr>
                <w:rStyle w:val="Hyperlink"/>
                <w:rFonts w:ascii="Arial" w:eastAsia="Calibri" w:hAnsi="Arial" w:cs="Arial"/>
                <w:b/>
                <w:bCs/>
                <w:noProof/>
                <w:color w:val="000000" w:themeColor="text1"/>
              </w:rPr>
              <w:t>4.1.30: Net Asset Value (NAV) per Share</w:t>
            </w:r>
            <w:r w:rsidR="00A745FE" w:rsidRPr="00ED38E8">
              <w:rPr>
                <w:rFonts w:ascii="Arial" w:hAnsi="Arial" w:cs="Arial"/>
                <w:noProof/>
                <w:webHidden/>
                <w:color w:val="000000" w:themeColor="text1"/>
              </w:rPr>
              <w:tab/>
            </w:r>
            <w:r w:rsidR="00C00117">
              <w:rPr>
                <w:rFonts w:ascii="Arial" w:hAnsi="Arial" w:cs="Arial"/>
                <w:noProof/>
                <w:webHidden/>
                <w:color w:val="000000" w:themeColor="text1"/>
              </w:rPr>
              <w:t>4</w:t>
            </w:r>
            <w:r w:rsidR="00D20D8C">
              <w:rPr>
                <w:rFonts w:ascii="Arial" w:hAnsi="Arial" w:cs="Arial"/>
                <w:noProof/>
                <w:webHidden/>
                <w:color w:val="000000" w:themeColor="text1"/>
              </w:rPr>
              <w:t>4</w:t>
            </w:r>
          </w:hyperlink>
        </w:p>
        <w:p w:rsidR="00C00117" w:rsidRPr="00ED38E8" w:rsidRDefault="00C00117" w:rsidP="00C00117">
          <w:pPr>
            <w:pStyle w:val="TOC2"/>
            <w:tabs>
              <w:tab w:val="right" w:leader="dot" w:pos="9435"/>
            </w:tabs>
            <w:rPr>
              <w:rFonts w:ascii="Arial" w:eastAsiaTheme="minorEastAsia" w:hAnsi="Arial" w:cs="Arial"/>
              <w:noProof/>
              <w:color w:val="000000" w:themeColor="text1"/>
            </w:rPr>
          </w:pPr>
          <w:r>
            <w:t xml:space="preserve"> </w:t>
          </w:r>
          <w:hyperlink w:anchor="_Toc18330059" w:history="1">
            <w:r w:rsidRPr="00C00117">
              <w:rPr>
                <w:rStyle w:val="Hyperlink"/>
                <w:rFonts w:ascii="Arial" w:hAnsi="Arial" w:cs="Arial"/>
                <w:b/>
                <w:bCs/>
                <w:noProof/>
              </w:rPr>
              <w:t>4.2: The Aggregate ROE Model for IDLC</w:t>
            </w:r>
            <w:r w:rsidRPr="00C00117">
              <w:rPr>
                <w:rStyle w:val="Hyperlink"/>
                <w:rFonts w:ascii="Arial" w:hAnsi="Arial" w:cs="Arial"/>
                <w:noProof/>
                <w:webHidden/>
              </w:rPr>
              <w:tab/>
              <w:t>4</w:t>
            </w:r>
            <w:r w:rsidR="00D20D8C">
              <w:rPr>
                <w:rStyle w:val="Hyperlink"/>
                <w:rFonts w:ascii="Arial" w:hAnsi="Arial" w:cs="Arial"/>
                <w:noProof/>
                <w:webHidden/>
              </w:rPr>
              <w:t>5</w:t>
            </w:r>
          </w:hyperlink>
        </w:p>
        <w:p w:rsidR="00C00117" w:rsidRPr="00C00117" w:rsidRDefault="00C00117" w:rsidP="00C00117"/>
        <w:p w:rsidR="007E0DA5" w:rsidRPr="00ED38E8" w:rsidRDefault="007E0DA5" w:rsidP="007E0DA5">
          <w:pPr>
            <w:rPr>
              <w:rFonts w:ascii="Arial" w:hAnsi="Arial" w:cs="Arial"/>
              <w:noProof/>
            </w:rPr>
          </w:pPr>
        </w:p>
        <w:p w:rsidR="00A745FE" w:rsidRPr="00ED38E8" w:rsidRDefault="004F236C">
          <w:pPr>
            <w:pStyle w:val="TOC1"/>
            <w:tabs>
              <w:tab w:val="right" w:leader="dot" w:pos="9435"/>
            </w:tabs>
            <w:rPr>
              <w:rFonts w:ascii="Arial" w:eastAsiaTheme="minorEastAsia" w:hAnsi="Arial" w:cs="Arial"/>
              <w:b/>
              <w:bCs/>
              <w:noProof/>
            </w:rPr>
          </w:pPr>
          <w:hyperlink w:anchor="_Toc18330065" w:history="1">
            <w:r w:rsidR="00A745FE" w:rsidRPr="00ED38E8">
              <w:rPr>
                <w:rStyle w:val="Hyperlink"/>
                <w:rFonts w:ascii="Arial" w:eastAsia="Calibri" w:hAnsi="Arial" w:cs="Arial"/>
                <w:b/>
                <w:bCs/>
                <w:noProof/>
              </w:rPr>
              <w:t>CHAPTER 5</w:t>
            </w:r>
          </w:hyperlink>
        </w:p>
        <w:p w:rsidR="00A745FE" w:rsidRPr="00ED38E8" w:rsidRDefault="004F236C">
          <w:pPr>
            <w:pStyle w:val="TOC1"/>
            <w:tabs>
              <w:tab w:val="right" w:leader="dot" w:pos="9435"/>
            </w:tabs>
            <w:rPr>
              <w:rFonts w:ascii="Arial" w:eastAsiaTheme="minorEastAsia" w:hAnsi="Arial" w:cs="Arial"/>
              <w:b/>
              <w:bCs/>
              <w:noProof/>
            </w:rPr>
          </w:pPr>
          <w:hyperlink w:anchor="_Toc18330066" w:history="1">
            <w:r w:rsidR="00A745FE" w:rsidRPr="00ED38E8">
              <w:rPr>
                <w:rStyle w:val="Hyperlink"/>
                <w:rFonts w:ascii="Arial" w:eastAsia="Calibri" w:hAnsi="Arial" w:cs="Arial"/>
                <w:b/>
                <w:bCs/>
                <w:noProof/>
              </w:rPr>
              <w:t>Findings and Conclusions</w:t>
            </w:r>
            <w:r w:rsidR="00A745FE" w:rsidRPr="00ED38E8">
              <w:rPr>
                <w:rFonts w:ascii="Arial" w:hAnsi="Arial" w:cs="Arial"/>
                <w:b/>
                <w:bCs/>
                <w:noProof/>
                <w:webHidden/>
              </w:rPr>
              <w:tab/>
            </w:r>
            <w:r w:rsidR="0041387E">
              <w:rPr>
                <w:rFonts w:ascii="Arial" w:hAnsi="Arial" w:cs="Arial"/>
                <w:noProof/>
                <w:webHidden/>
              </w:rPr>
              <w:t>50</w:t>
            </w:r>
          </w:hyperlink>
        </w:p>
        <w:p w:rsidR="00A745FE" w:rsidRPr="00ED38E8" w:rsidRDefault="004F236C">
          <w:pPr>
            <w:pStyle w:val="TOC2"/>
            <w:tabs>
              <w:tab w:val="right" w:leader="dot" w:pos="9435"/>
            </w:tabs>
            <w:rPr>
              <w:rFonts w:ascii="Arial" w:eastAsiaTheme="minorEastAsia" w:hAnsi="Arial" w:cs="Arial"/>
              <w:noProof/>
            </w:rPr>
          </w:pPr>
          <w:hyperlink w:anchor="_Toc18330067" w:history="1">
            <w:r w:rsidR="00A745FE" w:rsidRPr="00ED38E8">
              <w:rPr>
                <w:rStyle w:val="Hyperlink"/>
                <w:rFonts w:ascii="Arial" w:eastAsia="Calibri" w:hAnsi="Arial" w:cs="Arial"/>
                <w:b/>
                <w:bCs/>
                <w:noProof/>
              </w:rPr>
              <w:t>5.1 Findings</w:t>
            </w:r>
            <w:r w:rsidR="00A745FE" w:rsidRPr="00ED38E8">
              <w:rPr>
                <w:rFonts w:ascii="Arial" w:hAnsi="Arial" w:cs="Arial"/>
                <w:noProof/>
                <w:webHidden/>
              </w:rPr>
              <w:tab/>
            </w:r>
            <w:r w:rsidR="00A745FE" w:rsidRPr="00ED38E8">
              <w:rPr>
                <w:rFonts w:ascii="Arial" w:hAnsi="Arial" w:cs="Arial"/>
                <w:noProof/>
                <w:webHidden/>
              </w:rPr>
              <w:fldChar w:fldCharType="begin"/>
            </w:r>
            <w:r w:rsidR="00A745FE" w:rsidRPr="00ED38E8">
              <w:rPr>
                <w:rFonts w:ascii="Arial" w:hAnsi="Arial" w:cs="Arial"/>
                <w:noProof/>
                <w:webHidden/>
              </w:rPr>
              <w:instrText xml:space="preserve"> PAGEREF _Toc18330067 \h </w:instrText>
            </w:r>
            <w:r w:rsidR="00A745FE" w:rsidRPr="00ED38E8">
              <w:rPr>
                <w:rFonts w:ascii="Arial" w:hAnsi="Arial" w:cs="Arial"/>
                <w:noProof/>
                <w:webHidden/>
              </w:rPr>
            </w:r>
            <w:r w:rsidR="00A745FE" w:rsidRPr="00ED38E8">
              <w:rPr>
                <w:rFonts w:ascii="Arial" w:hAnsi="Arial" w:cs="Arial"/>
                <w:noProof/>
                <w:webHidden/>
              </w:rPr>
              <w:fldChar w:fldCharType="separate"/>
            </w:r>
            <w:r w:rsidR="000444EE" w:rsidRPr="00ED38E8">
              <w:rPr>
                <w:rFonts w:ascii="Arial" w:hAnsi="Arial" w:cs="Arial"/>
                <w:noProof/>
                <w:webHidden/>
              </w:rPr>
              <w:t>5</w:t>
            </w:r>
            <w:r w:rsidR="0041387E">
              <w:rPr>
                <w:rFonts w:ascii="Arial" w:hAnsi="Arial" w:cs="Arial"/>
                <w:noProof/>
                <w:webHidden/>
              </w:rPr>
              <w:t>1</w:t>
            </w:r>
            <w:r w:rsidR="00A745FE" w:rsidRPr="00ED38E8">
              <w:rPr>
                <w:rFonts w:ascii="Arial" w:hAnsi="Arial" w:cs="Arial"/>
                <w:noProof/>
                <w:webHidden/>
              </w:rPr>
              <w:fldChar w:fldCharType="end"/>
            </w:r>
          </w:hyperlink>
        </w:p>
        <w:p w:rsidR="00A745FE" w:rsidRDefault="004F236C">
          <w:pPr>
            <w:pStyle w:val="TOC2"/>
            <w:tabs>
              <w:tab w:val="right" w:leader="dot" w:pos="9435"/>
            </w:tabs>
            <w:rPr>
              <w:rFonts w:ascii="Arial" w:hAnsi="Arial" w:cs="Arial"/>
              <w:noProof/>
            </w:rPr>
          </w:pPr>
          <w:hyperlink w:anchor="_Toc18330068" w:history="1">
            <w:r w:rsidR="00A745FE" w:rsidRPr="00C00117">
              <w:rPr>
                <w:rStyle w:val="Hyperlink"/>
                <w:rFonts w:ascii="Arial" w:eastAsia="Calibri" w:hAnsi="Arial" w:cs="Arial"/>
                <w:b/>
                <w:bCs/>
                <w:noProof/>
              </w:rPr>
              <w:t xml:space="preserve">5.2 </w:t>
            </w:r>
            <w:r w:rsidR="00C00117" w:rsidRPr="00C00117">
              <w:rPr>
                <w:rStyle w:val="Hyperlink"/>
                <w:rFonts w:ascii="Arial" w:eastAsia="Calibri" w:hAnsi="Arial" w:cs="Arial"/>
                <w:b/>
                <w:bCs/>
                <w:noProof/>
              </w:rPr>
              <w:t>Conclusions</w:t>
            </w:r>
            <w:r w:rsidR="00A745FE" w:rsidRPr="00C00117">
              <w:rPr>
                <w:rStyle w:val="Hyperlink"/>
                <w:rFonts w:ascii="Arial" w:hAnsi="Arial" w:cs="Arial"/>
                <w:noProof/>
                <w:webHidden/>
              </w:rPr>
              <w:tab/>
            </w:r>
            <w:r w:rsidR="00A745FE" w:rsidRPr="00C00117">
              <w:rPr>
                <w:rStyle w:val="Hyperlink"/>
                <w:rFonts w:ascii="Arial" w:hAnsi="Arial" w:cs="Arial"/>
                <w:noProof/>
                <w:webHidden/>
              </w:rPr>
              <w:fldChar w:fldCharType="begin"/>
            </w:r>
            <w:r w:rsidR="00A745FE" w:rsidRPr="00C00117">
              <w:rPr>
                <w:rStyle w:val="Hyperlink"/>
                <w:rFonts w:ascii="Arial" w:hAnsi="Arial" w:cs="Arial"/>
                <w:noProof/>
                <w:webHidden/>
              </w:rPr>
              <w:instrText xml:space="preserve"> PAGEREF _Toc18330068 \h </w:instrText>
            </w:r>
            <w:r w:rsidR="00A745FE" w:rsidRPr="00C00117">
              <w:rPr>
                <w:rStyle w:val="Hyperlink"/>
                <w:rFonts w:ascii="Arial" w:hAnsi="Arial" w:cs="Arial"/>
                <w:noProof/>
                <w:webHidden/>
              </w:rPr>
            </w:r>
            <w:r w:rsidR="00A745FE" w:rsidRPr="00C00117">
              <w:rPr>
                <w:rStyle w:val="Hyperlink"/>
                <w:rFonts w:ascii="Arial" w:hAnsi="Arial" w:cs="Arial"/>
                <w:noProof/>
                <w:webHidden/>
              </w:rPr>
              <w:fldChar w:fldCharType="separate"/>
            </w:r>
            <w:r w:rsidR="000444EE" w:rsidRPr="00C00117">
              <w:rPr>
                <w:rStyle w:val="Hyperlink"/>
                <w:rFonts w:ascii="Arial" w:hAnsi="Arial" w:cs="Arial"/>
                <w:noProof/>
                <w:webHidden/>
              </w:rPr>
              <w:t>5</w:t>
            </w:r>
            <w:r w:rsidR="0041387E">
              <w:rPr>
                <w:rStyle w:val="Hyperlink"/>
                <w:rFonts w:ascii="Arial" w:hAnsi="Arial" w:cs="Arial"/>
                <w:noProof/>
                <w:webHidden/>
              </w:rPr>
              <w:t>1</w:t>
            </w:r>
            <w:r w:rsidR="00A745FE" w:rsidRPr="00C00117">
              <w:rPr>
                <w:rStyle w:val="Hyperlink"/>
                <w:rFonts w:ascii="Arial" w:hAnsi="Arial" w:cs="Arial"/>
                <w:noProof/>
                <w:webHidden/>
              </w:rPr>
              <w:fldChar w:fldCharType="end"/>
            </w:r>
          </w:hyperlink>
        </w:p>
        <w:p w:rsidR="00C00117" w:rsidRPr="00C00117" w:rsidRDefault="00C00117" w:rsidP="00C00117"/>
        <w:p w:rsidR="00A745FE" w:rsidRPr="00ED38E8" w:rsidRDefault="004F236C">
          <w:pPr>
            <w:pStyle w:val="TOC2"/>
            <w:tabs>
              <w:tab w:val="right" w:leader="dot" w:pos="9435"/>
            </w:tabs>
            <w:rPr>
              <w:rFonts w:ascii="Arial" w:eastAsiaTheme="minorEastAsia" w:hAnsi="Arial" w:cs="Arial"/>
              <w:noProof/>
            </w:rPr>
          </w:pPr>
          <w:hyperlink w:anchor="_Toc18330070" w:history="1">
            <w:r w:rsidR="00A745FE" w:rsidRPr="00ED38E8">
              <w:rPr>
                <w:rStyle w:val="Hyperlink"/>
                <w:rFonts w:ascii="Arial" w:hAnsi="Arial" w:cs="Arial"/>
                <w:b/>
                <w:bCs/>
                <w:noProof/>
              </w:rPr>
              <w:t>Bibliography:</w:t>
            </w:r>
            <w:r w:rsidR="00A745FE" w:rsidRPr="00ED38E8">
              <w:rPr>
                <w:rFonts w:ascii="Arial" w:hAnsi="Arial" w:cs="Arial"/>
                <w:noProof/>
                <w:webHidden/>
              </w:rPr>
              <w:tab/>
            </w:r>
            <w:r w:rsidR="00A745FE" w:rsidRPr="00ED38E8">
              <w:rPr>
                <w:rFonts w:ascii="Arial" w:hAnsi="Arial" w:cs="Arial"/>
                <w:noProof/>
                <w:webHidden/>
              </w:rPr>
              <w:fldChar w:fldCharType="begin"/>
            </w:r>
            <w:r w:rsidR="00A745FE" w:rsidRPr="00ED38E8">
              <w:rPr>
                <w:rFonts w:ascii="Arial" w:hAnsi="Arial" w:cs="Arial"/>
                <w:noProof/>
                <w:webHidden/>
              </w:rPr>
              <w:instrText xml:space="preserve"> PAGEREF _Toc18330070 \h </w:instrText>
            </w:r>
            <w:r w:rsidR="00A745FE" w:rsidRPr="00ED38E8">
              <w:rPr>
                <w:rFonts w:ascii="Arial" w:hAnsi="Arial" w:cs="Arial"/>
                <w:noProof/>
                <w:webHidden/>
              </w:rPr>
            </w:r>
            <w:r w:rsidR="00A745FE" w:rsidRPr="00ED38E8">
              <w:rPr>
                <w:rFonts w:ascii="Arial" w:hAnsi="Arial" w:cs="Arial"/>
                <w:noProof/>
                <w:webHidden/>
              </w:rPr>
              <w:fldChar w:fldCharType="separate"/>
            </w:r>
            <w:r w:rsidR="000444EE" w:rsidRPr="00ED38E8">
              <w:rPr>
                <w:rFonts w:ascii="Arial" w:hAnsi="Arial" w:cs="Arial"/>
                <w:noProof/>
                <w:webHidden/>
              </w:rPr>
              <w:t>5</w:t>
            </w:r>
            <w:r w:rsidR="0041387E">
              <w:rPr>
                <w:rFonts w:ascii="Arial" w:hAnsi="Arial" w:cs="Arial"/>
                <w:noProof/>
                <w:webHidden/>
              </w:rPr>
              <w:t>1</w:t>
            </w:r>
            <w:r w:rsidR="00A745FE" w:rsidRPr="00ED38E8">
              <w:rPr>
                <w:rFonts w:ascii="Arial" w:hAnsi="Arial" w:cs="Arial"/>
                <w:noProof/>
                <w:webHidden/>
              </w:rPr>
              <w:fldChar w:fldCharType="end"/>
            </w:r>
          </w:hyperlink>
        </w:p>
        <w:p w:rsidR="00A745FE" w:rsidRPr="00ED38E8" w:rsidRDefault="00A745FE">
          <w:pPr>
            <w:rPr>
              <w:rFonts w:ascii="Arial" w:hAnsi="Arial" w:cs="Arial"/>
            </w:rPr>
          </w:pPr>
          <w:r w:rsidRPr="00ED38E8">
            <w:rPr>
              <w:rFonts w:ascii="Arial" w:hAnsi="Arial" w:cs="Arial"/>
              <w:b/>
              <w:bCs/>
              <w:noProof/>
            </w:rPr>
            <w:fldChar w:fldCharType="end"/>
          </w:r>
        </w:p>
      </w:sdtContent>
    </w:sdt>
    <w:p w:rsidR="00A745FE" w:rsidRPr="00ED38E8" w:rsidRDefault="00A745FE">
      <w:pPr>
        <w:spacing w:after="200" w:line="276" w:lineRule="auto"/>
        <w:rPr>
          <w:rFonts w:ascii="Arial" w:hAnsi="Arial" w:cs="Arial"/>
        </w:rPr>
      </w:pPr>
    </w:p>
    <w:p w:rsidR="00851DA0" w:rsidRPr="00ED38E8" w:rsidRDefault="00851DA0">
      <w:pPr>
        <w:spacing w:after="200" w:line="276" w:lineRule="auto"/>
        <w:rPr>
          <w:rFonts w:ascii="Arial" w:hAnsi="Arial" w:cs="Arial"/>
        </w:rPr>
      </w:pPr>
    </w:p>
    <w:p w:rsidR="00851DA0" w:rsidRPr="00ED38E8" w:rsidRDefault="00851DA0">
      <w:pPr>
        <w:spacing w:after="200" w:line="276" w:lineRule="auto"/>
        <w:rPr>
          <w:rFonts w:ascii="Arial" w:hAnsi="Arial" w:cs="Arial"/>
        </w:rPr>
      </w:pPr>
    </w:p>
    <w:p w:rsidR="00851DA0" w:rsidRPr="00ED38E8" w:rsidRDefault="00851DA0">
      <w:pPr>
        <w:spacing w:after="200" w:line="276" w:lineRule="auto"/>
        <w:rPr>
          <w:rFonts w:ascii="Arial" w:hAnsi="Arial" w:cs="Arial"/>
        </w:rPr>
      </w:pPr>
    </w:p>
    <w:p w:rsidR="00851DA0" w:rsidRPr="00ED38E8" w:rsidRDefault="00851DA0">
      <w:pPr>
        <w:spacing w:after="200" w:line="276" w:lineRule="auto"/>
        <w:rPr>
          <w:rFonts w:ascii="Arial" w:hAnsi="Arial" w:cs="Arial"/>
        </w:rPr>
        <w:sectPr w:rsidR="00851DA0" w:rsidRPr="00ED38E8">
          <w:footerReference w:type="default" r:id="rId18"/>
          <w:pgSz w:w="12240" w:h="15840"/>
          <w:pgMar w:top="1894" w:right="1355" w:bottom="1438" w:left="1440" w:header="720" w:footer="719" w:gutter="0"/>
          <w:cols w:space="720"/>
        </w:sectPr>
      </w:pPr>
    </w:p>
    <w:p w:rsidR="009C5AAE" w:rsidRPr="00ED38E8" w:rsidRDefault="009C5AAE" w:rsidP="009C5AAE">
      <w:pPr>
        <w:rPr>
          <w:rFonts w:ascii="Arial" w:hAnsi="Arial" w:cs="Arial"/>
        </w:rPr>
      </w:pPr>
    </w:p>
    <w:p w:rsidR="009C5AAE" w:rsidRPr="00ED38E8" w:rsidRDefault="009C5AAE" w:rsidP="009C5AAE">
      <w:pPr>
        <w:pStyle w:val="Heading1"/>
        <w:jc w:val="center"/>
        <w:rPr>
          <w:rFonts w:ascii="Arial" w:eastAsia="Calibri" w:hAnsi="Arial" w:cs="Arial"/>
          <w:color w:val="000000" w:themeColor="text1"/>
          <w:sz w:val="96"/>
          <w:szCs w:val="96"/>
        </w:rPr>
      </w:pPr>
      <w:bookmarkStart w:id="14" w:name="_Toc18329993"/>
      <w:r w:rsidRPr="00ED38E8">
        <w:rPr>
          <w:rFonts w:ascii="Arial" w:eastAsia="Calibri" w:hAnsi="Arial" w:cs="Arial"/>
          <w:color w:val="000000" w:themeColor="text1"/>
          <w:sz w:val="96"/>
          <w:szCs w:val="96"/>
        </w:rPr>
        <w:t>Chapter 1</w:t>
      </w:r>
      <w:bookmarkEnd w:id="14"/>
    </w:p>
    <w:p w:rsidR="009C5AAE" w:rsidRPr="00ED38E8" w:rsidRDefault="009C5AAE" w:rsidP="009C5AAE">
      <w:pPr>
        <w:pStyle w:val="Heading1"/>
        <w:jc w:val="center"/>
        <w:rPr>
          <w:rFonts w:ascii="Arial" w:hAnsi="Arial" w:cs="Arial"/>
          <w:sz w:val="56"/>
          <w:szCs w:val="56"/>
        </w:rPr>
      </w:pPr>
      <w:bookmarkStart w:id="15" w:name="_Toc18329994"/>
      <w:r w:rsidRPr="00ED38E8">
        <w:rPr>
          <w:rFonts w:ascii="Arial" w:eastAsia="Calibri" w:hAnsi="Arial" w:cs="Arial"/>
          <w:sz w:val="56"/>
          <w:szCs w:val="56"/>
        </w:rPr>
        <w:t>Introduction</w:t>
      </w:r>
      <w:bookmarkEnd w:id="15"/>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tabs>
          <w:tab w:val="left" w:pos="3975"/>
        </w:tabs>
        <w:rPr>
          <w:rFonts w:ascii="Arial" w:hAnsi="Arial" w:cs="Arial"/>
        </w:rPr>
      </w:pPr>
      <w:r w:rsidRPr="00ED38E8">
        <w:rPr>
          <w:rFonts w:ascii="Arial" w:hAnsi="Arial" w:cs="Arial"/>
        </w:rPr>
        <w:tab/>
      </w:r>
      <w:r w:rsidRPr="00ED38E8">
        <w:rPr>
          <w:rFonts w:ascii="Arial" w:eastAsia="Calibri" w:hAnsi="Arial" w:cs="Arial"/>
          <w:noProof/>
          <w:color w:val="000000"/>
          <w:sz w:val="24"/>
        </w:rPr>
        <w:drawing>
          <wp:inline distT="0" distB="0" distL="0" distR="0" wp14:anchorId="6E56A238" wp14:editId="0C9A2406">
            <wp:extent cx="5934075" cy="3657600"/>
            <wp:effectExtent l="0" t="0" r="9525" b="0"/>
            <wp:docPr id="165096" name="Picture 165096"/>
            <wp:cNvGraphicFramePr/>
            <a:graphic xmlns:a="http://schemas.openxmlformats.org/drawingml/2006/main">
              <a:graphicData uri="http://schemas.openxmlformats.org/drawingml/2006/picture">
                <pic:pic xmlns:pic="http://schemas.openxmlformats.org/drawingml/2006/picture">
                  <pic:nvPicPr>
                    <pic:cNvPr id="1880" name="Picture 1880"/>
                    <pic:cNvPicPr/>
                  </pic:nvPicPr>
                  <pic:blipFill>
                    <a:blip r:embed="rId9"/>
                    <a:stretch>
                      <a:fillRect/>
                    </a:stretch>
                  </pic:blipFill>
                  <pic:spPr>
                    <a:xfrm>
                      <a:off x="0" y="0"/>
                      <a:ext cx="5935272" cy="3658338"/>
                    </a:xfrm>
                    <a:prstGeom prst="rect">
                      <a:avLst/>
                    </a:prstGeom>
                  </pic:spPr>
                </pic:pic>
              </a:graphicData>
            </a:graphic>
          </wp:inline>
        </w:drawing>
      </w: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tabs>
          <w:tab w:val="left" w:pos="6597"/>
        </w:tabs>
        <w:rPr>
          <w:rFonts w:ascii="Arial" w:eastAsia="Calibri" w:hAnsi="Arial" w:cs="Arial"/>
          <w:noProof/>
          <w:color w:val="000000"/>
          <w:sz w:val="24"/>
        </w:rPr>
      </w:pPr>
      <w:r w:rsidRPr="00ED38E8">
        <w:rPr>
          <w:rFonts w:ascii="Arial" w:hAnsi="Arial" w:cs="Arial"/>
        </w:rPr>
        <w:tab/>
      </w:r>
    </w:p>
    <w:p w:rsidR="009C5AAE" w:rsidRPr="00ED38E8" w:rsidRDefault="009C5AAE" w:rsidP="009C5AAE">
      <w:pPr>
        <w:spacing w:after="200" w:line="276" w:lineRule="auto"/>
        <w:rPr>
          <w:rFonts w:ascii="Arial" w:eastAsia="Calibri" w:hAnsi="Arial" w:cs="Arial"/>
          <w:noProof/>
          <w:color w:val="000000"/>
          <w:sz w:val="24"/>
        </w:rPr>
      </w:pPr>
    </w:p>
    <w:p w:rsidR="0041387E" w:rsidRPr="0041387E" w:rsidRDefault="009C5AAE" w:rsidP="0041387E">
      <w:pPr>
        <w:pStyle w:val="Heading2"/>
        <w:numPr>
          <w:ilvl w:val="1"/>
          <w:numId w:val="23"/>
        </w:numPr>
        <w:rPr>
          <w:rFonts w:ascii="Arial" w:eastAsia="Calibri" w:hAnsi="Arial" w:cs="Arial"/>
          <w:b/>
          <w:bCs/>
          <w:sz w:val="28"/>
          <w:szCs w:val="28"/>
        </w:rPr>
      </w:pPr>
      <w:bookmarkStart w:id="16" w:name="_Toc18329995"/>
      <w:r w:rsidRPr="00ED38E8">
        <w:rPr>
          <w:rFonts w:ascii="Arial" w:eastAsia="Calibri" w:hAnsi="Arial" w:cs="Arial"/>
          <w:b/>
          <w:bCs/>
          <w:sz w:val="28"/>
          <w:szCs w:val="28"/>
        </w:rPr>
        <w:lastRenderedPageBreak/>
        <w:t>Origin of the Report</w:t>
      </w:r>
      <w:bookmarkEnd w:id="16"/>
      <w:r w:rsidRPr="00ED38E8">
        <w:rPr>
          <w:rFonts w:ascii="Arial" w:eastAsia="Calibri" w:hAnsi="Arial" w:cs="Arial"/>
          <w:b/>
          <w:bCs/>
          <w:sz w:val="28"/>
          <w:szCs w:val="28"/>
        </w:rPr>
        <w:t xml:space="preserve"> </w:t>
      </w:r>
    </w:p>
    <w:p w:rsidR="006F7CDE" w:rsidRDefault="006F7CDE" w:rsidP="006F7CDE">
      <w:pPr>
        <w:spacing w:after="213" w:line="270" w:lineRule="auto"/>
        <w:ind w:right="124"/>
        <w:jc w:val="both"/>
        <w:rPr>
          <w:rFonts w:ascii="Arial" w:eastAsia="Calibri" w:hAnsi="Arial" w:cs="Arial"/>
          <w:color w:val="000000"/>
        </w:rPr>
      </w:pPr>
      <w:r>
        <w:rPr>
          <w:rFonts w:ascii="Arial" w:eastAsia="Calibri" w:hAnsi="Arial" w:cs="Arial"/>
          <w:color w:val="000000"/>
        </w:rPr>
        <w:t xml:space="preserve">My internship </w:t>
      </w:r>
      <w:r w:rsidR="009C5AAE" w:rsidRPr="009779F9">
        <w:rPr>
          <w:rFonts w:ascii="Arial" w:eastAsia="Calibri" w:hAnsi="Arial" w:cs="Arial"/>
          <w:color w:val="000000"/>
        </w:rPr>
        <w:t>report has been p</w:t>
      </w:r>
      <w:r>
        <w:rPr>
          <w:rFonts w:ascii="Arial" w:eastAsia="Calibri" w:hAnsi="Arial" w:cs="Arial"/>
          <w:color w:val="000000"/>
        </w:rPr>
        <w:t>rimed as a requisite</w:t>
      </w:r>
      <w:r w:rsidR="009C5AAE" w:rsidRPr="009779F9">
        <w:rPr>
          <w:rFonts w:ascii="Arial" w:eastAsia="Calibri" w:hAnsi="Arial" w:cs="Arial"/>
          <w:color w:val="000000"/>
        </w:rPr>
        <w:t xml:space="preserve"> </w:t>
      </w:r>
      <w:r>
        <w:rPr>
          <w:rFonts w:ascii="Arial" w:eastAsia="Calibri" w:hAnsi="Arial" w:cs="Arial"/>
          <w:color w:val="000000"/>
        </w:rPr>
        <w:t xml:space="preserve">of the BBA internship program of United International University under the supervision and guidance of </w:t>
      </w:r>
      <w:r w:rsidRPr="006F7CDE">
        <w:rPr>
          <w:rFonts w:ascii="Arial" w:eastAsia="Calibri" w:hAnsi="Arial" w:cs="Arial"/>
          <w:color w:val="000000"/>
          <w:lang w:bidi="en-US"/>
        </w:rPr>
        <w:t xml:space="preserve">Assistant Professor </w:t>
      </w:r>
      <w:r>
        <w:rPr>
          <w:rFonts w:ascii="Arial" w:eastAsia="Calibri" w:hAnsi="Arial" w:cs="Arial"/>
          <w:color w:val="000000"/>
        </w:rPr>
        <w:t xml:space="preserve">Mr. Muhammad </w:t>
      </w:r>
      <w:proofErr w:type="spellStart"/>
      <w:r>
        <w:rPr>
          <w:rFonts w:ascii="Arial" w:eastAsia="Calibri" w:hAnsi="Arial" w:cs="Arial"/>
          <w:color w:val="000000"/>
        </w:rPr>
        <w:t>Enamul</w:t>
      </w:r>
      <w:proofErr w:type="spellEnd"/>
      <w:r>
        <w:rPr>
          <w:rFonts w:ascii="Arial" w:eastAsia="Calibri" w:hAnsi="Arial" w:cs="Arial"/>
          <w:color w:val="000000"/>
        </w:rPr>
        <w:t xml:space="preserve"> </w:t>
      </w:r>
      <w:proofErr w:type="spellStart"/>
      <w:r>
        <w:rPr>
          <w:rFonts w:ascii="Arial" w:eastAsia="Calibri" w:hAnsi="Arial" w:cs="Arial"/>
          <w:color w:val="000000"/>
        </w:rPr>
        <w:t>Haque</w:t>
      </w:r>
      <w:proofErr w:type="spellEnd"/>
      <w:r>
        <w:rPr>
          <w:rFonts w:ascii="Arial" w:eastAsia="Calibri" w:hAnsi="Arial" w:cs="Arial"/>
          <w:color w:val="000000"/>
        </w:rPr>
        <w:t xml:space="preserve"> sir of department of Finance, United International University.</w:t>
      </w:r>
    </w:p>
    <w:p w:rsidR="006F7CDE" w:rsidRPr="006F7CDE" w:rsidRDefault="006F7CDE" w:rsidP="006F7CDE">
      <w:pPr>
        <w:spacing w:after="213" w:line="270" w:lineRule="auto"/>
        <w:ind w:right="124"/>
        <w:jc w:val="both"/>
        <w:rPr>
          <w:rFonts w:ascii="Arial" w:eastAsia="Calibri" w:hAnsi="Arial" w:cs="Arial"/>
          <w:color w:val="000000"/>
        </w:rPr>
      </w:pPr>
      <w:r w:rsidRPr="006F7CDE">
        <w:rPr>
          <w:rFonts w:ascii="Arial" w:eastAsia="Calibri" w:hAnsi="Arial" w:cs="Arial"/>
          <w:color w:val="000000"/>
        </w:rPr>
        <w:t>For taking any decision in order to achieve the future growth, any organization needs to evaluate</w:t>
      </w:r>
      <w:r>
        <w:rPr>
          <w:rFonts w:ascii="Arial" w:eastAsia="Calibri" w:hAnsi="Arial" w:cs="Arial"/>
          <w:color w:val="000000"/>
        </w:rPr>
        <w:t xml:space="preserve"> </w:t>
      </w:r>
      <w:r w:rsidRPr="006F7CDE">
        <w:rPr>
          <w:rFonts w:ascii="Arial" w:eastAsia="Calibri" w:hAnsi="Arial" w:cs="Arial"/>
          <w:color w:val="000000"/>
        </w:rPr>
        <w:t>their past performance based on different ratio analysis, because the result of the ratio analysis</w:t>
      </w:r>
      <w:r>
        <w:rPr>
          <w:rFonts w:ascii="Arial" w:eastAsia="Calibri" w:hAnsi="Arial" w:cs="Arial"/>
          <w:color w:val="000000"/>
        </w:rPr>
        <w:t xml:space="preserve"> </w:t>
      </w:r>
      <w:r w:rsidRPr="006F7CDE">
        <w:rPr>
          <w:rFonts w:ascii="Arial" w:eastAsia="Calibri" w:hAnsi="Arial" w:cs="Arial"/>
          <w:color w:val="000000"/>
        </w:rPr>
        <w:t xml:space="preserve">helps the firm to take the decision. In this report, we are going to do the same thing with the </w:t>
      </w:r>
      <w:r>
        <w:rPr>
          <w:rFonts w:ascii="Arial" w:eastAsia="Calibri" w:hAnsi="Arial" w:cs="Arial"/>
          <w:color w:val="000000"/>
        </w:rPr>
        <w:t>IDLC Finance</w:t>
      </w:r>
      <w:r w:rsidRPr="006F7CDE">
        <w:rPr>
          <w:rFonts w:ascii="Arial" w:eastAsia="Calibri" w:hAnsi="Arial" w:cs="Arial"/>
          <w:color w:val="000000"/>
        </w:rPr>
        <w:t xml:space="preserve"> Limited. Based</w:t>
      </w:r>
      <w:r>
        <w:rPr>
          <w:rFonts w:ascii="Arial" w:eastAsia="Calibri" w:hAnsi="Arial" w:cs="Arial"/>
          <w:color w:val="000000"/>
        </w:rPr>
        <w:t xml:space="preserve"> on the information from 2014</w:t>
      </w:r>
      <w:r w:rsidRPr="006F7CDE">
        <w:rPr>
          <w:rFonts w:ascii="Arial" w:eastAsia="Calibri" w:hAnsi="Arial" w:cs="Arial"/>
          <w:color w:val="000000"/>
        </w:rPr>
        <w:t xml:space="preserve"> to 2018, </w:t>
      </w:r>
      <w:r w:rsidR="00707D11">
        <w:rPr>
          <w:rFonts w:ascii="Arial" w:eastAsia="Calibri" w:hAnsi="Arial" w:cs="Arial"/>
          <w:color w:val="000000"/>
        </w:rPr>
        <w:t>I</w:t>
      </w:r>
      <w:r w:rsidRPr="006F7CDE">
        <w:rPr>
          <w:rFonts w:ascii="Arial" w:eastAsia="Calibri" w:hAnsi="Arial" w:cs="Arial"/>
          <w:color w:val="000000"/>
        </w:rPr>
        <w:t xml:space="preserve"> will try to measure their performance and how</w:t>
      </w:r>
      <w:r>
        <w:rPr>
          <w:rFonts w:ascii="Arial" w:eastAsia="Calibri" w:hAnsi="Arial" w:cs="Arial"/>
          <w:color w:val="000000"/>
        </w:rPr>
        <w:t xml:space="preserve"> </w:t>
      </w:r>
      <w:r w:rsidRPr="006F7CDE">
        <w:rPr>
          <w:rFonts w:ascii="Arial" w:eastAsia="Calibri" w:hAnsi="Arial" w:cs="Arial"/>
          <w:color w:val="000000"/>
        </w:rPr>
        <w:t>they will effect in the year of 2018.</w:t>
      </w:r>
      <w:r w:rsidR="00707D11">
        <w:rPr>
          <w:rFonts w:ascii="Arial" w:eastAsia="Calibri" w:hAnsi="Arial" w:cs="Arial"/>
          <w:color w:val="000000"/>
        </w:rPr>
        <w:t xml:space="preserve"> I</w:t>
      </w:r>
      <w:r w:rsidRPr="006F7CDE">
        <w:rPr>
          <w:rFonts w:ascii="Arial" w:eastAsia="Calibri" w:hAnsi="Arial" w:cs="Arial"/>
          <w:color w:val="000000"/>
        </w:rPr>
        <w:t xml:space="preserve"> have gathered the data from the annual report of </w:t>
      </w:r>
      <w:r w:rsidR="00707D11">
        <w:rPr>
          <w:rFonts w:ascii="Arial" w:eastAsia="Calibri" w:hAnsi="Arial" w:cs="Arial"/>
          <w:color w:val="000000"/>
        </w:rPr>
        <w:t>IDLC Finance</w:t>
      </w:r>
      <w:r>
        <w:rPr>
          <w:rFonts w:ascii="Arial" w:eastAsia="Calibri" w:hAnsi="Arial" w:cs="Arial"/>
          <w:color w:val="000000"/>
        </w:rPr>
        <w:t xml:space="preserve"> Limited and with those </w:t>
      </w:r>
      <w:proofErr w:type="gramStart"/>
      <w:r>
        <w:rPr>
          <w:rFonts w:ascii="Arial" w:eastAsia="Calibri" w:hAnsi="Arial" w:cs="Arial"/>
          <w:color w:val="000000"/>
        </w:rPr>
        <w:t>data,</w:t>
      </w:r>
      <w:proofErr w:type="gramEnd"/>
      <w:r>
        <w:rPr>
          <w:rFonts w:ascii="Arial" w:eastAsia="Calibri" w:hAnsi="Arial" w:cs="Arial"/>
          <w:color w:val="000000"/>
        </w:rPr>
        <w:t xml:space="preserve"> </w:t>
      </w:r>
      <w:r w:rsidR="00707D11">
        <w:rPr>
          <w:rFonts w:ascii="Arial" w:eastAsia="Calibri" w:hAnsi="Arial" w:cs="Arial"/>
          <w:color w:val="000000"/>
        </w:rPr>
        <w:t>I</w:t>
      </w:r>
      <w:r w:rsidRPr="006F7CDE">
        <w:rPr>
          <w:rFonts w:ascii="Arial" w:eastAsia="Calibri" w:hAnsi="Arial" w:cs="Arial"/>
          <w:color w:val="000000"/>
        </w:rPr>
        <w:t xml:space="preserve"> have tried to add </w:t>
      </w:r>
      <w:r w:rsidR="00707D11">
        <w:rPr>
          <w:rFonts w:ascii="Arial" w:eastAsia="Calibri" w:hAnsi="Arial" w:cs="Arial"/>
          <w:color w:val="000000"/>
        </w:rPr>
        <w:t>my</w:t>
      </w:r>
      <w:r w:rsidRPr="006F7CDE">
        <w:rPr>
          <w:rFonts w:ascii="Arial" w:eastAsia="Calibri" w:hAnsi="Arial" w:cs="Arial"/>
          <w:color w:val="000000"/>
        </w:rPr>
        <w:t xml:space="preserve"> knowledge gathered from the </w:t>
      </w:r>
      <w:r w:rsidR="00707D11">
        <w:rPr>
          <w:rFonts w:ascii="Arial" w:eastAsia="Calibri" w:hAnsi="Arial" w:cs="Arial"/>
          <w:color w:val="000000"/>
        </w:rPr>
        <w:t>academic</w:t>
      </w:r>
      <w:r w:rsidRPr="006F7CDE">
        <w:rPr>
          <w:rFonts w:ascii="Arial" w:eastAsia="Calibri" w:hAnsi="Arial" w:cs="Arial"/>
          <w:color w:val="000000"/>
        </w:rPr>
        <w:t xml:space="preserve"> course</w:t>
      </w:r>
      <w:r w:rsidR="00707D11">
        <w:rPr>
          <w:rFonts w:ascii="Arial" w:eastAsia="Calibri" w:hAnsi="Arial" w:cs="Arial"/>
          <w:color w:val="000000"/>
        </w:rPr>
        <w:t>.</w:t>
      </w:r>
    </w:p>
    <w:p w:rsidR="009C5AAE" w:rsidRPr="009779F9" w:rsidRDefault="009C5AAE" w:rsidP="009C5AAE">
      <w:pPr>
        <w:spacing w:after="213" w:line="270" w:lineRule="auto"/>
        <w:ind w:right="124"/>
        <w:jc w:val="both"/>
        <w:rPr>
          <w:rFonts w:ascii="Arial" w:eastAsia="Calibri" w:hAnsi="Arial" w:cs="Arial"/>
          <w:color w:val="000000"/>
        </w:rPr>
      </w:pPr>
    </w:p>
    <w:p w:rsidR="009C5AAE" w:rsidRPr="00ED38E8" w:rsidRDefault="009C5AAE" w:rsidP="009C5AAE">
      <w:pPr>
        <w:pStyle w:val="Heading2"/>
        <w:rPr>
          <w:rFonts w:ascii="Arial" w:eastAsia="Calibri" w:hAnsi="Arial" w:cs="Arial"/>
          <w:b/>
          <w:bCs/>
          <w:sz w:val="28"/>
          <w:szCs w:val="28"/>
        </w:rPr>
      </w:pPr>
      <w:bookmarkStart w:id="17" w:name="_Toc18329996"/>
      <w:r w:rsidRPr="00ED38E8">
        <w:rPr>
          <w:rFonts w:ascii="Arial" w:eastAsia="Calibri" w:hAnsi="Arial" w:cs="Arial"/>
          <w:b/>
          <w:bCs/>
          <w:sz w:val="28"/>
          <w:szCs w:val="28"/>
        </w:rPr>
        <w:t>1.2 Objectives of the report</w:t>
      </w:r>
      <w:bookmarkEnd w:id="17"/>
    </w:p>
    <w:p w:rsidR="009C5AAE" w:rsidRPr="00ED38E8" w:rsidRDefault="009C5AAE" w:rsidP="009C5AAE">
      <w:pPr>
        <w:rPr>
          <w:rFonts w:ascii="Arial" w:hAnsi="Arial" w:cs="Arial"/>
        </w:rPr>
      </w:pPr>
      <w:r>
        <w:rPr>
          <w:rFonts w:ascii="Arial" w:hAnsi="Arial" w:cs="Arial"/>
        </w:rPr>
        <w:t>The main objective of this report is financial performance of IDLC and developed aggregate ROE model of IDLC.</w:t>
      </w:r>
    </w:p>
    <w:p w:rsidR="009C5AAE" w:rsidRDefault="00787990" w:rsidP="00787990">
      <w:pPr>
        <w:pStyle w:val="Heading2"/>
        <w:rPr>
          <w:rFonts w:ascii="Arial" w:eastAsia="Calibri" w:hAnsi="Arial" w:cs="Arial"/>
          <w:b/>
          <w:bCs/>
          <w:sz w:val="28"/>
          <w:szCs w:val="28"/>
        </w:rPr>
      </w:pPr>
      <w:bookmarkStart w:id="18" w:name="_Toc18329997"/>
      <w:r>
        <w:rPr>
          <w:rFonts w:ascii="Arial" w:eastAsia="Calibri" w:hAnsi="Arial" w:cs="Arial"/>
          <w:b/>
          <w:bCs/>
          <w:sz w:val="28"/>
          <w:szCs w:val="28"/>
        </w:rPr>
        <w:t>1.3</w:t>
      </w:r>
      <w:r w:rsidR="009C5AAE" w:rsidRPr="00ED38E8">
        <w:rPr>
          <w:rFonts w:ascii="Arial" w:eastAsia="Calibri" w:hAnsi="Arial" w:cs="Arial"/>
          <w:b/>
          <w:bCs/>
          <w:sz w:val="28"/>
          <w:szCs w:val="28"/>
        </w:rPr>
        <w:t>Scope of study</w:t>
      </w:r>
      <w:bookmarkEnd w:id="18"/>
      <w:r w:rsidR="009C5AAE" w:rsidRPr="00ED38E8">
        <w:rPr>
          <w:rFonts w:ascii="Arial" w:eastAsia="Calibri" w:hAnsi="Arial" w:cs="Arial"/>
          <w:b/>
          <w:bCs/>
          <w:sz w:val="28"/>
          <w:szCs w:val="28"/>
        </w:rPr>
        <w:t xml:space="preserve"> </w:t>
      </w:r>
    </w:p>
    <w:p w:rsidR="009C5AAE" w:rsidRDefault="009C5AAE" w:rsidP="009C5AAE">
      <w:pPr>
        <w:autoSpaceDE w:val="0"/>
        <w:autoSpaceDN w:val="0"/>
        <w:adjustRightInd w:val="0"/>
        <w:spacing w:after="0" w:line="240" w:lineRule="auto"/>
        <w:jc w:val="both"/>
        <w:rPr>
          <w:rFonts w:ascii="Arial" w:hAnsi="Arial" w:cs="Arial"/>
          <w:color w:val="000000"/>
        </w:rPr>
      </w:pPr>
      <w:r w:rsidRPr="00E864CF">
        <w:rPr>
          <w:rFonts w:ascii="Arial" w:hAnsi="Arial" w:cs="Arial"/>
          <w:color w:val="000000"/>
        </w:rPr>
        <w:t xml:space="preserve">The main focus of the study is based on finding the performance evaluation of IDLC for the last </w:t>
      </w:r>
      <w:r w:rsidR="008D3161">
        <w:rPr>
          <w:rFonts w:ascii="Arial" w:hAnsi="Arial" w:cs="Arial"/>
          <w:color w:val="000000"/>
        </w:rPr>
        <w:t>5</w:t>
      </w:r>
      <w:r w:rsidRPr="00E864CF">
        <w:rPr>
          <w:rFonts w:ascii="Arial" w:hAnsi="Arial" w:cs="Arial"/>
          <w:color w:val="000000"/>
        </w:rPr>
        <w:t xml:space="preserve"> years based on different ratio analysis on IDLC. For doing the ratio analysis, we have used </w:t>
      </w:r>
      <w:r w:rsidR="00003A48">
        <w:rPr>
          <w:rFonts w:ascii="Arial" w:hAnsi="Arial" w:cs="Arial"/>
          <w:color w:val="000000"/>
        </w:rPr>
        <w:t>5</w:t>
      </w:r>
      <w:r w:rsidRPr="00E864CF">
        <w:rPr>
          <w:rFonts w:ascii="Arial" w:hAnsi="Arial" w:cs="Arial"/>
          <w:color w:val="000000"/>
        </w:rPr>
        <w:t xml:space="preserve"> dimension such as liquidity dimension where 4 ratio have been used, profitability dimension where 10 ratios have been used, solvency dimension where 6 ratios have been used, efficiency dimension where 5 ratios have been used and, Market value dimension where 5 ratios have been used. Though there are </w:t>
      </w:r>
      <w:r>
        <w:rPr>
          <w:rFonts w:ascii="Arial" w:hAnsi="Arial" w:cs="Arial"/>
          <w:color w:val="000000"/>
        </w:rPr>
        <w:t>huge</w:t>
      </w:r>
      <w:r w:rsidRPr="00E864CF">
        <w:rPr>
          <w:rFonts w:ascii="Arial" w:hAnsi="Arial" w:cs="Arial"/>
          <w:color w:val="000000"/>
        </w:rPr>
        <w:t xml:space="preserve"> ratios under these </w:t>
      </w:r>
      <w:r w:rsidR="00003A48">
        <w:rPr>
          <w:rFonts w:ascii="Arial" w:hAnsi="Arial" w:cs="Arial"/>
          <w:color w:val="000000"/>
        </w:rPr>
        <w:t>5</w:t>
      </w:r>
      <w:r w:rsidRPr="00E864CF">
        <w:rPr>
          <w:rFonts w:ascii="Arial" w:hAnsi="Arial" w:cs="Arial"/>
          <w:color w:val="000000"/>
        </w:rPr>
        <w:t xml:space="preserve"> dimensions, but for the simplicity of calculation purpose, we have chosen the important ones. </w:t>
      </w:r>
    </w:p>
    <w:p w:rsidR="009C5AAE" w:rsidRPr="00E864CF" w:rsidRDefault="009C5AAE" w:rsidP="009C5AAE">
      <w:pPr>
        <w:autoSpaceDE w:val="0"/>
        <w:autoSpaceDN w:val="0"/>
        <w:adjustRightInd w:val="0"/>
        <w:spacing w:after="0" w:line="240" w:lineRule="auto"/>
        <w:jc w:val="both"/>
        <w:rPr>
          <w:rFonts w:ascii="Arial" w:hAnsi="Arial" w:cs="Arial"/>
          <w:color w:val="000000"/>
        </w:rPr>
      </w:pPr>
    </w:p>
    <w:p w:rsidR="009C5AAE" w:rsidRDefault="00787990" w:rsidP="00787990">
      <w:pPr>
        <w:pStyle w:val="Heading2"/>
        <w:rPr>
          <w:rFonts w:ascii="Arial" w:eastAsia="Calibri" w:hAnsi="Arial" w:cs="Arial"/>
          <w:b/>
          <w:bCs/>
          <w:sz w:val="28"/>
          <w:szCs w:val="28"/>
        </w:rPr>
      </w:pPr>
      <w:bookmarkStart w:id="19" w:name="_Toc18329998"/>
      <w:r>
        <w:rPr>
          <w:rFonts w:ascii="Arial" w:eastAsia="Calibri" w:hAnsi="Arial" w:cs="Arial"/>
          <w:b/>
          <w:bCs/>
          <w:sz w:val="28"/>
          <w:szCs w:val="28"/>
        </w:rPr>
        <w:t>1.4</w:t>
      </w:r>
      <w:r w:rsidR="009C5AAE" w:rsidRPr="00ED38E8">
        <w:rPr>
          <w:rFonts w:ascii="Arial" w:eastAsia="Calibri" w:hAnsi="Arial" w:cs="Arial"/>
          <w:b/>
          <w:bCs/>
          <w:sz w:val="28"/>
          <w:szCs w:val="28"/>
        </w:rPr>
        <w:t>Methodology of study</w:t>
      </w:r>
      <w:bookmarkEnd w:id="19"/>
      <w:r w:rsidR="009C5AAE" w:rsidRPr="00ED38E8">
        <w:rPr>
          <w:rFonts w:ascii="Arial" w:eastAsia="Calibri" w:hAnsi="Arial" w:cs="Arial"/>
          <w:b/>
          <w:bCs/>
          <w:sz w:val="28"/>
          <w:szCs w:val="28"/>
        </w:rPr>
        <w:t xml:space="preserve">  </w:t>
      </w:r>
    </w:p>
    <w:p w:rsidR="00707D11" w:rsidRPr="00707D11" w:rsidRDefault="00707D11" w:rsidP="00707D11">
      <w:pPr>
        <w:rPr>
          <w:rFonts w:ascii="Arial" w:hAnsi="Arial" w:cs="Arial"/>
        </w:rPr>
      </w:pPr>
      <w:r w:rsidRPr="00707D11">
        <w:rPr>
          <w:rFonts w:ascii="Arial" w:hAnsi="Arial" w:cs="Arial"/>
        </w:rPr>
        <w:t>Here while doing the report I collect data from different sources some are primary that I collect from direct IDLC finance and some I collect from different secondary sources. Combining and analyzing all of that information I just come up with his report.</w:t>
      </w:r>
    </w:p>
    <w:p w:rsidR="009C5AAE" w:rsidRPr="00787990" w:rsidRDefault="009C5AAE" w:rsidP="009C5AAE">
      <w:pPr>
        <w:spacing w:after="208" w:line="270" w:lineRule="auto"/>
        <w:ind w:left="10" w:right="124" w:hanging="10"/>
        <w:jc w:val="both"/>
        <w:rPr>
          <w:rFonts w:ascii="Arial" w:hAnsi="Arial" w:cs="Arial"/>
          <w:b/>
        </w:rPr>
      </w:pPr>
      <w:r w:rsidRPr="00787990">
        <w:rPr>
          <w:rFonts w:ascii="Arial" w:hAnsi="Arial" w:cs="Arial"/>
          <w:b/>
        </w:rPr>
        <w:t>Primary Data</w:t>
      </w:r>
    </w:p>
    <w:p w:rsidR="009C5AAE" w:rsidRPr="00787990" w:rsidRDefault="00707D11" w:rsidP="009C5AAE">
      <w:pPr>
        <w:spacing w:after="208" w:line="270" w:lineRule="auto"/>
        <w:ind w:left="10" w:right="124" w:hanging="10"/>
        <w:jc w:val="both"/>
        <w:rPr>
          <w:rFonts w:ascii="Arial" w:hAnsi="Arial" w:cs="Arial"/>
        </w:rPr>
      </w:pPr>
      <w:r w:rsidRPr="00787990">
        <w:rPr>
          <w:rFonts w:ascii="Arial" w:hAnsi="Arial" w:cs="Arial"/>
        </w:rPr>
        <w:t>The primary information has been collected from the institutional executives</w:t>
      </w:r>
      <w:r w:rsidR="00787990" w:rsidRPr="00787990">
        <w:rPr>
          <w:rFonts w:ascii="Arial" w:hAnsi="Arial" w:cs="Arial"/>
        </w:rPr>
        <w:t>, assigned supervisor through questionnaires.</w:t>
      </w:r>
    </w:p>
    <w:p w:rsidR="009C5AAE" w:rsidRDefault="009C5AAE" w:rsidP="009C5AAE">
      <w:pPr>
        <w:spacing w:after="208" w:line="270" w:lineRule="auto"/>
        <w:ind w:right="124"/>
        <w:jc w:val="both"/>
        <w:rPr>
          <w:rFonts w:ascii="Arial" w:hAnsi="Arial" w:cs="Arial"/>
          <w:sz w:val="24"/>
          <w:szCs w:val="24"/>
        </w:rPr>
      </w:pPr>
      <w:r w:rsidRPr="00ED38E8">
        <w:rPr>
          <w:rFonts w:ascii="Arial" w:hAnsi="Arial" w:cs="Arial"/>
          <w:b/>
          <w:sz w:val="24"/>
          <w:szCs w:val="24"/>
        </w:rPr>
        <w:t>Secondary Data</w:t>
      </w:r>
    </w:p>
    <w:p w:rsidR="009C5AAE" w:rsidRPr="00565F54" w:rsidRDefault="009C5AAE" w:rsidP="009C5AAE">
      <w:pPr>
        <w:spacing w:after="208" w:line="270" w:lineRule="auto"/>
        <w:ind w:right="124"/>
        <w:jc w:val="both"/>
        <w:rPr>
          <w:rFonts w:ascii="Arial" w:hAnsi="Arial" w:cs="Arial"/>
          <w:sz w:val="24"/>
          <w:szCs w:val="24"/>
        </w:rPr>
      </w:pPr>
      <w:proofErr w:type="gramStart"/>
      <w:r>
        <w:rPr>
          <w:rFonts w:ascii="Arial" w:hAnsi="Arial" w:cs="Arial"/>
        </w:rPr>
        <w:t>S</w:t>
      </w:r>
      <w:r w:rsidRPr="00565F54">
        <w:rPr>
          <w:rFonts w:ascii="Arial" w:hAnsi="Arial" w:cs="Arial"/>
        </w:rPr>
        <w:t>econdary</w:t>
      </w:r>
      <w:r w:rsidR="008C2D73">
        <w:rPr>
          <w:rFonts w:ascii="Arial" w:hAnsi="Arial" w:cs="Arial"/>
        </w:rPr>
        <w:t xml:space="preserve"> </w:t>
      </w:r>
      <w:r w:rsidRPr="00565F54">
        <w:rPr>
          <w:rFonts w:ascii="Arial" w:hAnsi="Arial" w:cs="Arial"/>
        </w:rPr>
        <w:t xml:space="preserve">data which are already collected by others, mainly taken in the form of annual report of </w:t>
      </w:r>
      <w:r w:rsidR="00003A48">
        <w:rPr>
          <w:rFonts w:ascii="Arial" w:hAnsi="Arial" w:cs="Arial"/>
        </w:rPr>
        <w:t>IDLC</w:t>
      </w:r>
      <w:r w:rsidRPr="00565F54">
        <w:rPr>
          <w:rFonts w:ascii="Arial" w:hAnsi="Arial" w:cs="Arial"/>
        </w:rPr>
        <w:t xml:space="preserve"> and collected from their website.</w:t>
      </w:r>
      <w:proofErr w:type="gramEnd"/>
      <w:r w:rsidRPr="00565F54">
        <w:rPr>
          <w:rFonts w:ascii="Arial" w:hAnsi="Arial" w:cs="Arial"/>
        </w:rPr>
        <w:t xml:space="preserve"> We have also used two different textbooks, one is related with our Management of Financial Institutions course and other one is related with the Principle of Finance course.</w:t>
      </w:r>
      <w:r>
        <w:rPr>
          <w:rFonts w:ascii="Arial" w:hAnsi="Arial" w:cs="Arial"/>
        </w:rPr>
        <w:t xml:space="preserve"> </w:t>
      </w:r>
    </w:p>
    <w:p w:rsidR="009C5AAE" w:rsidRPr="00934F24" w:rsidRDefault="009C5AAE" w:rsidP="009C5AAE">
      <w:pPr>
        <w:spacing w:after="255"/>
        <w:jc w:val="both"/>
        <w:rPr>
          <w:rFonts w:ascii="Arial" w:eastAsia="Calibri" w:hAnsi="Arial" w:cs="Arial"/>
          <w:color w:val="000000"/>
        </w:rPr>
      </w:pPr>
    </w:p>
    <w:p w:rsidR="009C5AAE" w:rsidRPr="00ED38E8" w:rsidRDefault="009C5AAE" w:rsidP="009C5AAE">
      <w:pPr>
        <w:pStyle w:val="Heading2"/>
        <w:rPr>
          <w:rFonts w:ascii="Arial" w:eastAsia="Calibri" w:hAnsi="Arial" w:cs="Arial"/>
          <w:b/>
          <w:bCs/>
          <w:sz w:val="28"/>
          <w:szCs w:val="28"/>
        </w:rPr>
      </w:pPr>
      <w:bookmarkStart w:id="20" w:name="_Toc18329999"/>
      <w:r w:rsidRPr="00ED38E8">
        <w:rPr>
          <w:rFonts w:ascii="Arial" w:eastAsia="Calibri" w:hAnsi="Arial" w:cs="Arial"/>
          <w:b/>
          <w:bCs/>
          <w:sz w:val="28"/>
          <w:szCs w:val="28"/>
        </w:rPr>
        <w:lastRenderedPageBreak/>
        <w:t>1.5 Limitations of the Study</w:t>
      </w:r>
      <w:bookmarkEnd w:id="20"/>
    </w:p>
    <w:p w:rsidR="009C5AAE" w:rsidRPr="0072143E" w:rsidRDefault="00787990" w:rsidP="0072143E">
      <w:pPr>
        <w:spacing w:after="262" w:line="270" w:lineRule="auto"/>
        <w:ind w:right="124"/>
        <w:jc w:val="both"/>
        <w:rPr>
          <w:rFonts w:ascii="Arial" w:hAnsi="Arial" w:cs="Arial"/>
        </w:rPr>
      </w:pPr>
      <w:r w:rsidRPr="0072143E">
        <w:rPr>
          <w:rFonts w:ascii="Arial" w:eastAsia="Calibri" w:hAnsi="Arial" w:cs="Arial"/>
          <w:color w:val="000000"/>
        </w:rPr>
        <w:t>To make a report different</w:t>
      </w:r>
      <w:r w:rsidRPr="0072143E">
        <w:rPr>
          <w:rFonts w:ascii="Arial" w:hAnsi="Arial" w:cs="Arial"/>
        </w:rPr>
        <w:t xml:space="preserve"> viewpoints and encounters are required. To prepare this report I face some </w:t>
      </w:r>
      <w:r w:rsidR="0072143E" w:rsidRPr="0072143E">
        <w:rPr>
          <w:rFonts w:ascii="Arial" w:hAnsi="Arial" w:cs="Arial"/>
        </w:rPr>
        <w:t>problems.</w:t>
      </w:r>
    </w:p>
    <w:p w:rsidR="0072143E" w:rsidRDefault="0072143E" w:rsidP="0072143E">
      <w:pPr>
        <w:pStyle w:val="ListParagraph"/>
        <w:numPr>
          <w:ilvl w:val="0"/>
          <w:numId w:val="28"/>
        </w:numPr>
        <w:autoSpaceDE w:val="0"/>
        <w:autoSpaceDN w:val="0"/>
        <w:adjustRightInd w:val="0"/>
        <w:spacing w:after="0" w:line="240" w:lineRule="auto"/>
        <w:rPr>
          <w:rFonts w:ascii="Arial" w:hAnsi="Arial" w:cs="Arial"/>
        </w:rPr>
      </w:pPr>
      <w:r w:rsidRPr="0072143E">
        <w:rPr>
          <w:rFonts w:ascii="Arial" w:hAnsi="Arial" w:cs="Arial"/>
        </w:rPr>
        <w:t>Some of the more ratios could have been used under the five dimensions, but for the simplicity of the report making, we have chosen the major ones.</w:t>
      </w:r>
    </w:p>
    <w:p w:rsidR="0072143E" w:rsidRDefault="0072143E" w:rsidP="0072143E">
      <w:pPr>
        <w:pStyle w:val="ListParagraph"/>
        <w:autoSpaceDE w:val="0"/>
        <w:autoSpaceDN w:val="0"/>
        <w:adjustRightInd w:val="0"/>
        <w:spacing w:after="0" w:line="240" w:lineRule="auto"/>
        <w:rPr>
          <w:rFonts w:ascii="Arial" w:hAnsi="Arial" w:cs="Arial"/>
        </w:rPr>
      </w:pPr>
    </w:p>
    <w:p w:rsidR="0072143E" w:rsidRDefault="0072143E" w:rsidP="0072143E">
      <w:pPr>
        <w:pStyle w:val="ListParagraph"/>
        <w:numPr>
          <w:ilvl w:val="0"/>
          <w:numId w:val="28"/>
        </w:numPr>
        <w:autoSpaceDE w:val="0"/>
        <w:autoSpaceDN w:val="0"/>
        <w:adjustRightInd w:val="0"/>
        <w:spacing w:after="0" w:line="240" w:lineRule="auto"/>
        <w:rPr>
          <w:rFonts w:ascii="Arial" w:hAnsi="Arial" w:cs="Arial"/>
        </w:rPr>
      </w:pPr>
      <w:r w:rsidRPr="0072143E">
        <w:rPr>
          <w:rFonts w:ascii="Arial" w:hAnsi="Arial" w:cs="Arial"/>
        </w:rPr>
        <w:t xml:space="preserve">Specific </w:t>
      </w:r>
      <w:proofErr w:type="gramStart"/>
      <w:r w:rsidRPr="0072143E">
        <w:rPr>
          <w:rFonts w:ascii="Arial" w:hAnsi="Arial" w:cs="Arial"/>
        </w:rPr>
        <w:t>maturity for all the specific assets and liabilities have</w:t>
      </w:r>
      <w:proofErr w:type="gramEnd"/>
      <w:r w:rsidRPr="0072143E">
        <w:rPr>
          <w:rFonts w:ascii="Arial" w:hAnsi="Arial" w:cs="Arial"/>
        </w:rPr>
        <w:t xml:space="preserve"> not been given in the annual report. Only the overall maturity was given for some specific period.</w:t>
      </w:r>
    </w:p>
    <w:p w:rsidR="0072143E" w:rsidRPr="0072143E" w:rsidRDefault="0072143E" w:rsidP="0072143E">
      <w:pPr>
        <w:pStyle w:val="ListParagraph"/>
        <w:rPr>
          <w:rFonts w:ascii="Arial" w:hAnsi="Arial" w:cs="Arial"/>
        </w:rPr>
      </w:pPr>
    </w:p>
    <w:p w:rsidR="0072143E" w:rsidRDefault="0072143E" w:rsidP="0072143E">
      <w:pPr>
        <w:pStyle w:val="ListParagraph"/>
        <w:numPr>
          <w:ilvl w:val="0"/>
          <w:numId w:val="28"/>
        </w:numPr>
        <w:autoSpaceDE w:val="0"/>
        <w:autoSpaceDN w:val="0"/>
        <w:adjustRightInd w:val="0"/>
        <w:spacing w:after="0" w:line="240" w:lineRule="auto"/>
        <w:rPr>
          <w:rFonts w:ascii="Arial" w:hAnsi="Arial" w:cs="Arial"/>
        </w:rPr>
      </w:pPr>
      <w:r>
        <w:rPr>
          <w:rFonts w:ascii="Arial" w:hAnsi="Arial" w:cs="Arial"/>
        </w:rPr>
        <w:t>Three months are not enough to know about the all kinds of operations as wee as all financial conditions.</w:t>
      </w:r>
    </w:p>
    <w:p w:rsidR="0072143E" w:rsidRPr="0072143E" w:rsidRDefault="0072143E" w:rsidP="0072143E">
      <w:pPr>
        <w:pStyle w:val="ListParagraph"/>
        <w:rPr>
          <w:rFonts w:ascii="Arial" w:hAnsi="Arial" w:cs="Arial"/>
        </w:rPr>
      </w:pPr>
    </w:p>
    <w:p w:rsidR="0072143E" w:rsidRDefault="0072143E" w:rsidP="0072143E">
      <w:pPr>
        <w:pStyle w:val="ListParagraph"/>
        <w:numPr>
          <w:ilvl w:val="0"/>
          <w:numId w:val="28"/>
        </w:numPr>
        <w:autoSpaceDE w:val="0"/>
        <w:autoSpaceDN w:val="0"/>
        <w:adjustRightInd w:val="0"/>
        <w:spacing w:after="0" w:line="240" w:lineRule="auto"/>
        <w:rPr>
          <w:rFonts w:ascii="Arial" w:hAnsi="Arial" w:cs="Arial"/>
        </w:rPr>
      </w:pPr>
      <w:r>
        <w:rPr>
          <w:rFonts w:ascii="Arial" w:hAnsi="Arial" w:cs="Arial"/>
        </w:rPr>
        <w:t>Time is another big limitation of this report.</w:t>
      </w:r>
    </w:p>
    <w:p w:rsidR="0072143E" w:rsidRPr="0072143E" w:rsidRDefault="0072143E" w:rsidP="0072143E">
      <w:pPr>
        <w:pStyle w:val="ListParagraph"/>
        <w:rPr>
          <w:rFonts w:ascii="Arial" w:hAnsi="Arial" w:cs="Arial"/>
        </w:rPr>
      </w:pPr>
    </w:p>
    <w:p w:rsidR="0072143E" w:rsidRDefault="0072143E" w:rsidP="0072143E">
      <w:pPr>
        <w:pStyle w:val="ListParagraph"/>
        <w:numPr>
          <w:ilvl w:val="0"/>
          <w:numId w:val="28"/>
        </w:numPr>
        <w:autoSpaceDE w:val="0"/>
        <w:autoSpaceDN w:val="0"/>
        <w:adjustRightInd w:val="0"/>
        <w:spacing w:after="0" w:line="240" w:lineRule="auto"/>
        <w:rPr>
          <w:rFonts w:ascii="Arial" w:hAnsi="Arial" w:cs="Arial"/>
        </w:rPr>
      </w:pPr>
      <w:r w:rsidRPr="0072143E">
        <w:rPr>
          <w:rFonts w:ascii="Arial" w:hAnsi="Arial" w:cs="Arial"/>
        </w:rPr>
        <w:t>For the calculation purpose, we have assumed some fact and data which are clearly</w:t>
      </w:r>
      <w:r>
        <w:rPr>
          <w:rFonts w:ascii="Arial" w:hAnsi="Arial" w:cs="Arial"/>
        </w:rPr>
        <w:t xml:space="preserve"> </w:t>
      </w:r>
      <w:r w:rsidRPr="0072143E">
        <w:rPr>
          <w:rFonts w:ascii="Arial" w:hAnsi="Arial" w:cs="Arial"/>
        </w:rPr>
        <w:t>mentioned in our report.</w:t>
      </w:r>
    </w:p>
    <w:p w:rsidR="0072143E" w:rsidRPr="0072143E" w:rsidRDefault="0072143E" w:rsidP="0072143E">
      <w:pPr>
        <w:pStyle w:val="ListParagraph"/>
        <w:rPr>
          <w:rFonts w:ascii="Arial" w:hAnsi="Arial" w:cs="Arial"/>
        </w:rPr>
      </w:pPr>
    </w:p>
    <w:p w:rsidR="0072143E" w:rsidRDefault="0072143E" w:rsidP="0072143E">
      <w:pPr>
        <w:pStyle w:val="ListParagraph"/>
        <w:numPr>
          <w:ilvl w:val="0"/>
          <w:numId w:val="28"/>
        </w:numPr>
        <w:autoSpaceDE w:val="0"/>
        <w:autoSpaceDN w:val="0"/>
        <w:adjustRightInd w:val="0"/>
        <w:spacing w:after="0" w:line="240" w:lineRule="auto"/>
        <w:rPr>
          <w:rFonts w:ascii="Arial" w:hAnsi="Arial" w:cs="Arial"/>
        </w:rPr>
      </w:pPr>
      <w:r>
        <w:rPr>
          <w:rFonts w:ascii="Arial" w:hAnsi="Arial" w:cs="Arial"/>
        </w:rPr>
        <w:t>Collecting data from authorized person has become a problem as because his busy work schedule.</w:t>
      </w:r>
    </w:p>
    <w:p w:rsidR="0072143E" w:rsidRPr="0072143E" w:rsidRDefault="0072143E" w:rsidP="0072143E">
      <w:pPr>
        <w:pStyle w:val="ListParagraph"/>
        <w:rPr>
          <w:rFonts w:ascii="Arial" w:hAnsi="Arial" w:cs="Arial"/>
        </w:rPr>
      </w:pPr>
    </w:p>
    <w:p w:rsidR="0072143E" w:rsidRPr="0072143E" w:rsidRDefault="0072143E" w:rsidP="0072143E">
      <w:pPr>
        <w:pStyle w:val="ListParagraph"/>
        <w:numPr>
          <w:ilvl w:val="0"/>
          <w:numId w:val="28"/>
        </w:numPr>
        <w:autoSpaceDE w:val="0"/>
        <w:autoSpaceDN w:val="0"/>
        <w:adjustRightInd w:val="0"/>
        <w:spacing w:after="0" w:line="240" w:lineRule="auto"/>
        <w:rPr>
          <w:rFonts w:ascii="Arial" w:hAnsi="Arial" w:cs="Arial"/>
        </w:rPr>
      </w:pPr>
      <w:r>
        <w:rPr>
          <w:rFonts w:ascii="Arial" w:hAnsi="Arial" w:cs="Arial"/>
        </w:rPr>
        <w:t>Large-scale analysis was not possible due to time constraints.</w:t>
      </w:r>
    </w:p>
    <w:p w:rsidR="009C5AAE" w:rsidRPr="00934F24" w:rsidRDefault="009C5AAE" w:rsidP="009C5AAE">
      <w:pPr>
        <w:rPr>
          <w:rFonts w:ascii="Arial" w:hAnsi="Arial" w:cs="Arial"/>
        </w:rPr>
      </w:pPr>
      <w:r w:rsidRPr="00934F24">
        <w:rPr>
          <w:rFonts w:ascii="Arial" w:hAnsi="Arial" w:cs="Arial"/>
        </w:rPr>
        <w:br w:type="page"/>
      </w:r>
    </w:p>
    <w:p w:rsidR="009C5AAE" w:rsidRPr="00ED38E8" w:rsidRDefault="009C5AAE" w:rsidP="009C5AAE">
      <w:pPr>
        <w:tabs>
          <w:tab w:val="left" w:pos="6597"/>
        </w:tabs>
        <w:rPr>
          <w:rFonts w:ascii="Arial" w:hAnsi="Arial" w:cs="Arial"/>
        </w:rPr>
      </w:pPr>
    </w:p>
    <w:p w:rsidR="009C5AAE" w:rsidRPr="00ED38E8" w:rsidRDefault="009C5AAE" w:rsidP="009C5AAE">
      <w:pPr>
        <w:keepNext/>
        <w:keepLines/>
        <w:spacing w:after="0"/>
        <w:ind w:left="10" w:right="85" w:hanging="10"/>
        <w:jc w:val="center"/>
        <w:outlineLvl w:val="0"/>
        <w:rPr>
          <w:rFonts w:ascii="Arial" w:eastAsia="Calibri" w:hAnsi="Arial" w:cs="Arial"/>
          <w:b/>
          <w:color w:val="1F497D"/>
          <w:sz w:val="96"/>
        </w:rPr>
      </w:pPr>
      <w:r w:rsidRPr="00ED38E8">
        <w:rPr>
          <w:rFonts w:ascii="Arial" w:hAnsi="Arial" w:cs="Arial"/>
        </w:rPr>
        <w:tab/>
      </w:r>
    </w:p>
    <w:p w:rsidR="009C5AAE" w:rsidRPr="00ED38E8" w:rsidRDefault="009C5AAE" w:rsidP="009C5AAE">
      <w:pPr>
        <w:pStyle w:val="Heading1"/>
        <w:jc w:val="center"/>
        <w:rPr>
          <w:rFonts w:ascii="Arial" w:eastAsia="Calibri" w:hAnsi="Arial" w:cs="Arial"/>
          <w:color w:val="000000" w:themeColor="text1"/>
          <w:sz w:val="96"/>
          <w:szCs w:val="96"/>
        </w:rPr>
      </w:pPr>
      <w:bookmarkStart w:id="21" w:name="_Toc18330000"/>
      <w:r w:rsidRPr="00ED38E8">
        <w:rPr>
          <w:rFonts w:ascii="Arial" w:eastAsia="Calibri" w:hAnsi="Arial" w:cs="Arial"/>
          <w:color w:val="000000" w:themeColor="text1"/>
          <w:sz w:val="96"/>
          <w:szCs w:val="96"/>
        </w:rPr>
        <w:t>Chapter 2</w:t>
      </w:r>
      <w:bookmarkEnd w:id="21"/>
    </w:p>
    <w:p w:rsidR="009C5AAE" w:rsidRPr="00ED38E8" w:rsidRDefault="009C5AAE" w:rsidP="009C5AAE">
      <w:pPr>
        <w:spacing w:after="244"/>
        <w:jc w:val="center"/>
        <w:rPr>
          <w:rFonts w:ascii="Arial" w:eastAsia="Calibri" w:hAnsi="Arial" w:cs="Arial"/>
          <w:color w:val="000000"/>
          <w:sz w:val="24"/>
        </w:rPr>
      </w:pPr>
    </w:p>
    <w:p w:rsidR="009C5AAE" w:rsidRPr="00ED38E8" w:rsidRDefault="009C5AAE" w:rsidP="009C5AAE">
      <w:pPr>
        <w:pStyle w:val="Heading1"/>
        <w:jc w:val="center"/>
        <w:rPr>
          <w:rFonts w:ascii="Arial" w:eastAsia="Calibri" w:hAnsi="Arial" w:cs="Arial"/>
          <w:sz w:val="56"/>
          <w:szCs w:val="56"/>
        </w:rPr>
      </w:pPr>
      <w:bookmarkStart w:id="22" w:name="_Toc18330001"/>
      <w:r w:rsidRPr="00ED38E8">
        <w:rPr>
          <w:rFonts w:ascii="Arial" w:eastAsia="Calibri" w:hAnsi="Arial" w:cs="Arial"/>
          <w:sz w:val="56"/>
          <w:szCs w:val="56"/>
        </w:rPr>
        <w:t>An Overview of IDLC Finance Limited</w:t>
      </w:r>
      <w:bookmarkEnd w:id="22"/>
    </w:p>
    <w:p w:rsidR="009C5AAE" w:rsidRPr="00ED38E8" w:rsidRDefault="009C5AAE" w:rsidP="009C5AAE">
      <w:pPr>
        <w:tabs>
          <w:tab w:val="left" w:pos="2679"/>
        </w:tabs>
        <w:jc w:val="center"/>
        <w:rPr>
          <w:rFonts w:ascii="Arial" w:hAnsi="Arial" w:cs="Arial"/>
        </w:rPr>
      </w:pPr>
    </w:p>
    <w:p w:rsidR="009C5AAE" w:rsidRPr="00ED38E8" w:rsidRDefault="009C5AAE" w:rsidP="009C5AAE">
      <w:pPr>
        <w:rPr>
          <w:rFonts w:ascii="Arial" w:hAnsi="Arial" w:cs="Arial"/>
        </w:rPr>
      </w:pPr>
    </w:p>
    <w:p w:rsidR="009C5AAE" w:rsidRPr="00ED38E8" w:rsidRDefault="009C5AAE" w:rsidP="009C5AAE">
      <w:pPr>
        <w:tabs>
          <w:tab w:val="left" w:pos="3299"/>
        </w:tabs>
        <w:rPr>
          <w:rFonts w:ascii="Arial" w:hAnsi="Arial" w:cs="Arial"/>
        </w:rPr>
      </w:pPr>
      <w:r w:rsidRPr="00ED38E8">
        <w:rPr>
          <w:rFonts w:ascii="Arial" w:hAnsi="Arial" w:cs="Arial"/>
        </w:rPr>
        <w:tab/>
      </w:r>
      <w:r w:rsidRPr="00ED38E8">
        <w:rPr>
          <w:rFonts w:ascii="Arial" w:hAnsi="Arial" w:cs="Arial"/>
          <w:noProof/>
        </w:rPr>
        <w:drawing>
          <wp:inline distT="0" distB="0" distL="0" distR="0" wp14:anchorId="1064C064" wp14:editId="04357760">
            <wp:extent cx="5752214" cy="3342005"/>
            <wp:effectExtent l="0" t="0" r="1270" b="0"/>
            <wp:docPr id="165097" name="Picture 165097"/>
            <wp:cNvGraphicFramePr/>
            <a:graphic xmlns:a="http://schemas.openxmlformats.org/drawingml/2006/main">
              <a:graphicData uri="http://schemas.openxmlformats.org/drawingml/2006/picture">
                <pic:pic xmlns:pic="http://schemas.openxmlformats.org/drawingml/2006/picture">
                  <pic:nvPicPr>
                    <pic:cNvPr id="2159" name="Picture 2159"/>
                    <pic:cNvPicPr/>
                  </pic:nvPicPr>
                  <pic:blipFill>
                    <a:blip r:embed="rId9"/>
                    <a:stretch>
                      <a:fillRect/>
                    </a:stretch>
                  </pic:blipFill>
                  <pic:spPr>
                    <a:xfrm>
                      <a:off x="0" y="0"/>
                      <a:ext cx="5754088" cy="3343094"/>
                    </a:xfrm>
                    <a:prstGeom prst="rect">
                      <a:avLst/>
                    </a:prstGeom>
                  </pic:spPr>
                </pic:pic>
              </a:graphicData>
            </a:graphic>
          </wp:inline>
        </w:drawing>
      </w:r>
    </w:p>
    <w:p w:rsidR="009C5AAE" w:rsidRPr="00ED38E8" w:rsidRDefault="009C5AAE" w:rsidP="009C5AAE">
      <w:pPr>
        <w:spacing w:after="200" w:line="276" w:lineRule="auto"/>
        <w:rPr>
          <w:rFonts w:ascii="Arial" w:hAnsi="Arial" w:cs="Arial"/>
        </w:rPr>
      </w:pPr>
      <w:r w:rsidRPr="00ED38E8">
        <w:rPr>
          <w:rFonts w:ascii="Arial" w:hAnsi="Arial" w:cs="Arial"/>
        </w:rPr>
        <w:br w:type="page"/>
      </w:r>
    </w:p>
    <w:p w:rsidR="009C5AAE" w:rsidRDefault="009C5AAE" w:rsidP="009C5AAE">
      <w:pPr>
        <w:pStyle w:val="Heading2"/>
        <w:rPr>
          <w:rFonts w:ascii="Arial" w:eastAsia="Calibri" w:hAnsi="Arial" w:cs="Arial"/>
          <w:b/>
          <w:bCs/>
          <w:sz w:val="36"/>
          <w:szCs w:val="36"/>
        </w:rPr>
      </w:pPr>
      <w:bookmarkStart w:id="23" w:name="_Toc18330002"/>
      <w:r w:rsidRPr="00ED38E8">
        <w:rPr>
          <w:rFonts w:ascii="Arial" w:eastAsia="Calibri" w:hAnsi="Arial" w:cs="Arial"/>
          <w:b/>
          <w:bCs/>
          <w:sz w:val="36"/>
          <w:szCs w:val="36"/>
        </w:rPr>
        <w:lastRenderedPageBreak/>
        <w:t>2.1</w:t>
      </w:r>
      <w:r w:rsidRPr="00ED38E8">
        <w:rPr>
          <w:rFonts w:ascii="Arial" w:eastAsia="Calibri" w:hAnsi="Arial" w:cs="Arial"/>
          <w:b/>
          <w:bCs/>
          <w:color w:val="FFFFFF"/>
          <w:sz w:val="36"/>
          <w:szCs w:val="36"/>
        </w:rPr>
        <w:t>T</w:t>
      </w:r>
      <w:r w:rsidRPr="00ED38E8">
        <w:rPr>
          <w:rFonts w:ascii="Arial" w:eastAsia="Calibri" w:hAnsi="Arial" w:cs="Arial"/>
          <w:b/>
          <w:bCs/>
          <w:sz w:val="36"/>
          <w:szCs w:val="36"/>
        </w:rPr>
        <w:t>Company</w:t>
      </w:r>
      <w:r w:rsidRPr="00ED38E8">
        <w:rPr>
          <w:rFonts w:ascii="Arial" w:eastAsia="Calibri" w:hAnsi="Arial" w:cs="Arial"/>
          <w:b/>
          <w:bCs/>
          <w:color w:val="FFFFFF"/>
          <w:sz w:val="36"/>
          <w:szCs w:val="36"/>
        </w:rPr>
        <w:t>T</w:t>
      </w:r>
      <w:r w:rsidRPr="00ED38E8">
        <w:rPr>
          <w:rFonts w:ascii="Arial" w:eastAsia="Calibri" w:hAnsi="Arial" w:cs="Arial"/>
          <w:b/>
          <w:bCs/>
          <w:sz w:val="36"/>
          <w:szCs w:val="36"/>
        </w:rPr>
        <w:t>Overview</w:t>
      </w:r>
      <w:bookmarkEnd w:id="23"/>
      <w:r w:rsidRPr="00ED38E8">
        <w:rPr>
          <w:rFonts w:ascii="Arial" w:eastAsia="Calibri" w:hAnsi="Arial" w:cs="Arial"/>
          <w:b/>
          <w:bCs/>
          <w:sz w:val="36"/>
          <w:szCs w:val="36"/>
        </w:rPr>
        <w:t xml:space="preserve"> </w:t>
      </w:r>
    </w:p>
    <w:p w:rsidR="002557C9" w:rsidRPr="002557C9" w:rsidRDefault="002557C9" w:rsidP="002557C9"/>
    <w:p w:rsidR="00370E24" w:rsidRDefault="00687069" w:rsidP="003A4A5F">
      <w:pPr>
        <w:jc w:val="both"/>
        <w:rPr>
          <w:rFonts w:ascii="Arial" w:hAnsi="Arial" w:cs="Arial"/>
        </w:rPr>
      </w:pPr>
      <w:r>
        <w:rPr>
          <w:rFonts w:ascii="Arial" w:hAnsi="Arial" w:cs="Arial"/>
        </w:rPr>
        <w:t>IDLC stands for Industri</w:t>
      </w:r>
      <w:r w:rsidR="003A4A5F">
        <w:rPr>
          <w:rFonts w:ascii="Arial" w:hAnsi="Arial" w:cs="Arial"/>
        </w:rPr>
        <w:t xml:space="preserve">al Development Leasing Company. At </w:t>
      </w:r>
      <w:r>
        <w:rPr>
          <w:rFonts w:ascii="Arial" w:hAnsi="Arial" w:cs="Arial"/>
        </w:rPr>
        <w:t xml:space="preserve">the very first the </w:t>
      </w:r>
      <w:r w:rsidR="00FC25A2">
        <w:rPr>
          <w:rFonts w:ascii="Arial" w:hAnsi="Arial" w:cs="Arial"/>
        </w:rPr>
        <w:t>name</w:t>
      </w:r>
      <w:r>
        <w:rPr>
          <w:rFonts w:ascii="Arial" w:hAnsi="Arial" w:cs="Arial"/>
        </w:rPr>
        <w:t xml:space="preserve"> of the company was industrial development leasing </w:t>
      </w:r>
      <w:r w:rsidR="00FC25A2">
        <w:rPr>
          <w:rFonts w:ascii="Arial" w:hAnsi="Arial" w:cs="Arial"/>
        </w:rPr>
        <w:t>company Bangladesh LTD, but now</w:t>
      </w:r>
      <w:r w:rsidR="00E9652F">
        <w:rPr>
          <w:rFonts w:ascii="Arial" w:hAnsi="Arial" w:cs="Arial"/>
        </w:rPr>
        <w:t xml:space="preserve"> the name is IDLC finance </w:t>
      </w:r>
      <w:r>
        <w:rPr>
          <w:rFonts w:ascii="Arial" w:hAnsi="Arial" w:cs="Arial"/>
        </w:rPr>
        <w:t>ltd only. IDLC Finance Limited started their licensed as</w:t>
      </w:r>
      <w:r w:rsidR="003A4A5F">
        <w:rPr>
          <w:rFonts w:ascii="Arial" w:hAnsi="Arial" w:cs="Arial"/>
        </w:rPr>
        <w:t xml:space="preserve"> </w:t>
      </w:r>
      <w:r>
        <w:rPr>
          <w:rFonts w:ascii="Arial" w:hAnsi="Arial" w:cs="Arial"/>
        </w:rPr>
        <w:t>a financial institution by the country’s central bank, Bangladesh Bank, following the enactment of financial institution Act 1993, over the last two decades</w:t>
      </w:r>
      <w:r w:rsidR="003A4A5F">
        <w:rPr>
          <w:rFonts w:ascii="Arial" w:hAnsi="Arial" w:cs="Arial"/>
        </w:rPr>
        <w:t>, IDLC has grown in tandem with the country’s transition into a developing country and has emerged as Bangladesh’s leading multi-product financial institution.</w:t>
      </w:r>
      <w:r w:rsidR="00E9652F">
        <w:rPr>
          <w:rFonts w:ascii="Arial" w:hAnsi="Arial" w:cs="Arial"/>
        </w:rPr>
        <w:t xml:space="preserve"> Along with the company’s progress, 50% of the initial foreign partnerships were gradually withdrawn. Finally, in 2009 the rest of foreign shareholding was bought out by the local shareholders.</w:t>
      </w:r>
    </w:p>
    <w:p w:rsidR="00687069" w:rsidRPr="00687069" w:rsidRDefault="00E9652F" w:rsidP="003A4A5F">
      <w:pPr>
        <w:jc w:val="both"/>
        <w:rPr>
          <w:rFonts w:ascii="Arial" w:hAnsi="Arial" w:cs="Arial"/>
        </w:rPr>
      </w:pPr>
      <w:r w:rsidRPr="00E9652F">
        <w:rPr>
          <w:rFonts w:ascii="Arial" w:hAnsi="Arial" w:cs="Arial"/>
        </w:rPr>
        <w:t xml:space="preserve"> A company can’t run without its operation. Like other non-financing company IDLC Finance Limited main operation is loan which is their asset and deposit which is their liability. They take deposit from customer and companies for giving securities of their money and give loan for fulfilling the customer’s and company’s need and prosperity.</w:t>
      </w:r>
    </w:p>
    <w:p w:rsidR="009C5AAE" w:rsidRPr="00ED38E8" w:rsidRDefault="009C5AAE" w:rsidP="009C5AAE">
      <w:pPr>
        <w:rPr>
          <w:rFonts w:ascii="Arial" w:hAnsi="Arial" w:cs="Arial"/>
        </w:rPr>
      </w:pPr>
    </w:p>
    <w:p w:rsidR="009C5AAE" w:rsidRDefault="009C5AAE" w:rsidP="009C5AAE">
      <w:pPr>
        <w:pStyle w:val="Heading2"/>
        <w:rPr>
          <w:rFonts w:ascii="Arial" w:eastAsia="Calibri" w:hAnsi="Arial" w:cs="Arial"/>
          <w:b/>
          <w:bCs/>
          <w:sz w:val="36"/>
          <w:szCs w:val="36"/>
        </w:rPr>
      </w:pPr>
      <w:bookmarkStart w:id="24" w:name="_Toc18330003"/>
      <w:r w:rsidRPr="00ED38E8">
        <w:rPr>
          <w:rFonts w:ascii="Arial" w:eastAsia="Calibri" w:hAnsi="Arial" w:cs="Arial"/>
          <w:b/>
          <w:bCs/>
          <w:sz w:val="36"/>
          <w:szCs w:val="36"/>
        </w:rPr>
        <w:t>2.2 Subsidiaries</w:t>
      </w:r>
      <w:bookmarkEnd w:id="24"/>
      <w:r w:rsidRPr="00ED38E8">
        <w:rPr>
          <w:rFonts w:ascii="Arial" w:eastAsia="Calibri" w:hAnsi="Arial" w:cs="Arial"/>
          <w:b/>
          <w:bCs/>
          <w:sz w:val="36"/>
          <w:szCs w:val="36"/>
        </w:rPr>
        <w:t xml:space="preserve"> </w:t>
      </w:r>
    </w:p>
    <w:p w:rsidR="002557C9" w:rsidRPr="002557C9" w:rsidRDefault="002557C9" w:rsidP="002557C9"/>
    <w:p w:rsidR="00370E24" w:rsidRDefault="00370E24" w:rsidP="00016E0F">
      <w:pPr>
        <w:jc w:val="both"/>
        <w:rPr>
          <w:rFonts w:ascii="Arial" w:hAnsi="Arial" w:cs="Arial"/>
        </w:rPr>
      </w:pPr>
      <w:r w:rsidRPr="00370E24">
        <w:rPr>
          <w:rFonts w:ascii="Arial" w:hAnsi="Arial" w:cs="Arial"/>
        </w:rPr>
        <w:t xml:space="preserve">IDLC </w:t>
      </w:r>
      <w:r>
        <w:rPr>
          <w:rFonts w:ascii="Arial" w:hAnsi="Arial" w:cs="Arial"/>
        </w:rPr>
        <w:t xml:space="preserve">Finance Limited </w:t>
      </w:r>
      <w:r w:rsidR="00016E0F">
        <w:rPr>
          <w:rFonts w:ascii="Arial" w:hAnsi="Arial" w:cs="Arial"/>
        </w:rPr>
        <w:t>has three separated subsidiaries and they are IDLC Investments Limited, IDLC securities Limited and IDLC Asset Management Limited.</w:t>
      </w:r>
    </w:p>
    <w:p w:rsidR="00016E0F" w:rsidRDefault="00016E0F" w:rsidP="00016E0F">
      <w:pPr>
        <w:jc w:val="both"/>
        <w:rPr>
          <w:rFonts w:ascii="Arial" w:hAnsi="Arial" w:cs="Arial"/>
        </w:rPr>
      </w:pPr>
      <w:r>
        <w:rPr>
          <w:rFonts w:ascii="Arial" w:hAnsi="Arial" w:cs="Arial"/>
        </w:rPr>
        <w:t>IDLC Finance commenced its merchant banking operations in1999 through participating in underwriting of IPOs. The company managed its first IPO as issue manger in 2003.</w:t>
      </w:r>
    </w:p>
    <w:p w:rsidR="00016E0F" w:rsidRDefault="00016E0F" w:rsidP="00016E0F">
      <w:pPr>
        <w:jc w:val="both"/>
        <w:rPr>
          <w:rFonts w:ascii="Arial" w:hAnsi="Arial" w:cs="Arial"/>
        </w:rPr>
      </w:pPr>
      <w:r>
        <w:rPr>
          <w:rFonts w:ascii="Arial" w:hAnsi="Arial" w:cs="Arial"/>
        </w:rPr>
        <w:t xml:space="preserve">IDLC Securities </w:t>
      </w:r>
      <w:proofErr w:type="gramStart"/>
      <w:r>
        <w:rPr>
          <w:rFonts w:ascii="Arial" w:hAnsi="Arial" w:cs="Arial"/>
        </w:rPr>
        <w:t>Limited</w:t>
      </w:r>
      <w:proofErr w:type="gramEnd"/>
      <w:r>
        <w:rPr>
          <w:rFonts w:ascii="Arial" w:hAnsi="Arial" w:cs="Arial"/>
        </w:rPr>
        <w:t xml:space="preserve"> one of the top brokerages of Bangladesh, commenced operations in 2006. The company provides brokerage services </w:t>
      </w:r>
      <w:proofErr w:type="gramStart"/>
      <w:r>
        <w:rPr>
          <w:rFonts w:ascii="Arial" w:hAnsi="Arial" w:cs="Arial"/>
        </w:rPr>
        <w:t xml:space="preserve">to more than 13900 retail, institutional and foreign investors through sophisticated and reliable trading platforms of both the Dhaka and </w:t>
      </w:r>
      <w:proofErr w:type="spellStart"/>
      <w:r>
        <w:rPr>
          <w:rFonts w:ascii="Arial" w:hAnsi="Arial" w:cs="Arial"/>
        </w:rPr>
        <w:t>Ctg</w:t>
      </w:r>
      <w:proofErr w:type="spellEnd"/>
      <w:r>
        <w:rPr>
          <w:rFonts w:ascii="Arial" w:hAnsi="Arial" w:cs="Arial"/>
        </w:rPr>
        <w:t xml:space="preserve"> </w:t>
      </w:r>
      <w:r w:rsidR="002557C9">
        <w:rPr>
          <w:rFonts w:ascii="Arial" w:hAnsi="Arial" w:cs="Arial"/>
        </w:rPr>
        <w:t>stock exchanges</w:t>
      </w:r>
      <w:proofErr w:type="gramEnd"/>
      <w:r w:rsidR="002557C9">
        <w:rPr>
          <w:rFonts w:ascii="Arial" w:hAnsi="Arial" w:cs="Arial"/>
        </w:rPr>
        <w:t>.</w:t>
      </w:r>
    </w:p>
    <w:p w:rsidR="009C5AAE" w:rsidRDefault="002557C9" w:rsidP="002557C9">
      <w:pPr>
        <w:spacing w:after="6" w:line="270" w:lineRule="auto"/>
        <w:ind w:right="124"/>
        <w:jc w:val="both"/>
        <w:rPr>
          <w:rFonts w:ascii="Arial" w:eastAsia="Calibri" w:hAnsi="Arial" w:cs="Arial"/>
          <w:color w:val="000000"/>
        </w:rPr>
      </w:pPr>
      <w:r>
        <w:rPr>
          <w:rFonts w:ascii="Arial" w:hAnsi="Arial" w:cs="Arial"/>
        </w:rPr>
        <w:t>IDLC Asset Management Limited is one of the other fully owned subsidiaries.</w:t>
      </w:r>
      <w:r w:rsidR="00D748F6">
        <w:rPr>
          <w:rFonts w:ascii="Arial" w:hAnsi="Arial" w:cs="Arial"/>
        </w:rPr>
        <w:t xml:space="preserve"> They are given mainly home loan, car loan and personal loan.</w:t>
      </w:r>
    </w:p>
    <w:p w:rsidR="002557C9" w:rsidRPr="002557C9" w:rsidRDefault="002557C9" w:rsidP="002557C9">
      <w:pPr>
        <w:spacing w:after="6" w:line="270" w:lineRule="auto"/>
        <w:ind w:right="124"/>
        <w:jc w:val="both"/>
        <w:rPr>
          <w:rFonts w:ascii="Arial" w:eastAsia="Calibri" w:hAnsi="Arial" w:cs="Arial"/>
          <w:color w:val="000000"/>
        </w:rPr>
      </w:pPr>
    </w:p>
    <w:p w:rsidR="009C5AAE" w:rsidRDefault="009C5AAE" w:rsidP="009C5AAE">
      <w:pPr>
        <w:pStyle w:val="Heading2"/>
        <w:rPr>
          <w:rFonts w:ascii="Arial" w:hAnsi="Arial" w:cs="Arial"/>
          <w:b/>
          <w:bCs/>
          <w:sz w:val="36"/>
          <w:szCs w:val="36"/>
        </w:rPr>
      </w:pPr>
      <w:bookmarkStart w:id="25" w:name="_Toc18330014"/>
      <w:r w:rsidRPr="00ED38E8">
        <w:rPr>
          <w:rFonts w:ascii="Arial" w:hAnsi="Arial" w:cs="Arial"/>
          <w:b/>
          <w:bCs/>
          <w:sz w:val="36"/>
          <w:szCs w:val="36"/>
        </w:rPr>
        <w:t>2.</w:t>
      </w:r>
      <w:r>
        <w:rPr>
          <w:rFonts w:ascii="Arial" w:hAnsi="Arial" w:cs="Arial"/>
          <w:b/>
          <w:bCs/>
          <w:sz w:val="36"/>
          <w:szCs w:val="36"/>
        </w:rPr>
        <w:t>3</w:t>
      </w:r>
      <w:r w:rsidRPr="00ED38E8">
        <w:rPr>
          <w:rFonts w:ascii="Arial" w:hAnsi="Arial" w:cs="Arial"/>
          <w:b/>
          <w:bCs/>
          <w:sz w:val="36"/>
          <w:szCs w:val="36"/>
        </w:rPr>
        <w:t xml:space="preserve"> </w:t>
      </w:r>
      <w:bookmarkEnd w:id="25"/>
      <w:r w:rsidR="002557C9">
        <w:rPr>
          <w:rFonts w:ascii="Arial" w:hAnsi="Arial" w:cs="Arial"/>
          <w:b/>
          <w:bCs/>
          <w:sz w:val="36"/>
          <w:szCs w:val="36"/>
        </w:rPr>
        <w:t>Corporate Division /</w:t>
      </w:r>
      <w:r w:rsidR="00D748F6">
        <w:rPr>
          <w:rFonts w:ascii="Arial" w:hAnsi="Arial" w:cs="Arial"/>
          <w:b/>
          <w:bCs/>
          <w:sz w:val="36"/>
          <w:szCs w:val="36"/>
        </w:rPr>
        <w:t xml:space="preserve"> Department</w:t>
      </w:r>
    </w:p>
    <w:p w:rsidR="00BC7974" w:rsidRPr="00BC7974" w:rsidRDefault="00BC7974" w:rsidP="00BC7974"/>
    <w:p w:rsidR="00D748F6" w:rsidRDefault="00D748F6" w:rsidP="00D748F6">
      <w:pPr>
        <w:jc w:val="both"/>
        <w:rPr>
          <w:rFonts w:ascii="Arial" w:hAnsi="Arial" w:cs="Arial"/>
        </w:rPr>
      </w:pPr>
      <w:r w:rsidRPr="00D748F6">
        <w:rPr>
          <w:rFonts w:ascii="Arial" w:hAnsi="Arial" w:cs="Arial"/>
        </w:rPr>
        <w:t>The Organization includes divisions which mainly deal with the products and services and departments which support in the operating activities. IDLC Finance Limited has some divisions that are corporate, SME, Merchant Banking, Personal Investment, Factoring, operation etc.</w:t>
      </w:r>
    </w:p>
    <w:p w:rsidR="00D748F6" w:rsidRDefault="00D748F6" w:rsidP="00D748F6">
      <w:pPr>
        <w:jc w:val="both"/>
        <w:rPr>
          <w:rFonts w:ascii="Arial" w:hAnsi="Arial" w:cs="Arial"/>
        </w:rPr>
      </w:pPr>
      <w:r>
        <w:rPr>
          <w:rFonts w:ascii="Arial" w:hAnsi="Arial" w:cs="Arial"/>
        </w:rPr>
        <w:t xml:space="preserve">The departments include are Credit Risk Management (CRM), Treasury, Accounts and Taxation, Administration and PR etc. Their all department are individual and they work their duties efficiently. </w:t>
      </w:r>
      <w:proofErr w:type="gramStart"/>
      <w:r>
        <w:rPr>
          <w:rFonts w:ascii="Arial" w:hAnsi="Arial" w:cs="Arial"/>
        </w:rPr>
        <w:t xml:space="preserve">All departments given their best efforts </w:t>
      </w:r>
      <w:r w:rsidR="009209A1">
        <w:rPr>
          <w:rFonts w:ascii="Arial" w:hAnsi="Arial" w:cs="Arial"/>
        </w:rPr>
        <w:t>to betterment of IDLC Finance Limited.</w:t>
      </w:r>
      <w:proofErr w:type="gramEnd"/>
      <w:r w:rsidR="009209A1">
        <w:rPr>
          <w:rFonts w:ascii="Arial" w:hAnsi="Arial" w:cs="Arial"/>
        </w:rPr>
        <w:t xml:space="preserve"> Average efforts are stand with economy.</w:t>
      </w:r>
    </w:p>
    <w:p w:rsidR="009209A1" w:rsidRDefault="009209A1" w:rsidP="00D748F6">
      <w:pPr>
        <w:jc w:val="both"/>
        <w:rPr>
          <w:rFonts w:ascii="Arial" w:hAnsi="Arial" w:cs="Arial"/>
        </w:rPr>
      </w:pPr>
    </w:p>
    <w:p w:rsidR="009209A1" w:rsidRPr="009209A1" w:rsidRDefault="009209A1" w:rsidP="00D748F6">
      <w:pPr>
        <w:jc w:val="both"/>
        <w:rPr>
          <w:rFonts w:ascii="Arial" w:hAnsi="Arial" w:cs="Arial"/>
          <w:color w:val="365F91" w:themeColor="accent1" w:themeShade="BF"/>
        </w:rPr>
      </w:pPr>
    </w:p>
    <w:p w:rsidR="009C5AAE" w:rsidRDefault="009209A1" w:rsidP="00BC7974">
      <w:pPr>
        <w:jc w:val="both"/>
        <w:rPr>
          <w:rFonts w:ascii="Arial" w:hAnsi="Arial" w:cs="Arial"/>
          <w:b/>
          <w:bCs/>
          <w:color w:val="365F91" w:themeColor="accent1" w:themeShade="BF"/>
          <w:sz w:val="36"/>
          <w:szCs w:val="36"/>
        </w:rPr>
      </w:pPr>
      <w:r w:rsidRPr="009209A1">
        <w:rPr>
          <w:rFonts w:ascii="Arial" w:hAnsi="Arial" w:cs="Arial"/>
          <w:b/>
          <w:bCs/>
          <w:color w:val="365F91" w:themeColor="accent1" w:themeShade="BF"/>
          <w:sz w:val="36"/>
          <w:szCs w:val="36"/>
        </w:rPr>
        <w:t>2.4 Contribution to the National Economy</w:t>
      </w:r>
    </w:p>
    <w:p w:rsidR="009209A1" w:rsidRDefault="009209A1" w:rsidP="00BC7974">
      <w:pPr>
        <w:jc w:val="both"/>
        <w:rPr>
          <w:rFonts w:ascii="Arial" w:hAnsi="Arial" w:cs="Arial"/>
          <w:bCs/>
        </w:rPr>
      </w:pPr>
      <w:r w:rsidRPr="009209A1">
        <w:rPr>
          <w:rFonts w:ascii="Arial" w:hAnsi="Arial" w:cs="Arial"/>
          <w:bCs/>
        </w:rPr>
        <w:t xml:space="preserve">IDLC </w:t>
      </w:r>
      <w:r>
        <w:rPr>
          <w:rFonts w:ascii="Arial" w:hAnsi="Arial" w:cs="Arial"/>
          <w:bCs/>
        </w:rPr>
        <w:t xml:space="preserve">Aspires to be one of the major contributors in the economy of Bangladesh both in monetary and non-monetary terms. IDLC was established in 1985 as the first leasing company in the country and with its pioneering role has established </w:t>
      </w:r>
      <w:r w:rsidR="00BC7974">
        <w:rPr>
          <w:rFonts w:ascii="Arial" w:hAnsi="Arial" w:cs="Arial"/>
          <w:bCs/>
        </w:rPr>
        <w:t>and popularized lease finance as an alternative and secured source of long term finance. The NBFI sector continues to be the second largest financial sector in the country with an asset size of around taka 438 billion as on September   30, 2015. IDLC is the largest employer, financial service provider and tax payer among the non-banking financial institutions in the country.</w:t>
      </w:r>
    </w:p>
    <w:p w:rsidR="00BC7974" w:rsidRDefault="00BC7974" w:rsidP="00BC7974">
      <w:pPr>
        <w:jc w:val="both"/>
        <w:rPr>
          <w:rFonts w:ascii="Arial" w:hAnsi="Arial" w:cs="Arial"/>
          <w:bCs/>
        </w:rPr>
      </w:pPr>
    </w:p>
    <w:p w:rsidR="00BC7974" w:rsidRDefault="00BC7974" w:rsidP="00BC7974">
      <w:pPr>
        <w:jc w:val="both"/>
        <w:rPr>
          <w:rFonts w:ascii="Arial" w:hAnsi="Arial" w:cs="Arial"/>
          <w:b/>
          <w:bCs/>
          <w:color w:val="365F91" w:themeColor="accent1" w:themeShade="BF"/>
          <w:sz w:val="36"/>
          <w:szCs w:val="36"/>
        </w:rPr>
      </w:pPr>
      <w:r w:rsidRPr="00BC7974">
        <w:rPr>
          <w:rFonts w:ascii="Arial" w:hAnsi="Arial" w:cs="Arial"/>
          <w:b/>
          <w:bCs/>
          <w:color w:val="365F91" w:themeColor="accent1" w:themeShade="BF"/>
          <w:sz w:val="36"/>
          <w:szCs w:val="36"/>
        </w:rPr>
        <w:t>2.5 Competitor Market</w:t>
      </w:r>
    </w:p>
    <w:p w:rsidR="00BC7974" w:rsidRDefault="00BC7974" w:rsidP="00BC7974">
      <w:pPr>
        <w:jc w:val="both"/>
        <w:rPr>
          <w:rFonts w:ascii="Arial" w:hAnsi="Arial" w:cs="Arial"/>
          <w:bCs/>
        </w:rPr>
      </w:pPr>
      <w:r>
        <w:rPr>
          <w:rFonts w:ascii="Arial" w:hAnsi="Arial" w:cs="Arial"/>
          <w:bCs/>
        </w:rPr>
        <w:t>IDLC is well known Non-banking Financial Institution and doing very good in NBFI Industry. IDLC achieve higher revenue where there is a strong comp</w:t>
      </w:r>
      <w:r w:rsidR="007D1F1E">
        <w:rPr>
          <w:rFonts w:ascii="Arial" w:hAnsi="Arial" w:cs="Arial"/>
          <w:bCs/>
        </w:rPr>
        <w:t>e</w:t>
      </w:r>
      <w:r>
        <w:rPr>
          <w:rFonts w:ascii="Arial" w:hAnsi="Arial" w:cs="Arial"/>
          <w:bCs/>
        </w:rPr>
        <w:t>titors e</w:t>
      </w:r>
      <w:r w:rsidR="007D1F1E">
        <w:rPr>
          <w:rFonts w:ascii="Arial" w:hAnsi="Arial" w:cs="Arial"/>
          <w:bCs/>
        </w:rPr>
        <w:t xml:space="preserve">xists in the NBFI industry. The competitors of IDLC are </w:t>
      </w:r>
      <w:proofErr w:type="spellStart"/>
      <w:r w:rsidR="007D1F1E">
        <w:rPr>
          <w:rFonts w:ascii="Arial" w:hAnsi="Arial" w:cs="Arial"/>
          <w:bCs/>
        </w:rPr>
        <w:t>LankaBangla</w:t>
      </w:r>
      <w:proofErr w:type="spellEnd"/>
      <w:r w:rsidR="007D1F1E">
        <w:rPr>
          <w:rFonts w:ascii="Arial" w:hAnsi="Arial" w:cs="Arial"/>
          <w:bCs/>
        </w:rPr>
        <w:t xml:space="preserve"> Finance Limited, Premier Leasing and Finance Limited, Peoples Leasing and Financial services limited.</w:t>
      </w:r>
    </w:p>
    <w:p w:rsidR="007D1F1E" w:rsidRDefault="007D1F1E" w:rsidP="00BC7974">
      <w:pPr>
        <w:jc w:val="both"/>
        <w:rPr>
          <w:rFonts w:ascii="Arial" w:hAnsi="Arial" w:cs="Arial"/>
          <w:bCs/>
        </w:rPr>
      </w:pPr>
    </w:p>
    <w:p w:rsidR="007D1F1E" w:rsidRDefault="007D1F1E" w:rsidP="00BC7974">
      <w:pPr>
        <w:jc w:val="both"/>
        <w:rPr>
          <w:rFonts w:ascii="Arial" w:hAnsi="Arial" w:cs="Arial"/>
          <w:b/>
          <w:bCs/>
          <w:color w:val="365F91" w:themeColor="accent1" w:themeShade="BF"/>
          <w:sz w:val="36"/>
          <w:szCs w:val="36"/>
        </w:rPr>
      </w:pPr>
      <w:r w:rsidRPr="007D1F1E">
        <w:rPr>
          <w:rFonts w:ascii="Arial" w:hAnsi="Arial" w:cs="Arial"/>
          <w:b/>
          <w:bCs/>
          <w:color w:val="365F91" w:themeColor="accent1" w:themeShade="BF"/>
          <w:sz w:val="36"/>
          <w:szCs w:val="36"/>
        </w:rPr>
        <w:t xml:space="preserve">2.6 </w:t>
      </w:r>
      <w:r>
        <w:rPr>
          <w:rFonts w:ascii="Arial" w:hAnsi="Arial" w:cs="Arial"/>
          <w:b/>
          <w:bCs/>
          <w:color w:val="365F91" w:themeColor="accent1" w:themeShade="BF"/>
          <w:sz w:val="36"/>
          <w:szCs w:val="36"/>
        </w:rPr>
        <w:t>Corporate Social Responsibility</w:t>
      </w:r>
    </w:p>
    <w:p w:rsidR="007D1F1E" w:rsidRDefault="007D1F1E" w:rsidP="00BC7974">
      <w:pPr>
        <w:jc w:val="both"/>
        <w:rPr>
          <w:rFonts w:ascii="Arial" w:hAnsi="Arial" w:cs="Arial"/>
          <w:bCs/>
          <w:color w:val="365F91" w:themeColor="accent1" w:themeShade="BF"/>
        </w:rPr>
      </w:pPr>
    </w:p>
    <w:p w:rsidR="007D1F1E" w:rsidRDefault="007D1F1E" w:rsidP="00BC7974">
      <w:pPr>
        <w:jc w:val="both"/>
        <w:rPr>
          <w:rFonts w:ascii="Arial" w:hAnsi="Arial" w:cs="Arial"/>
          <w:bCs/>
        </w:rPr>
      </w:pPr>
      <w:r>
        <w:rPr>
          <w:rFonts w:ascii="Arial" w:hAnsi="Arial" w:cs="Arial"/>
          <w:bCs/>
        </w:rPr>
        <w:t>Corporate social responsibility (CSR) refers to business practices involving initiatives that benefit society. CSR activities of IDLC:</w:t>
      </w:r>
    </w:p>
    <w:p w:rsidR="007D1F1E" w:rsidRDefault="007D1F1E" w:rsidP="007D1F1E">
      <w:pPr>
        <w:pStyle w:val="ListParagraph"/>
        <w:numPr>
          <w:ilvl w:val="0"/>
          <w:numId w:val="29"/>
        </w:numPr>
        <w:jc w:val="both"/>
        <w:rPr>
          <w:rFonts w:ascii="Arial" w:hAnsi="Arial" w:cs="Vrinda"/>
          <w:bCs/>
          <w:szCs w:val="28"/>
          <w:lang w:bidi="bn-IN"/>
        </w:rPr>
      </w:pPr>
      <w:r>
        <w:rPr>
          <w:rFonts w:ascii="Arial" w:hAnsi="Arial" w:cs="Vrinda"/>
          <w:bCs/>
          <w:szCs w:val="28"/>
          <w:lang w:bidi="bn-IN"/>
        </w:rPr>
        <w:t>IDLC supports SEID Trust for the development of underprivileged and disabled children on October 13,</w:t>
      </w:r>
      <w:r w:rsidR="00C61725">
        <w:rPr>
          <w:rFonts w:ascii="Arial" w:hAnsi="Arial" w:cs="Vrinda"/>
          <w:bCs/>
          <w:szCs w:val="28"/>
          <w:lang w:bidi="bn-IN"/>
        </w:rPr>
        <w:t xml:space="preserve"> </w:t>
      </w:r>
      <w:r>
        <w:rPr>
          <w:rFonts w:ascii="Arial" w:hAnsi="Arial" w:cs="Vrinda"/>
          <w:bCs/>
          <w:szCs w:val="28"/>
          <w:lang w:bidi="bn-IN"/>
        </w:rPr>
        <w:t>2011.</w:t>
      </w:r>
    </w:p>
    <w:p w:rsidR="00C61725" w:rsidRDefault="00C61725" w:rsidP="007D1F1E">
      <w:pPr>
        <w:pStyle w:val="ListParagraph"/>
        <w:numPr>
          <w:ilvl w:val="0"/>
          <w:numId w:val="29"/>
        </w:numPr>
        <w:jc w:val="both"/>
        <w:rPr>
          <w:rFonts w:ascii="Arial" w:hAnsi="Arial" w:cs="Vrinda"/>
          <w:bCs/>
          <w:szCs w:val="28"/>
          <w:lang w:bidi="bn-IN"/>
        </w:rPr>
      </w:pPr>
      <w:r>
        <w:rPr>
          <w:rFonts w:ascii="Arial" w:hAnsi="Arial" w:cs="Vrinda"/>
          <w:bCs/>
          <w:szCs w:val="28"/>
          <w:lang w:bidi="bn-IN"/>
        </w:rPr>
        <w:t>IDLC starts environmental awareness campaign in schools on September 16, 2012.</w:t>
      </w:r>
    </w:p>
    <w:p w:rsidR="00C61725" w:rsidRDefault="00C61725" w:rsidP="007D1F1E">
      <w:pPr>
        <w:pStyle w:val="ListParagraph"/>
        <w:numPr>
          <w:ilvl w:val="0"/>
          <w:numId w:val="29"/>
        </w:numPr>
        <w:jc w:val="both"/>
        <w:rPr>
          <w:rFonts w:ascii="Arial" w:hAnsi="Arial" w:cs="Vrinda"/>
          <w:bCs/>
          <w:szCs w:val="28"/>
          <w:lang w:bidi="bn-IN"/>
        </w:rPr>
      </w:pPr>
      <w:r>
        <w:rPr>
          <w:rFonts w:ascii="Arial" w:hAnsi="Arial" w:cs="Vrinda"/>
          <w:bCs/>
          <w:szCs w:val="28"/>
          <w:lang w:bidi="bn-IN"/>
        </w:rPr>
        <w:t>IDLC arranges blood donation program on 10 February 2013.</w:t>
      </w:r>
    </w:p>
    <w:p w:rsidR="00C61725" w:rsidRDefault="00C61725" w:rsidP="007D1F1E">
      <w:pPr>
        <w:pStyle w:val="ListParagraph"/>
        <w:numPr>
          <w:ilvl w:val="0"/>
          <w:numId w:val="29"/>
        </w:numPr>
        <w:jc w:val="both"/>
        <w:rPr>
          <w:rFonts w:ascii="Arial" w:hAnsi="Arial" w:cs="Vrinda"/>
          <w:bCs/>
          <w:szCs w:val="28"/>
          <w:lang w:bidi="bn-IN"/>
        </w:rPr>
      </w:pPr>
      <w:r>
        <w:rPr>
          <w:rFonts w:ascii="Arial" w:hAnsi="Arial" w:cs="Vrinda"/>
          <w:bCs/>
          <w:szCs w:val="28"/>
          <w:lang w:bidi="bn-IN"/>
        </w:rPr>
        <w:t>IDLC sponsors sporting gears to the Bangladesh Cricket Association for the Physically-challenged on May 5, 2014.</w:t>
      </w:r>
    </w:p>
    <w:p w:rsidR="00C61725" w:rsidRDefault="00C61725" w:rsidP="007D1F1E">
      <w:pPr>
        <w:pStyle w:val="ListParagraph"/>
        <w:numPr>
          <w:ilvl w:val="0"/>
          <w:numId w:val="29"/>
        </w:numPr>
        <w:jc w:val="both"/>
        <w:rPr>
          <w:rFonts w:ascii="Arial" w:hAnsi="Arial" w:cs="Vrinda"/>
          <w:bCs/>
          <w:szCs w:val="28"/>
          <w:lang w:bidi="bn-IN"/>
        </w:rPr>
      </w:pPr>
      <w:r>
        <w:rPr>
          <w:rFonts w:ascii="Arial" w:hAnsi="Arial" w:cs="Vrinda"/>
          <w:bCs/>
          <w:szCs w:val="28"/>
          <w:lang w:bidi="bn-IN"/>
        </w:rPr>
        <w:t xml:space="preserve">IDLC stands by the storm affected victims of </w:t>
      </w:r>
      <w:proofErr w:type="spellStart"/>
      <w:r>
        <w:rPr>
          <w:rFonts w:ascii="Arial" w:hAnsi="Arial" w:cs="Vrinda"/>
          <w:bCs/>
          <w:szCs w:val="28"/>
          <w:lang w:bidi="bn-IN"/>
        </w:rPr>
        <w:t>bogura</w:t>
      </w:r>
      <w:proofErr w:type="spellEnd"/>
      <w:r>
        <w:rPr>
          <w:rFonts w:ascii="Arial" w:hAnsi="Arial" w:cs="Vrinda"/>
          <w:bCs/>
          <w:szCs w:val="28"/>
          <w:lang w:bidi="bn-IN"/>
        </w:rPr>
        <w:t xml:space="preserve"> on May 20, 2015.</w:t>
      </w:r>
    </w:p>
    <w:p w:rsidR="00C61725" w:rsidRPr="007D1F1E" w:rsidRDefault="00C61725" w:rsidP="007D1F1E">
      <w:pPr>
        <w:pStyle w:val="ListParagraph"/>
        <w:numPr>
          <w:ilvl w:val="0"/>
          <w:numId w:val="29"/>
        </w:numPr>
        <w:jc w:val="both"/>
        <w:rPr>
          <w:rFonts w:ascii="Arial" w:hAnsi="Arial" w:cs="Vrinda"/>
          <w:bCs/>
          <w:szCs w:val="28"/>
          <w:lang w:bidi="bn-IN"/>
        </w:rPr>
      </w:pPr>
      <w:r>
        <w:rPr>
          <w:rFonts w:ascii="Arial" w:hAnsi="Arial" w:cs="Vrinda"/>
          <w:bCs/>
          <w:szCs w:val="28"/>
          <w:lang w:bidi="bn-IN"/>
        </w:rPr>
        <w:t>IDLC and Green Savers collaborate for a Greener on November 25, 2017.</w:t>
      </w:r>
    </w:p>
    <w:p w:rsidR="007D1F1E" w:rsidRPr="007D1F1E" w:rsidRDefault="007D1F1E" w:rsidP="00BC7974">
      <w:pPr>
        <w:jc w:val="both"/>
        <w:rPr>
          <w:rFonts w:ascii="Arial" w:hAnsi="Arial" w:cs="Arial"/>
          <w:bCs/>
        </w:rPr>
      </w:pPr>
    </w:p>
    <w:p w:rsidR="00BC7974" w:rsidRPr="00BC7974" w:rsidRDefault="00BC7974" w:rsidP="00BC7974">
      <w:pPr>
        <w:jc w:val="both"/>
        <w:rPr>
          <w:rFonts w:ascii="Arial" w:hAnsi="Arial" w:cs="Arial"/>
          <w:b/>
          <w:bCs/>
          <w:color w:val="365F91" w:themeColor="accent1" w:themeShade="BF"/>
          <w:sz w:val="36"/>
          <w:szCs w:val="36"/>
        </w:rPr>
      </w:pPr>
    </w:p>
    <w:p w:rsidR="00BC7974" w:rsidRDefault="00BC7974" w:rsidP="00BC7974">
      <w:pPr>
        <w:jc w:val="both"/>
        <w:rPr>
          <w:rFonts w:ascii="Arial" w:hAnsi="Arial" w:cs="Arial"/>
          <w:bCs/>
        </w:rPr>
      </w:pPr>
    </w:p>
    <w:p w:rsidR="009C5AAE" w:rsidRDefault="009C5AAE" w:rsidP="009C5AAE">
      <w:pPr>
        <w:rPr>
          <w:rFonts w:ascii="Arial" w:hAnsi="Arial" w:cs="Arial"/>
          <w:sz w:val="28"/>
          <w:szCs w:val="28"/>
        </w:rPr>
      </w:pPr>
    </w:p>
    <w:p w:rsidR="00BC7974" w:rsidRDefault="00BC7974" w:rsidP="009C5AAE">
      <w:pPr>
        <w:rPr>
          <w:rFonts w:ascii="Arial" w:hAnsi="Arial" w:cs="Arial"/>
          <w:sz w:val="28"/>
          <w:szCs w:val="28"/>
        </w:rPr>
      </w:pPr>
    </w:p>
    <w:p w:rsidR="00BC7974" w:rsidRDefault="00BC7974" w:rsidP="009C5AAE">
      <w:pPr>
        <w:rPr>
          <w:rFonts w:ascii="Arial" w:hAnsi="Arial" w:cs="Arial"/>
          <w:sz w:val="28"/>
          <w:szCs w:val="28"/>
        </w:rPr>
      </w:pPr>
    </w:p>
    <w:p w:rsidR="00BC7974" w:rsidRDefault="00BC7974" w:rsidP="009C5AAE">
      <w:pPr>
        <w:rPr>
          <w:rFonts w:ascii="Arial" w:hAnsi="Arial" w:cs="Arial"/>
          <w:sz w:val="28"/>
          <w:szCs w:val="28"/>
        </w:rPr>
      </w:pPr>
    </w:p>
    <w:p w:rsidR="00BC7974" w:rsidRDefault="00BC7974" w:rsidP="009C5AAE">
      <w:pPr>
        <w:rPr>
          <w:rFonts w:ascii="Arial" w:hAnsi="Arial" w:cs="Arial"/>
          <w:sz w:val="28"/>
          <w:szCs w:val="28"/>
        </w:rPr>
      </w:pPr>
    </w:p>
    <w:p w:rsidR="00BC7974" w:rsidRPr="00ED38E8" w:rsidRDefault="00BC7974" w:rsidP="009C5AAE">
      <w:pPr>
        <w:rPr>
          <w:rFonts w:ascii="Arial" w:hAnsi="Arial" w:cs="Arial"/>
          <w:sz w:val="28"/>
          <w:szCs w:val="28"/>
        </w:rPr>
      </w:pPr>
    </w:p>
    <w:p w:rsidR="009C5AAE" w:rsidRPr="00ED38E8" w:rsidRDefault="009C5AAE" w:rsidP="009C5AAE">
      <w:pPr>
        <w:pStyle w:val="Heading1"/>
        <w:jc w:val="center"/>
        <w:rPr>
          <w:rFonts w:ascii="Arial" w:eastAsia="Calibri" w:hAnsi="Arial" w:cs="Arial"/>
          <w:color w:val="000000" w:themeColor="text1"/>
          <w:sz w:val="96"/>
          <w:szCs w:val="96"/>
        </w:rPr>
      </w:pPr>
      <w:bookmarkStart w:id="26" w:name="_Toc18330019"/>
      <w:r w:rsidRPr="00ED38E8">
        <w:rPr>
          <w:rFonts w:ascii="Arial" w:eastAsia="Calibri" w:hAnsi="Arial" w:cs="Arial"/>
          <w:color w:val="000000" w:themeColor="text1"/>
          <w:sz w:val="96"/>
          <w:szCs w:val="96"/>
        </w:rPr>
        <w:t>Chapter 3</w:t>
      </w:r>
      <w:bookmarkEnd w:id="26"/>
    </w:p>
    <w:p w:rsidR="009C5AAE" w:rsidRPr="00C61725" w:rsidRDefault="009C5AAE" w:rsidP="00C61725">
      <w:pPr>
        <w:pStyle w:val="Heading1"/>
        <w:jc w:val="center"/>
        <w:rPr>
          <w:rFonts w:ascii="Arial" w:eastAsia="Calibri" w:hAnsi="Arial" w:cs="Arial"/>
          <w:sz w:val="56"/>
          <w:szCs w:val="56"/>
        </w:rPr>
      </w:pPr>
      <w:bookmarkStart w:id="27" w:name="_Toc18330020"/>
      <w:r w:rsidRPr="00ED38E8">
        <w:rPr>
          <w:rFonts w:ascii="Arial" w:eastAsia="Calibri" w:hAnsi="Arial" w:cs="Arial"/>
          <w:sz w:val="56"/>
          <w:szCs w:val="56"/>
        </w:rPr>
        <w:t>Financial Analysis of IDLC</w:t>
      </w:r>
      <w:bookmarkEnd w:id="27"/>
    </w:p>
    <w:p w:rsidR="009C5AAE" w:rsidRPr="00ED38E8" w:rsidRDefault="009C5AAE" w:rsidP="009C5AAE">
      <w:pPr>
        <w:tabs>
          <w:tab w:val="left" w:pos="3864"/>
        </w:tabs>
        <w:rPr>
          <w:rFonts w:ascii="Arial" w:hAnsi="Arial" w:cs="Arial"/>
          <w:sz w:val="28"/>
          <w:szCs w:val="28"/>
        </w:rPr>
      </w:pPr>
      <w:r w:rsidRPr="00ED38E8">
        <w:rPr>
          <w:rFonts w:ascii="Arial" w:hAnsi="Arial" w:cs="Arial"/>
          <w:sz w:val="28"/>
          <w:szCs w:val="28"/>
        </w:rPr>
        <w:tab/>
      </w:r>
      <w:r w:rsidRPr="00ED38E8">
        <w:rPr>
          <w:rFonts w:ascii="Arial" w:hAnsi="Arial" w:cs="Arial"/>
          <w:noProof/>
        </w:rPr>
        <w:drawing>
          <wp:inline distT="0" distB="0" distL="0" distR="0" wp14:anchorId="12315673" wp14:editId="09CE3294">
            <wp:extent cx="5934075" cy="3838575"/>
            <wp:effectExtent l="0" t="0" r="9525" b="9525"/>
            <wp:docPr id="165098" name="Picture 165098"/>
            <wp:cNvGraphicFramePr/>
            <a:graphic xmlns:a="http://schemas.openxmlformats.org/drawingml/2006/main">
              <a:graphicData uri="http://schemas.openxmlformats.org/drawingml/2006/picture">
                <pic:pic xmlns:pic="http://schemas.openxmlformats.org/drawingml/2006/picture">
                  <pic:nvPicPr>
                    <pic:cNvPr id="3168" name="Picture 3168"/>
                    <pic:cNvPicPr/>
                  </pic:nvPicPr>
                  <pic:blipFill>
                    <a:blip r:embed="rId9"/>
                    <a:stretch>
                      <a:fillRect/>
                    </a:stretch>
                  </pic:blipFill>
                  <pic:spPr>
                    <a:xfrm>
                      <a:off x="0" y="0"/>
                      <a:ext cx="5934075" cy="3838575"/>
                    </a:xfrm>
                    <a:prstGeom prst="rect">
                      <a:avLst/>
                    </a:prstGeom>
                  </pic:spPr>
                </pic:pic>
              </a:graphicData>
            </a:graphic>
          </wp:inline>
        </w:drawing>
      </w:r>
    </w:p>
    <w:p w:rsidR="009C5AAE" w:rsidRPr="00ED38E8" w:rsidRDefault="009C5AAE" w:rsidP="009C5AAE">
      <w:pPr>
        <w:rPr>
          <w:rFonts w:ascii="Arial" w:hAnsi="Arial" w:cs="Arial"/>
          <w:sz w:val="28"/>
          <w:szCs w:val="28"/>
        </w:rPr>
      </w:pPr>
    </w:p>
    <w:p w:rsidR="009C5AAE" w:rsidRPr="00ED38E8" w:rsidRDefault="009C5AAE" w:rsidP="009C5AAE">
      <w:pPr>
        <w:rPr>
          <w:rFonts w:ascii="Arial" w:hAnsi="Arial" w:cs="Arial"/>
          <w:sz w:val="28"/>
          <w:szCs w:val="28"/>
        </w:rPr>
      </w:pPr>
    </w:p>
    <w:p w:rsidR="009C5AAE" w:rsidRPr="00ED38E8" w:rsidRDefault="009C5AAE" w:rsidP="009C5AAE">
      <w:pPr>
        <w:rPr>
          <w:rFonts w:ascii="Arial" w:hAnsi="Arial" w:cs="Arial"/>
          <w:sz w:val="28"/>
          <w:szCs w:val="28"/>
        </w:rPr>
      </w:pPr>
    </w:p>
    <w:p w:rsidR="009C5AAE" w:rsidRPr="00ED38E8" w:rsidRDefault="009C5AAE" w:rsidP="009C5AAE">
      <w:pPr>
        <w:pStyle w:val="Heading2"/>
        <w:rPr>
          <w:rFonts w:ascii="Arial" w:eastAsia="Calibri" w:hAnsi="Arial" w:cs="Arial"/>
          <w:b/>
          <w:bCs/>
          <w:sz w:val="32"/>
          <w:szCs w:val="32"/>
        </w:rPr>
      </w:pPr>
      <w:bookmarkStart w:id="28" w:name="_Toc18330022"/>
      <w:r>
        <w:rPr>
          <w:rFonts w:ascii="Arial" w:eastAsia="Calibri" w:hAnsi="Arial" w:cs="Arial"/>
          <w:b/>
          <w:bCs/>
          <w:sz w:val="32"/>
          <w:szCs w:val="32"/>
        </w:rPr>
        <w:lastRenderedPageBreak/>
        <w:t>3.1</w:t>
      </w:r>
      <w:r w:rsidRPr="00ED38E8">
        <w:rPr>
          <w:rFonts w:ascii="Arial" w:eastAsia="Calibri" w:hAnsi="Arial" w:cs="Arial"/>
          <w:b/>
          <w:bCs/>
          <w:sz w:val="32"/>
          <w:szCs w:val="32"/>
        </w:rPr>
        <w:t xml:space="preserve"> Horizontal Analysis (IDLC)</w:t>
      </w:r>
      <w:bookmarkEnd w:id="28"/>
      <w:r w:rsidRPr="00ED38E8">
        <w:rPr>
          <w:rFonts w:ascii="Arial" w:eastAsia="Calibri" w:hAnsi="Arial" w:cs="Arial"/>
          <w:b/>
          <w:bCs/>
          <w:sz w:val="32"/>
          <w:szCs w:val="32"/>
        </w:rPr>
        <w:t xml:space="preserve"> </w:t>
      </w:r>
    </w:p>
    <w:p w:rsidR="009C5AAE" w:rsidRPr="00ED38E8" w:rsidRDefault="009C5AAE" w:rsidP="009C5AAE">
      <w:pPr>
        <w:pStyle w:val="Heading3"/>
        <w:rPr>
          <w:rFonts w:ascii="Arial" w:eastAsia="Calibri" w:hAnsi="Arial" w:cs="Arial"/>
          <w:b/>
          <w:bCs/>
          <w:color w:val="984806" w:themeColor="accent6" w:themeShade="80"/>
          <w:sz w:val="28"/>
          <w:szCs w:val="28"/>
        </w:rPr>
      </w:pPr>
      <w:bookmarkStart w:id="29" w:name="_Toc18330023"/>
      <w:r w:rsidRPr="00ED38E8">
        <w:rPr>
          <w:rFonts w:ascii="Arial" w:eastAsia="Calibri" w:hAnsi="Arial" w:cs="Arial"/>
          <w:b/>
          <w:bCs/>
          <w:color w:val="984806" w:themeColor="accent6" w:themeShade="80"/>
          <w:sz w:val="28"/>
          <w:szCs w:val="28"/>
        </w:rPr>
        <w:t>3.</w:t>
      </w:r>
      <w:r>
        <w:rPr>
          <w:rFonts w:ascii="Arial" w:eastAsia="Calibri" w:hAnsi="Arial" w:cs="Arial"/>
          <w:b/>
          <w:bCs/>
          <w:color w:val="984806" w:themeColor="accent6" w:themeShade="80"/>
          <w:sz w:val="28"/>
          <w:szCs w:val="28"/>
        </w:rPr>
        <w:t>1</w:t>
      </w:r>
      <w:r w:rsidRPr="00ED38E8">
        <w:rPr>
          <w:rFonts w:ascii="Arial" w:eastAsia="Calibri" w:hAnsi="Arial" w:cs="Arial"/>
          <w:b/>
          <w:bCs/>
          <w:color w:val="984806" w:themeColor="accent6" w:themeShade="80"/>
          <w:sz w:val="28"/>
          <w:szCs w:val="28"/>
        </w:rPr>
        <w:t>.1. Horizontal Analysis of Balance Sheet (IDLC)</w:t>
      </w:r>
      <w:bookmarkEnd w:id="29"/>
    </w:p>
    <w:tbl>
      <w:tblPr>
        <w:tblW w:w="10140"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17"/>
        <w:gridCol w:w="1208"/>
        <w:gridCol w:w="1252"/>
        <w:gridCol w:w="1252"/>
        <w:gridCol w:w="1165"/>
        <w:gridCol w:w="1246"/>
      </w:tblGrid>
      <w:tr w:rsidR="009C5AAE" w:rsidRPr="00ED38E8" w:rsidTr="008C2D73">
        <w:trPr>
          <w:trHeight w:val="467"/>
        </w:trPr>
        <w:tc>
          <w:tcPr>
            <w:tcW w:w="4017" w:type="dxa"/>
          </w:tcPr>
          <w:p w:rsidR="009C5AAE" w:rsidRPr="00ED38E8" w:rsidRDefault="009C5AAE" w:rsidP="008C2D73">
            <w:pPr>
              <w:pStyle w:val="Heading3"/>
              <w:jc w:val="both"/>
              <w:rPr>
                <w:rFonts w:ascii="Arial" w:eastAsia="Calibri" w:hAnsi="Arial" w:cs="Arial"/>
                <w:b/>
                <w:bCs/>
                <w:color w:val="000000" w:themeColor="text1"/>
                <w:sz w:val="28"/>
                <w:szCs w:val="28"/>
              </w:rPr>
            </w:pPr>
            <w:r w:rsidRPr="00ED38E8">
              <w:rPr>
                <w:rFonts w:ascii="Arial" w:eastAsia="Calibri" w:hAnsi="Arial" w:cs="Arial"/>
                <w:b/>
                <w:bCs/>
                <w:color w:val="000000" w:themeColor="text1"/>
                <w:sz w:val="28"/>
                <w:szCs w:val="28"/>
              </w:rPr>
              <w:t>Particulars</w:t>
            </w:r>
          </w:p>
        </w:tc>
        <w:tc>
          <w:tcPr>
            <w:tcW w:w="1208" w:type="dxa"/>
          </w:tcPr>
          <w:p w:rsidR="009C5AAE" w:rsidRPr="00ED38E8" w:rsidRDefault="009C5AAE" w:rsidP="008C2D73">
            <w:pPr>
              <w:ind w:left="221"/>
              <w:rPr>
                <w:rFonts w:ascii="Arial" w:eastAsia="Calibri" w:hAnsi="Arial" w:cs="Arial"/>
                <w:color w:val="000000"/>
                <w:sz w:val="24"/>
              </w:rPr>
            </w:pPr>
            <w:r w:rsidRPr="00ED38E8">
              <w:rPr>
                <w:rFonts w:ascii="Arial" w:eastAsia="Calibri" w:hAnsi="Arial" w:cs="Arial"/>
                <w:color w:val="000000"/>
              </w:rPr>
              <w:t xml:space="preserve">2018 </w:t>
            </w:r>
          </w:p>
        </w:tc>
        <w:tc>
          <w:tcPr>
            <w:tcW w:w="1252" w:type="dxa"/>
          </w:tcPr>
          <w:p w:rsidR="009C5AAE" w:rsidRPr="00ED38E8" w:rsidRDefault="009C5AAE" w:rsidP="008C2D73">
            <w:pPr>
              <w:ind w:left="163"/>
              <w:rPr>
                <w:rFonts w:ascii="Arial" w:eastAsia="Calibri" w:hAnsi="Arial" w:cs="Arial"/>
                <w:color w:val="000000"/>
                <w:sz w:val="24"/>
              </w:rPr>
            </w:pPr>
            <w:r w:rsidRPr="00ED38E8">
              <w:rPr>
                <w:rFonts w:ascii="Arial" w:eastAsia="Calibri" w:hAnsi="Arial" w:cs="Arial"/>
                <w:color w:val="000000"/>
              </w:rPr>
              <w:t>2017</w:t>
            </w:r>
          </w:p>
        </w:tc>
        <w:tc>
          <w:tcPr>
            <w:tcW w:w="1252" w:type="dxa"/>
          </w:tcPr>
          <w:p w:rsidR="009C5AAE" w:rsidRPr="00ED38E8" w:rsidRDefault="009C5AAE" w:rsidP="008C2D73">
            <w:pPr>
              <w:ind w:left="164"/>
              <w:rPr>
                <w:rFonts w:ascii="Arial" w:eastAsia="Calibri" w:hAnsi="Arial" w:cs="Arial"/>
                <w:color w:val="000000"/>
                <w:sz w:val="24"/>
              </w:rPr>
            </w:pPr>
            <w:r w:rsidRPr="00ED38E8">
              <w:rPr>
                <w:rFonts w:ascii="Arial" w:eastAsia="Calibri" w:hAnsi="Arial" w:cs="Arial"/>
                <w:color w:val="000000"/>
              </w:rPr>
              <w:t xml:space="preserve">2016 </w:t>
            </w:r>
          </w:p>
        </w:tc>
        <w:tc>
          <w:tcPr>
            <w:tcW w:w="1165" w:type="dxa"/>
          </w:tcPr>
          <w:p w:rsidR="009C5AAE" w:rsidRPr="00ED38E8" w:rsidRDefault="009C5AAE" w:rsidP="008C2D73">
            <w:pPr>
              <w:ind w:left="163"/>
              <w:rPr>
                <w:rFonts w:ascii="Arial" w:eastAsia="Calibri" w:hAnsi="Arial" w:cs="Arial"/>
                <w:color w:val="000000"/>
                <w:sz w:val="24"/>
              </w:rPr>
            </w:pPr>
            <w:r w:rsidRPr="00ED38E8">
              <w:rPr>
                <w:rFonts w:ascii="Arial" w:eastAsia="Calibri" w:hAnsi="Arial" w:cs="Arial"/>
                <w:color w:val="000000"/>
              </w:rPr>
              <w:t xml:space="preserve">2015 </w:t>
            </w:r>
          </w:p>
        </w:tc>
        <w:tc>
          <w:tcPr>
            <w:tcW w:w="1246" w:type="dxa"/>
          </w:tcPr>
          <w:p w:rsidR="009C5AAE" w:rsidRPr="00ED38E8" w:rsidRDefault="009C5AAE" w:rsidP="008C2D73">
            <w:pPr>
              <w:ind w:left="19"/>
              <w:rPr>
                <w:rFonts w:ascii="Arial" w:eastAsia="Calibri" w:hAnsi="Arial" w:cs="Arial"/>
                <w:color w:val="000000"/>
                <w:sz w:val="24"/>
              </w:rPr>
            </w:pPr>
            <w:r w:rsidRPr="00ED38E8">
              <w:rPr>
                <w:rFonts w:ascii="Arial" w:eastAsia="Calibri" w:hAnsi="Arial" w:cs="Arial"/>
                <w:color w:val="000000"/>
              </w:rPr>
              <w:t xml:space="preserve">2014 </w:t>
            </w:r>
          </w:p>
        </w:tc>
      </w:tr>
      <w:tr w:rsidR="009C5AAE" w:rsidRPr="00ED38E8" w:rsidTr="008C2D73">
        <w:trPr>
          <w:trHeight w:val="370"/>
        </w:trPr>
        <w:tc>
          <w:tcPr>
            <w:tcW w:w="4017" w:type="dxa"/>
          </w:tcPr>
          <w:p w:rsidR="009C5AAE" w:rsidRPr="00ED38E8" w:rsidRDefault="009C5AAE" w:rsidP="008C2D73">
            <w:pPr>
              <w:ind w:right="47"/>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Cash </w:t>
            </w:r>
          </w:p>
        </w:tc>
        <w:tc>
          <w:tcPr>
            <w:tcW w:w="1208"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147.23%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131.12%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119.80% </w:t>
            </w:r>
          </w:p>
        </w:tc>
        <w:tc>
          <w:tcPr>
            <w:tcW w:w="116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98.09% </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r w:rsidR="009C5AAE" w:rsidRPr="00ED38E8" w:rsidTr="008C2D73">
        <w:trPr>
          <w:trHeight w:val="390"/>
        </w:trPr>
        <w:tc>
          <w:tcPr>
            <w:tcW w:w="4017" w:type="dxa"/>
          </w:tcPr>
          <w:p w:rsidR="009C5AAE" w:rsidRPr="00ED38E8" w:rsidRDefault="009C5AAE" w:rsidP="008C2D73">
            <w:pPr>
              <w:ind w:left="108"/>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In hand  </w:t>
            </w:r>
          </w:p>
        </w:tc>
        <w:tc>
          <w:tcPr>
            <w:tcW w:w="1208"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127.91%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124.92%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121.59% </w:t>
            </w:r>
          </w:p>
        </w:tc>
        <w:tc>
          <w:tcPr>
            <w:tcW w:w="116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114.98% </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r w:rsidR="009C5AAE" w:rsidRPr="00ED38E8" w:rsidTr="008C2D73">
        <w:trPr>
          <w:trHeight w:val="458"/>
        </w:trPr>
        <w:tc>
          <w:tcPr>
            <w:tcW w:w="4017" w:type="dxa"/>
          </w:tcPr>
          <w:p w:rsidR="009C5AAE" w:rsidRPr="00ED38E8" w:rsidRDefault="009C5AAE" w:rsidP="008C2D73">
            <w:pPr>
              <w:ind w:left="108"/>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Balance with Bangladesh Bank and its agent  </w:t>
            </w:r>
          </w:p>
        </w:tc>
        <w:tc>
          <w:tcPr>
            <w:tcW w:w="1208"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147.24%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131.12%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119.80% </w:t>
            </w:r>
          </w:p>
        </w:tc>
        <w:tc>
          <w:tcPr>
            <w:tcW w:w="116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98.10% </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r w:rsidR="009C5AAE" w:rsidRPr="00ED38E8" w:rsidTr="008C2D73">
        <w:trPr>
          <w:trHeight w:val="385"/>
        </w:trPr>
        <w:tc>
          <w:tcPr>
            <w:tcW w:w="4017" w:type="dxa"/>
          </w:tcPr>
          <w:p w:rsidR="009C5AAE" w:rsidRPr="00ED38E8" w:rsidRDefault="009C5AAE" w:rsidP="008C2D73">
            <w:pPr>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Balance with other banks and financial institutions </w:t>
            </w:r>
          </w:p>
        </w:tc>
        <w:tc>
          <w:tcPr>
            <w:tcW w:w="1208"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191.69%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145.92%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176.38% </w:t>
            </w:r>
          </w:p>
        </w:tc>
        <w:tc>
          <w:tcPr>
            <w:tcW w:w="116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102.03% </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r w:rsidR="009C5AAE" w:rsidRPr="00ED38E8" w:rsidTr="008C2D73">
        <w:trPr>
          <w:trHeight w:val="368"/>
        </w:trPr>
        <w:tc>
          <w:tcPr>
            <w:tcW w:w="4017" w:type="dxa"/>
          </w:tcPr>
          <w:p w:rsidR="009C5AAE" w:rsidRPr="00ED38E8" w:rsidRDefault="009C5AAE" w:rsidP="008C2D73">
            <w:pPr>
              <w:ind w:left="108"/>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Inside Bangladesh  </w:t>
            </w:r>
          </w:p>
        </w:tc>
        <w:tc>
          <w:tcPr>
            <w:tcW w:w="1208"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191.69%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145.92%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176.38% </w:t>
            </w:r>
          </w:p>
        </w:tc>
        <w:tc>
          <w:tcPr>
            <w:tcW w:w="116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102.03% </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r w:rsidR="009C5AAE" w:rsidRPr="00ED38E8" w:rsidTr="008C2D73">
        <w:trPr>
          <w:trHeight w:val="375"/>
        </w:trPr>
        <w:tc>
          <w:tcPr>
            <w:tcW w:w="4017" w:type="dxa"/>
          </w:tcPr>
          <w:p w:rsidR="009C5AAE" w:rsidRPr="00ED38E8" w:rsidRDefault="009C5AAE" w:rsidP="008C2D73">
            <w:pPr>
              <w:ind w:left="108"/>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Outside Bangladesh  </w:t>
            </w:r>
          </w:p>
        </w:tc>
        <w:tc>
          <w:tcPr>
            <w:tcW w:w="1208" w:type="dxa"/>
          </w:tcPr>
          <w:p w:rsidR="009C5AAE" w:rsidRPr="00ED38E8" w:rsidRDefault="009C5AAE" w:rsidP="008C2D73">
            <w:pPr>
              <w:ind w:left="168"/>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165"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r w:rsidR="009C5AAE" w:rsidRPr="00ED38E8" w:rsidTr="008C2D73">
        <w:trPr>
          <w:trHeight w:val="355"/>
        </w:trPr>
        <w:tc>
          <w:tcPr>
            <w:tcW w:w="4017" w:type="dxa"/>
          </w:tcPr>
          <w:p w:rsidR="009C5AAE" w:rsidRPr="00ED38E8" w:rsidRDefault="009C5AAE" w:rsidP="008C2D73">
            <w:pPr>
              <w:ind w:right="54"/>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Money at call and short notice  </w:t>
            </w:r>
          </w:p>
        </w:tc>
        <w:tc>
          <w:tcPr>
            <w:tcW w:w="1208" w:type="dxa"/>
          </w:tcPr>
          <w:p w:rsidR="009C5AAE" w:rsidRPr="00ED38E8" w:rsidRDefault="009C5AAE" w:rsidP="008C2D73">
            <w:pPr>
              <w:ind w:left="168"/>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165"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r w:rsidR="009C5AAE" w:rsidRPr="00ED38E8" w:rsidTr="008C2D73">
        <w:trPr>
          <w:trHeight w:val="377"/>
        </w:trPr>
        <w:tc>
          <w:tcPr>
            <w:tcW w:w="4017" w:type="dxa"/>
          </w:tcPr>
          <w:p w:rsidR="009C5AAE" w:rsidRPr="00ED38E8" w:rsidRDefault="009C5AAE" w:rsidP="008C2D73">
            <w:pPr>
              <w:ind w:right="51"/>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Investments </w:t>
            </w:r>
          </w:p>
        </w:tc>
        <w:tc>
          <w:tcPr>
            <w:tcW w:w="120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1007.27%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552.83%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431.31% </w:t>
            </w:r>
          </w:p>
        </w:tc>
        <w:tc>
          <w:tcPr>
            <w:tcW w:w="116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335.14% </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r w:rsidR="009C5AAE" w:rsidRPr="00ED38E8" w:rsidTr="008C2D73">
        <w:trPr>
          <w:trHeight w:val="360"/>
        </w:trPr>
        <w:tc>
          <w:tcPr>
            <w:tcW w:w="4017" w:type="dxa"/>
          </w:tcPr>
          <w:p w:rsidR="009C5AAE" w:rsidRPr="00ED38E8" w:rsidRDefault="009C5AAE" w:rsidP="008C2D73">
            <w:pPr>
              <w:ind w:left="108"/>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Government </w:t>
            </w:r>
          </w:p>
        </w:tc>
        <w:tc>
          <w:tcPr>
            <w:tcW w:w="1208" w:type="dxa"/>
          </w:tcPr>
          <w:p w:rsidR="009C5AAE" w:rsidRPr="00ED38E8" w:rsidRDefault="009C5AAE" w:rsidP="008C2D73">
            <w:pPr>
              <w:ind w:left="168"/>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165"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r w:rsidR="009C5AAE" w:rsidRPr="00ED38E8" w:rsidTr="008C2D73">
        <w:trPr>
          <w:trHeight w:val="370"/>
        </w:trPr>
        <w:tc>
          <w:tcPr>
            <w:tcW w:w="4017" w:type="dxa"/>
          </w:tcPr>
          <w:p w:rsidR="009C5AAE" w:rsidRPr="00ED38E8" w:rsidRDefault="009C5AAE" w:rsidP="008C2D73">
            <w:pPr>
              <w:ind w:left="108"/>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Others </w:t>
            </w:r>
          </w:p>
        </w:tc>
        <w:tc>
          <w:tcPr>
            <w:tcW w:w="120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1007.27%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552.83%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393.17% </w:t>
            </w:r>
          </w:p>
        </w:tc>
        <w:tc>
          <w:tcPr>
            <w:tcW w:w="116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297.00% </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r w:rsidR="009C5AAE" w:rsidRPr="00ED38E8" w:rsidTr="008C2D73">
        <w:trPr>
          <w:trHeight w:val="390"/>
        </w:trPr>
        <w:tc>
          <w:tcPr>
            <w:tcW w:w="4017" w:type="dxa"/>
          </w:tcPr>
          <w:p w:rsidR="009C5AAE" w:rsidRPr="00ED38E8" w:rsidRDefault="009C5AAE" w:rsidP="008C2D73">
            <w:pPr>
              <w:ind w:right="53"/>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Loans and advances  </w:t>
            </w:r>
          </w:p>
        </w:tc>
        <w:tc>
          <w:tcPr>
            <w:tcW w:w="1208"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174.64%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151.97%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134.86% </w:t>
            </w:r>
          </w:p>
        </w:tc>
        <w:tc>
          <w:tcPr>
            <w:tcW w:w="116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114.97% </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r w:rsidR="009C5AAE" w:rsidRPr="00ED38E8" w:rsidTr="008C2D73">
        <w:trPr>
          <w:trHeight w:val="345"/>
        </w:trPr>
        <w:tc>
          <w:tcPr>
            <w:tcW w:w="4017" w:type="dxa"/>
          </w:tcPr>
          <w:p w:rsidR="009C5AAE" w:rsidRPr="00ED38E8" w:rsidRDefault="009C5AAE" w:rsidP="008C2D73">
            <w:pPr>
              <w:ind w:left="108"/>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Loans, cash credit, overdraft etc. </w:t>
            </w:r>
          </w:p>
        </w:tc>
        <w:tc>
          <w:tcPr>
            <w:tcW w:w="1208"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174.64%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151.97%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134.86% </w:t>
            </w:r>
          </w:p>
        </w:tc>
        <w:tc>
          <w:tcPr>
            <w:tcW w:w="116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114.97% </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r w:rsidR="009C5AAE" w:rsidRPr="00ED38E8" w:rsidTr="008C2D73">
        <w:trPr>
          <w:trHeight w:val="345"/>
        </w:trPr>
        <w:tc>
          <w:tcPr>
            <w:tcW w:w="4017" w:type="dxa"/>
          </w:tcPr>
          <w:p w:rsidR="009C5AAE" w:rsidRPr="00ED38E8" w:rsidRDefault="009C5AAE" w:rsidP="008C2D73">
            <w:pPr>
              <w:ind w:left="108"/>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Bills purchased and discounted  </w:t>
            </w:r>
          </w:p>
        </w:tc>
        <w:tc>
          <w:tcPr>
            <w:tcW w:w="1208" w:type="dxa"/>
          </w:tcPr>
          <w:p w:rsidR="009C5AAE" w:rsidRPr="00ED38E8" w:rsidRDefault="009C5AAE" w:rsidP="008C2D73">
            <w:pPr>
              <w:ind w:left="168"/>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165"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r w:rsidR="009C5AAE" w:rsidRPr="00ED38E8" w:rsidTr="008C2D73">
        <w:trPr>
          <w:trHeight w:val="390"/>
        </w:trPr>
        <w:tc>
          <w:tcPr>
            <w:tcW w:w="4017" w:type="dxa"/>
          </w:tcPr>
          <w:p w:rsidR="009C5AAE" w:rsidRPr="00ED38E8" w:rsidRDefault="009C5AAE" w:rsidP="008C2D73">
            <w:pPr>
              <w:ind w:left="108"/>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Fixed assets including land, building, furniture  </w:t>
            </w:r>
          </w:p>
        </w:tc>
        <w:tc>
          <w:tcPr>
            <w:tcW w:w="1208"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167.49%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165.34%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135.73% </w:t>
            </w:r>
          </w:p>
        </w:tc>
        <w:tc>
          <w:tcPr>
            <w:tcW w:w="116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97.84% </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r w:rsidR="009C5AAE" w:rsidRPr="00ED38E8" w:rsidTr="008C2D73">
        <w:trPr>
          <w:trHeight w:val="435"/>
        </w:trPr>
        <w:tc>
          <w:tcPr>
            <w:tcW w:w="4017" w:type="dxa"/>
          </w:tcPr>
          <w:p w:rsidR="009C5AAE" w:rsidRPr="00ED38E8" w:rsidRDefault="009C5AAE" w:rsidP="008C2D73">
            <w:pPr>
              <w:ind w:right="50"/>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Other assets  </w:t>
            </w:r>
          </w:p>
        </w:tc>
        <w:tc>
          <w:tcPr>
            <w:tcW w:w="1208"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194.47%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164.09%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190.67% </w:t>
            </w:r>
          </w:p>
        </w:tc>
        <w:tc>
          <w:tcPr>
            <w:tcW w:w="116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190.28% </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r w:rsidR="009C5AAE" w:rsidRPr="00ED38E8" w:rsidTr="008C2D73">
        <w:trPr>
          <w:trHeight w:val="465"/>
        </w:trPr>
        <w:tc>
          <w:tcPr>
            <w:tcW w:w="4017" w:type="dxa"/>
          </w:tcPr>
          <w:p w:rsidR="009C5AAE" w:rsidRPr="00ED38E8" w:rsidRDefault="009C5AAE" w:rsidP="008C2D73">
            <w:pPr>
              <w:ind w:right="47"/>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Non-banking assets  </w:t>
            </w:r>
          </w:p>
        </w:tc>
        <w:tc>
          <w:tcPr>
            <w:tcW w:w="1208" w:type="dxa"/>
          </w:tcPr>
          <w:p w:rsidR="009C5AAE" w:rsidRPr="00ED38E8" w:rsidRDefault="009C5AAE" w:rsidP="008C2D73">
            <w:pPr>
              <w:ind w:left="168"/>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165"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r w:rsidR="009C5AAE" w:rsidRPr="00ED38E8" w:rsidTr="008C2D73">
        <w:trPr>
          <w:trHeight w:val="323"/>
        </w:trPr>
        <w:tc>
          <w:tcPr>
            <w:tcW w:w="4017" w:type="dxa"/>
          </w:tcPr>
          <w:p w:rsidR="009C5AAE" w:rsidRPr="00ED38E8" w:rsidRDefault="009C5AAE" w:rsidP="008C2D73">
            <w:pPr>
              <w:ind w:right="56"/>
              <w:jc w:val="both"/>
              <w:rPr>
                <w:rFonts w:ascii="Arial" w:eastAsia="Calibri" w:hAnsi="Arial" w:cs="Arial"/>
                <w:color w:val="000000" w:themeColor="text1"/>
                <w:sz w:val="18"/>
                <w:szCs w:val="18"/>
              </w:rPr>
            </w:pPr>
            <w:r w:rsidRPr="00ED38E8">
              <w:rPr>
                <w:rFonts w:ascii="Arial" w:eastAsia="Calibri" w:hAnsi="Arial" w:cs="Arial"/>
                <w:color w:val="000000" w:themeColor="text1"/>
                <w:sz w:val="18"/>
                <w:szCs w:val="18"/>
              </w:rPr>
              <w:t xml:space="preserve">Total Assets  </w:t>
            </w:r>
          </w:p>
        </w:tc>
        <w:tc>
          <w:tcPr>
            <w:tcW w:w="1208"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189.74%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157.27% </w:t>
            </w:r>
          </w:p>
        </w:tc>
        <w:tc>
          <w:tcPr>
            <w:tcW w:w="1252"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145.62% </w:t>
            </w:r>
          </w:p>
        </w:tc>
        <w:tc>
          <w:tcPr>
            <w:tcW w:w="116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116.85%</w:t>
            </w:r>
          </w:p>
        </w:tc>
        <w:tc>
          <w:tcPr>
            <w:tcW w:w="124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 </w:t>
            </w:r>
          </w:p>
        </w:tc>
      </w:tr>
    </w:tbl>
    <w:p w:rsidR="009C5AAE" w:rsidRPr="00ED38E8" w:rsidRDefault="009C5AAE" w:rsidP="009C5AAE">
      <w:pPr>
        <w:spacing w:after="57" w:line="270" w:lineRule="auto"/>
        <w:ind w:right="5"/>
        <w:jc w:val="both"/>
        <w:rPr>
          <w:rFonts w:ascii="Arial" w:eastAsia="Calibri" w:hAnsi="Arial" w:cs="Arial"/>
          <w:color w:val="000000"/>
          <w:sz w:val="24"/>
        </w:rPr>
      </w:pPr>
    </w:p>
    <w:p w:rsidR="008D3161" w:rsidRDefault="009C5AAE" w:rsidP="0041387E">
      <w:pPr>
        <w:spacing w:after="57" w:line="270" w:lineRule="auto"/>
        <w:ind w:right="5"/>
        <w:jc w:val="both"/>
        <w:rPr>
          <w:rFonts w:ascii="Arial" w:eastAsia="Calibri" w:hAnsi="Arial" w:cs="Arial"/>
          <w:color w:val="000000"/>
        </w:rPr>
      </w:pPr>
      <w:r w:rsidRPr="00934F24">
        <w:rPr>
          <w:rFonts w:ascii="Arial" w:eastAsia="Calibri" w:hAnsi="Arial" w:cs="Arial"/>
          <w:color w:val="000000"/>
        </w:rPr>
        <w:t xml:space="preserve">Cash has </w:t>
      </w:r>
      <w:r>
        <w:rPr>
          <w:rFonts w:ascii="Arial" w:eastAsia="Calibri" w:hAnsi="Arial" w:cs="Arial"/>
          <w:color w:val="000000"/>
        </w:rPr>
        <w:t>grown</w:t>
      </w:r>
      <w:r w:rsidRPr="00934F24">
        <w:rPr>
          <w:rFonts w:ascii="Arial" w:eastAsia="Calibri" w:hAnsi="Arial" w:cs="Arial"/>
          <w:color w:val="000000"/>
        </w:rPr>
        <w:t xml:space="preserve"> over the duration of 2014 to 2018 except 2015 due to the growth in Cash deposits and other accounts. The causes which provoked this r</w:t>
      </w:r>
      <w:r w:rsidR="0041387E">
        <w:rPr>
          <w:rFonts w:ascii="Arial" w:eastAsia="Calibri" w:hAnsi="Arial" w:cs="Arial"/>
          <w:color w:val="000000"/>
        </w:rPr>
        <w:t>ise in the deposits were due to i</w:t>
      </w:r>
      <w:r w:rsidRPr="00934F24">
        <w:rPr>
          <w:rFonts w:ascii="Arial" w:eastAsia="Calibri" w:hAnsi="Arial" w:cs="Arial"/>
          <w:color w:val="000000"/>
        </w:rPr>
        <w:t>ncrease in the balance with other banks</w:t>
      </w:r>
      <w:r w:rsidR="0041387E">
        <w:rPr>
          <w:rFonts w:ascii="Arial" w:eastAsia="Calibri" w:hAnsi="Arial" w:cs="Arial"/>
          <w:color w:val="000000"/>
        </w:rPr>
        <w:t>, i</w:t>
      </w:r>
      <w:r w:rsidRPr="00934F24">
        <w:rPr>
          <w:rFonts w:ascii="Arial" w:eastAsia="Calibri" w:hAnsi="Arial" w:cs="Arial"/>
          <w:color w:val="000000"/>
        </w:rPr>
        <w:t>ncrease in inv</w:t>
      </w:r>
      <w:r w:rsidR="0041387E">
        <w:rPr>
          <w:rFonts w:ascii="Arial" w:eastAsia="Calibri" w:hAnsi="Arial" w:cs="Arial"/>
          <w:color w:val="000000"/>
        </w:rPr>
        <w:t>estments with increasing trend, i</w:t>
      </w:r>
      <w:r w:rsidRPr="00934F24">
        <w:rPr>
          <w:rFonts w:ascii="Arial" w:eastAsia="Calibri" w:hAnsi="Arial" w:cs="Arial"/>
          <w:color w:val="000000"/>
        </w:rPr>
        <w:t xml:space="preserve">ncrease in loans and advances with increasing trend </w:t>
      </w:r>
      <w:r w:rsidR="0041387E">
        <w:rPr>
          <w:rFonts w:ascii="Arial" w:eastAsia="Calibri" w:hAnsi="Arial" w:cs="Arial"/>
          <w:color w:val="000000"/>
        </w:rPr>
        <w:t>and i</w:t>
      </w:r>
      <w:r w:rsidRPr="00934F24">
        <w:rPr>
          <w:rFonts w:ascii="Arial" w:eastAsia="Calibri" w:hAnsi="Arial" w:cs="Arial"/>
          <w:color w:val="000000"/>
        </w:rPr>
        <w:t>ncrease in</w:t>
      </w:r>
      <w:r w:rsidR="0041387E">
        <w:rPr>
          <w:rFonts w:ascii="Arial" w:eastAsia="Calibri" w:hAnsi="Arial" w:cs="Arial"/>
          <w:color w:val="000000"/>
        </w:rPr>
        <w:t xml:space="preserve"> fixed assets from 2014 to 2018.</w:t>
      </w:r>
    </w:p>
    <w:p w:rsidR="009C5AAE" w:rsidRDefault="009C5AAE" w:rsidP="008D3161">
      <w:pPr>
        <w:spacing w:after="31" w:line="270" w:lineRule="auto"/>
        <w:ind w:right="124"/>
        <w:rPr>
          <w:rFonts w:ascii="Arial" w:eastAsia="Calibri" w:hAnsi="Arial" w:cs="Arial"/>
          <w:color w:val="000000"/>
        </w:rPr>
      </w:pPr>
      <w:proofErr w:type="gramStart"/>
      <w:r w:rsidRPr="008D3161">
        <w:rPr>
          <w:rFonts w:ascii="Arial" w:eastAsia="Calibri" w:hAnsi="Arial" w:cs="Arial"/>
          <w:color w:val="000000"/>
        </w:rPr>
        <w:t>The total overall assets of IDLC grown which indicated a positive sign.</w:t>
      </w:r>
      <w:proofErr w:type="gramEnd"/>
      <w:r w:rsidRPr="008D3161">
        <w:rPr>
          <w:rFonts w:ascii="Arial" w:eastAsia="Calibri" w:hAnsi="Arial" w:cs="Arial"/>
          <w:color w:val="000000"/>
        </w:rPr>
        <w:t xml:space="preserve">  </w:t>
      </w:r>
    </w:p>
    <w:p w:rsidR="0041387E" w:rsidRDefault="0041387E" w:rsidP="008D3161">
      <w:pPr>
        <w:spacing w:after="31" w:line="270" w:lineRule="auto"/>
        <w:ind w:right="124"/>
        <w:rPr>
          <w:rFonts w:ascii="Arial" w:eastAsia="Calibri" w:hAnsi="Arial" w:cs="Arial"/>
          <w:color w:val="000000"/>
        </w:rPr>
      </w:pPr>
    </w:p>
    <w:p w:rsidR="0041387E" w:rsidRPr="008D3161" w:rsidRDefault="0041387E" w:rsidP="008D3161">
      <w:pPr>
        <w:spacing w:after="31" w:line="270" w:lineRule="auto"/>
        <w:ind w:right="124"/>
        <w:rPr>
          <w:rFonts w:ascii="Arial" w:eastAsia="Calibri" w:hAnsi="Arial" w:cs="Arial"/>
          <w:color w:val="000000"/>
        </w:rPr>
      </w:pPr>
    </w:p>
    <w:p w:rsidR="009C5AAE" w:rsidRPr="00ED38E8" w:rsidRDefault="009C5AAE" w:rsidP="009C5AAE">
      <w:pPr>
        <w:pStyle w:val="Heading3"/>
        <w:rPr>
          <w:rFonts w:ascii="Arial" w:eastAsia="Calibri" w:hAnsi="Arial" w:cs="Arial"/>
          <w:b/>
          <w:bCs/>
          <w:color w:val="984806" w:themeColor="accent6" w:themeShade="80"/>
          <w:sz w:val="28"/>
          <w:szCs w:val="28"/>
        </w:rPr>
      </w:pPr>
    </w:p>
    <w:tbl>
      <w:tblPr>
        <w:tblW w:w="9915" w:type="dxa"/>
        <w:tblInd w:w="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89"/>
        <w:gridCol w:w="1330"/>
        <w:gridCol w:w="1246"/>
        <w:gridCol w:w="1122"/>
        <w:gridCol w:w="1085"/>
        <w:gridCol w:w="1043"/>
      </w:tblGrid>
      <w:tr w:rsidR="009C5AAE" w:rsidRPr="00ED38E8" w:rsidTr="008C2D73">
        <w:trPr>
          <w:trHeight w:val="502"/>
        </w:trPr>
        <w:tc>
          <w:tcPr>
            <w:tcW w:w="4089" w:type="dxa"/>
          </w:tcPr>
          <w:p w:rsidR="009C5AAE" w:rsidRPr="00ED38E8" w:rsidRDefault="009C5AAE" w:rsidP="008C2D73">
            <w:pPr>
              <w:pStyle w:val="Heading3"/>
              <w:jc w:val="both"/>
              <w:rPr>
                <w:rFonts w:ascii="Arial" w:eastAsia="Calibri" w:hAnsi="Arial" w:cs="Arial"/>
                <w:b/>
                <w:bCs/>
                <w:color w:val="auto"/>
                <w:sz w:val="28"/>
                <w:szCs w:val="28"/>
              </w:rPr>
            </w:pPr>
            <w:r w:rsidRPr="00ED38E8">
              <w:rPr>
                <w:rFonts w:ascii="Arial" w:eastAsia="Calibri" w:hAnsi="Arial" w:cs="Arial"/>
                <w:b/>
                <w:bCs/>
                <w:color w:val="auto"/>
                <w:sz w:val="28"/>
                <w:szCs w:val="28"/>
              </w:rPr>
              <w:t>Particulars</w:t>
            </w:r>
          </w:p>
        </w:tc>
        <w:tc>
          <w:tcPr>
            <w:tcW w:w="1330" w:type="dxa"/>
          </w:tcPr>
          <w:p w:rsidR="009C5AAE" w:rsidRPr="00ED38E8" w:rsidRDefault="009C5AAE" w:rsidP="008C2D73">
            <w:pPr>
              <w:ind w:left="221"/>
              <w:rPr>
                <w:rFonts w:ascii="Arial" w:eastAsia="Calibri" w:hAnsi="Arial" w:cs="Arial"/>
                <w:sz w:val="24"/>
              </w:rPr>
            </w:pPr>
            <w:r w:rsidRPr="00ED38E8">
              <w:rPr>
                <w:rFonts w:ascii="Arial" w:eastAsia="Calibri" w:hAnsi="Arial" w:cs="Arial"/>
              </w:rPr>
              <w:t xml:space="preserve">2018 </w:t>
            </w:r>
          </w:p>
        </w:tc>
        <w:tc>
          <w:tcPr>
            <w:tcW w:w="1246" w:type="dxa"/>
          </w:tcPr>
          <w:p w:rsidR="009C5AAE" w:rsidRPr="00ED38E8" w:rsidRDefault="009C5AAE" w:rsidP="008C2D73">
            <w:pPr>
              <w:ind w:left="163"/>
              <w:rPr>
                <w:rFonts w:ascii="Arial" w:eastAsia="Calibri" w:hAnsi="Arial" w:cs="Arial"/>
                <w:sz w:val="24"/>
              </w:rPr>
            </w:pPr>
            <w:r w:rsidRPr="00ED38E8">
              <w:rPr>
                <w:rFonts w:ascii="Arial" w:eastAsia="Calibri" w:hAnsi="Arial" w:cs="Arial"/>
              </w:rPr>
              <w:t>2017</w:t>
            </w:r>
          </w:p>
        </w:tc>
        <w:tc>
          <w:tcPr>
            <w:tcW w:w="1122" w:type="dxa"/>
          </w:tcPr>
          <w:p w:rsidR="009C5AAE" w:rsidRPr="00ED38E8" w:rsidRDefault="009C5AAE" w:rsidP="008C2D73">
            <w:pPr>
              <w:ind w:left="164"/>
              <w:rPr>
                <w:rFonts w:ascii="Arial" w:eastAsia="Calibri" w:hAnsi="Arial" w:cs="Arial"/>
                <w:sz w:val="24"/>
              </w:rPr>
            </w:pPr>
            <w:r w:rsidRPr="00ED38E8">
              <w:rPr>
                <w:rFonts w:ascii="Arial" w:eastAsia="Calibri" w:hAnsi="Arial" w:cs="Arial"/>
              </w:rPr>
              <w:t xml:space="preserve">2016 </w:t>
            </w:r>
          </w:p>
        </w:tc>
        <w:tc>
          <w:tcPr>
            <w:tcW w:w="1085" w:type="dxa"/>
          </w:tcPr>
          <w:p w:rsidR="009C5AAE" w:rsidRPr="00ED38E8" w:rsidRDefault="009C5AAE" w:rsidP="008C2D73">
            <w:pPr>
              <w:ind w:left="163"/>
              <w:rPr>
                <w:rFonts w:ascii="Arial" w:eastAsia="Calibri" w:hAnsi="Arial" w:cs="Arial"/>
                <w:sz w:val="24"/>
              </w:rPr>
            </w:pPr>
            <w:r w:rsidRPr="00ED38E8">
              <w:rPr>
                <w:rFonts w:ascii="Arial" w:eastAsia="Calibri" w:hAnsi="Arial" w:cs="Arial"/>
              </w:rPr>
              <w:t xml:space="preserve">2015 </w:t>
            </w:r>
          </w:p>
        </w:tc>
        <w:tc>
          <w:tcPr>
            <w:tcW w:w="1043" w:type="dxa"/>
          </w:tcPr>
          <w:p w:rsidR="009C5AAE" w:rsidRPr="00ED38E8" w:rsidRDefault="009C5AAE" w:rsidP="008C2D73">
            <w:pPr>
              <w:ind w:left="19"/>
              <w:rPr>
                <w:rFonts w:ascii="Arial" w:eastAsia="Calibri" w:hAnsi="Arial" w:cs="Arial"/>
                <w:sz w:val="24"/>
              </w:rPr>
            </w:pPr>
            <w:r w:rsidRPr="00ED38E8">
              <w:rPr>
                <w:rFonts w:ascii="Arial" w:eastAsia="Calibri" w:hAnsi="Arial" w:cs="Arial"/>
              </w:rPr>
              <w:t xml:space="preserve">2014 </w:t>
            </w:r>
          </w:p>
        </w:tc>
      </w:tr>
      <w:tr w:rsidR="009C5AAE" w:rsidRPr="00ED38E8" w:rsidTr="008C2D73">
        <w:trPr>
          <w:trHeight w:val="462"/>
        </w:trPr>
        <w:tc>
          <w:tcPr>
            <w:tcW w:w="4089" w:type="dxa"/>
          </w:tcPr>
          <w:p w:rsidR="009C5AAE" w:rsidRPr="00ED38E8" w:rsidRDefault="009C5AAE" w:rsidP="008C2D73">
            <w:pPr>
              <w:ind w:right="50"/>
              <w:rPr>
                <w:rFonts w:ascii="Arial" w:eastAsia="Calibri" w:hAnsi="Arial" w:cs="Arial"/>
                <w:sz w:val="20"/>
                <w:szCs w:val="20"/>
              </w:rPr>
            </w:pPr>
            <w:r w:rsidRPr="00ED38E8">
              <w:rPr>
                <w:rFonts w:ascii="Arial" w:eastAsia="Calibri" w:hAnsi="Arial" w:cs="Arial"/>
                <w:sz w:val="20"/>
                <w:szCs w:val="20"/>
              </w:rPr>
              <w:t xml:space="preserve">Liabilities </w:t>
            </w:r>
          </w:p>
        </w:tc>
        <w:tc>
          <w:tcPr>
            <w:tcW w:w="1330" w:type="dxa"/>
          </w:tcPr>
          <w:p w:rsidR="009C5AAE" w:rsidRPr="00ED38E8" w:rsidRDefault="009C5AAE" w:rsidP="008C2D73">
            <w:pPr>
              <w:ind w:left="442"/>
              <w:rPr>
                <w:rFonts w:ascii="Arial" w:eastAsia="Calibri" w:hAnsi="Arial" w:cs="Arial"/>
                <w:sz w:val="24"/>
              </w:rPr>
            </w:pPr>
            <w:r w:rsidRPr="00ED38E8">
              <w:rPr>
                <w:rFonts w:ascii="Arial" w:eastAsia="Calibri" w:hAnsi="Arial" w:cs="Arial"/>
              </w:rPr>
              <w:t xml:space="preserve"> </w:t>
            </w:r>
          </w:p>
        </w:tc>
        <w:tc>
          <w:tcPr>
            <w:tcW w:w="1246" w:type="dxa"/>
          </w:tcPr>
          <w:p w:rsidR="009C5AAE" w:rsidRPr="00ED38E8" w:rsidRDefault="009C5AAE" w:rsidP="008C2D73">
            <w:pPr>
              <w:ind w:left="384"/>
              <w:rPr>
                <w:rFonts w:ascii="Arial" w:eastAsia="Calibri" w:hAnsi="Arial" w:cs="Arial"/>
                <w:sz w:val="24"/>
              </w:rPr>
            </w:pPr>
            <w:r w:rsidRPr="00ED38E8">
              <w:rPr>
                <w:rFonts w:ascii="Arial" w:eastAsia="Calibri" w:hAnsi="Arial" w:cs="Arial"/>
              </w:rPr>
              <w:t xml:space="preserve"> </w:t>
            </w:r>
          </w:p>
        </w:tc>
        <w:tc>
          <w:tcPr>
            <w:tcW w:w="1122" w:type="dxa"/>
          </w:tcPr>
          <w:p w:rsidR="009C5AAE" w:rsidRPr="00ED38E8" w:rsidRDefault="009C5AAE" w:rsidP="008C2D73">
            <w:pPr>
              <w:ind w:left="385"/>
              <w:rPr>
                <w:rFonts w:ascii="Arial" w:eastAsia="Calibri" w:hAnsi="Arial" w:cs="Arial"/>
                <w:sz w:val="24"/>
              </w:rPr>
            </w:pPr>
            <w:r w:rsidRPr="00ED38E8">
              <w:rPr>
                <w:rFonts w:ascii="Arial" w:eastAsia="Calibri" w:hAnsi="Arial" w:cs="Arial"/>
              </w:rPr>
              <w:t xml:space="preserve"> </w:t>
            </w:r>
          </w:p>
        </w:tc>
        <w:tc>
          <w:tcPr>
            <w:tcW w:w="1085" w:type="dxa"/>
          </w:tcPr>
          <w:p w:rsidR="009C5AAE" w:rsidRPr="00ED38E8" w:rsidRDefault="009C5AAE" w:rsidP="008C2D73">
            <w:pPr>
              <w:ind w:left="384"/>
              <w:rPr>
                <w:rFonts w:ascii="Arial" w:eastAsia="Calibri" w:hAnsi="Arial" w:cs="Arial"/>
                <w:sz w:val="24"/>
              </w:rPr>
            </w:pPr>
            <w:r w:rsidRPr="00ED38E8">
              <w:rPr>
                <w:rFonts w:ascii="Arial" w:eastAsia="Calibri" w:hAnsi="Arial" w:cs="Arial"/>
              </w:rPr>
              <w:t xml:space="preserve"> </w:t>
            </w:r>
          </w:p>
        </w:tc>
        <w:tc>
          <w:tcPr>
            <w:tcW w:w="1043" w:type="dxa"/>
          </w:tcPr>
          <w:p w:rsidR="009C5AAE" w:rsidRPr="00ED38E8" w:rsidRDefault="009C5AAE" w:rsidP="008C2D73">
            <w:pPr>
              <w:ind w:left="245"/>
              <w:rPr>
                <w:rFonts w:ascii="Arial" w:eastAsia="Calibri" w:hAnsi="Arial" w:cs="Arial"/>
                <w:sz w:val="24"/>
              </w:rPr>
            </w:pPr>
            <w:r w:rsidRPr="00ED38E8">
              <w:rPr>
                <w:rFonts w:ascii="Arial" w:eastAsia="Calibri" w:hAnsi="Arial" w:cs="Arial"/>
              </w:rPr>
              <w:t xml:space="preserve"> </w:t>
            </w:r>
          </w:p>
        </w:tc>
      </w:tr>
      <w:tr w:rsidR="009C5AAE" w:rsidRPr="00ED38E8" w:rsidTr="008C2D73">
        <w:trPr>
          <w:trHeight w:val="395"/>
        </w:trPr>
        <w:tc>
          <w:tcPr>
            <w:tcW w:w="4089" w:type="dxa"/>
          </w:tcPr>
          <w:p w:rsidR="009C5AAE" w:rsidRPr="00ED38E8" w:rsidRDefault="009C5AAE" w:rsidP="008C2D73">
            <w:pPr>
              <w:ind w:left="108"/>
              <w:rPr>
                <w:rFonts w:ascii="Arial" w:eastAsia="Calibri" w:hAnsi="Arial" w:cs="Arial"/>
                <w:sz w:val="20"/>
                <w:szCs w:val="20"/>
              </w:rPr>
            </w:pPr>
            <w:r w:rsidRPr="00ED38E8">
              <w:rPr>
                <w:rFonts w:ascii="Arial" w:eastAsia="Calibri" w:hAnsi="Arial" w:cs="Arial"/>
                <w:sz w:val="20"/>
                <w:szCs w:val="20"/>
              </w:rPr>
              <w:t xml:space="preserve">Borrowings from other banks,  financial institutions   </w:t>
            </w:r>
          </w:p>
        </w:tc>
        <w:tc>
          <w:tcPr>
            <w:tcW w:w="1330" w:type="dxa"/>
          </w:tcPr>
          <w:p w:rsidR="009C5AAE" w:rsidRPr="00ED38E8" w:rsidRDefault="009C5AAE" w:rsidP="008C2D73">
            <w:pPr>
              <w:ind w:left="58"/>
              <w:rPr>
                <w:rFonts w:ascii="Arial" w:eastAsia="Calibri" w:hAnsi="Arial" w:cs="Arial"/>
                <w:sz w:val="24"/>
              </w:rPr>
            </w:pPr>
            <w:r w:rsidRPr="00ED38E8">
              <w:rPr>
                <w:rFonts w:ascii="Arial" w:eastAsia="Calibri" w:hAnsi="Arial" w:cs="Arial"/>
              </w:rPr>
              <w:t xml:space="preserve">129.14% </w:t>
            </w:r>
          </w:p>
        </w:tc>
        <w:tc>
          <w:tcPr>
            <w:tcW w:w="1246"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142.33% </w:t>
            </w:r>
          </w:p>
        </w:tc>
        <w:tc>
          <w:tcPr>
            <w:tcW w:w="1122"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119.91% </w:t>
            </w:r>
          </w:p>
        </w:tc>
        <w:tc>
          <w:tcPr>
            <w:tcW w:w="1085"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104.19% </w:t>
            </w:r>
          </w:p>
        </w:tc>
        <w:tc>
          <w:tcPr>
            <w:tcW w:w="1043"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100% </w:t>
            </w:r>
          </w:p>
        </w:tc>
      </w:tr>
      <w:tr w:rsidR="009C5AAE" w:rsidRPr="00ED38E8" w:rsidTr="008C2D73">
        <w:trPr>
          <w:trHeight w:val="395"/>
        </w:trPr>
        <w:tc>
          <w:tcPr>
            <w:tcW w:w="4089" w:type="dxa"/>
          </w:tcPr>
          <w:p w:rsidR="009C5AAE" w:rsidRPr="00ED38E8" w:rsidRDefault="009C5AAE" w:rsidP="008C2D73">
            <w:pPr>
              <w:ind w:right="48"/>
              <w:rPr>
                <w:rFonts w:ascii="Arial" w:eastAsia="Calibri" w:hAnsi="Arial" w:cs="Arial"/>
                <w:sz w:val="20"/>
                <w:szCs w:val="20"/>
              </w:rPr>
            </w:pPr>
            <w:r w:rsidRPr="00ED38E8">
              <w:rPr>
                <w:rFonts w:ascii="Arial" w:eastAsia="Calibri" w:hAnsi="Arial" w:cs="Arial"/>
                <w:sz w:val="20"/>
                <w:szCs w:val="20"/>
              </w:rPr>
              <w:t xml:space="preserve">Deposits and other accounts  </w:t>
            </w:r>
          </w:p>
        </w:tc>
        <w:tc>
          <w:tcPr>
            <w:tcW w:w="1330" w:type="dxa"/>
          </w:tcPr>
          <w:p w:rsidR="009C5AAE" w:rsidRPr="00ED38E8" w:rsidRDefault="009C5AAE" w:rsidP="008C2D73">
            <w:pPr>
              <w:ind w:left="58"/>
              <w:rPr>
                <w:rFonts w:ascii="Arial" w:eastAsia="Calibri" w:hAnsi="Arial" w:cs="Arial"/>
                <w:sz w:val="24"/>
              </w:rPr>
            </w:pPr>
            <w:r w:rsidRPr="00ED38E8">
              <w:rPr>
                <w:rFonts w:ascii="Arial" w:eastAsia="Calibri" w:hAnsi="Arial" w:cs="Arial"/>
              </w:rPr>
              <w:t xml:space="preserve">205.69% </w:t>
            </w:r>
          </w:p>
        </w:tc>
        <w:tc>
          <w:tcPr>
            <w:tcW w:w="1246"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163.39% </w:t>
            </w:r>
          </w:p>
        </w:tc>
        <w:tc>
          <w:tcPr>
            <w:tcW w:w="1122"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157.76% </w:t>
            </w:r>
          </w:p>
        </w:tc>
        <w:tc>
          <w:tcPr>
            <w:tcW w:w="1085"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121.23% </w:t>
            </w:r>
          </w:p>
        </w:tc>
        <w:tc>
          <w:tcPr>
            <w:tcW w:w="1043"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100% </w:t>
            </w:r>
          </w:p>
        </w:tc>
      </w:tr>
      <w:tr w:rsidR="009C5AAE" w:rsidRPr="00ED38E8" w:rsidTr="008C2D73">
        <w:trPr>
          <w:trHeight w:val="467"/>
        </w:trPr>
        <w:tc>
          <w:tcPr>
            <w:tcW w:w="4089" w:type="dxa"/>
          </w:tcPr>
          <w:p w:rsidR="009C5AAE" w:rsidRPr="00ED38E8" w:rsidRDefault="009C5AAE" w:rsidP="008C2D73">
            <w:pPr>
              <w:ind w:left="108"/>
              <w:rPr>
                <w:rFonts w:ascii="Arial" w:eastAsia="Calibri" w:hAnsi="Arial" w:cs="Arial"/>
                <w:sz w:val="20"/>
                <w:szCs w:val="20"/>
              </w:rPr>
            </w:pPr>
            <w:r w:rsidRPr="00ED38E8">
              <w:rPr>
                <w:rFonts w:ascii="Arial" w:eastAsia="Calibri" w:hAnsi="Arial" w:cs="Arial"/>
                <w:sz w:val="20"/>
                <w:szCs w:val="20"/>
              </w:rPr>
              <w:t xml:space="preserve">Current accounts and other accounts etc. </w:t>
            </w:r>
          </w:p>
        </w:tc>
        <w:tc>
          <w:tcPr>
            <w:tcW w:w="1330" w:type="dxa"/>
          </w:tcPr>
          <w:p w:rsidR="009C5AAE" w:rsidRPr="00ED38E8" w:rsidRDefault="009C5AAE" w:rsidP="008C2D73">
            <w:pPr>
              <w:ind w:left="168"/>
              <w:rPr>
                <w:rFonts w:ascii="Arial" w:eastAsia="Calibri" w:hAnsi="Arial" w:cs="Arial"/>
                <w:sz w:val="24"/>
              </w:rPr>
            </w:pPr>
            <w:r w:rsidRPr="00ED38E8">
              <w:rPr>
                <w:rFonts w:ascii="Arial" w:eastAsia="Calibri" w:hAnsi="Arial" w:cs="Arial"/>
              </w:rPr>
              <w:t xml:space="preserve">0.00% </w:t>
            </w:r>
          </w:p>
        </w:tc>
        <w:tc>
          <w:tcPr>
            <w:tcW w:w="1246" w:type="dxa"/>
          </w:tcPr>
          <w:p w:rsidR="009C5AAE" w:rsidRPr="00ED38E8" w:rsidRDefault="009C5AAE" w:rsidP="008C2D73">
            <w:pPr>
              <w:ind w:left="110"/>
              <w:rPr>
                <w:rFonts w:ascii="Arial" w:eastAsia="Calibri" w:hAnsi="Arial" w:cs="Arial"/>
                <w:sz w:val="24"/>
              </w:rPr>
            </w:pPr>
            <w:r w:rsidRPr="00ED38E8">
              <w:rPr>
                <w:rFonts w:ascii="Arial" w:eastAsia="Calibri" w:hAnsi="Arial" w:cs="Arial"/>
              </w:rPr>
              <w:t xml:space="preserve">0.00% </w:t>
            </w:r>
          </w:p>
        </w:tc>
        <w:tc>
          <w:tcPr>
            <w:tcW w:w="1122" w:type="dxa"/>
          </w:tcPr>
          <w:p w:rsidR="009C5AAE" w:rsidRPr="00ED38E8" w:rsidRDefault="009C5AAE" w:rsidP="008C2D73">
            <w:pPr>
              <w:ind w:left="110"/>
              <w:rPr>
                <w:rFonts w:ascii="Arial" w:eastAsia="Calibri" w:hAnsi="Arial" w:cs="Arial"/>
                <w:sz w:val="24"/>
              </w:rPr>
            </w:pPr>
            <w:r w:rsidRPr="00ED38E8">
              <w:rPr>
                <w:rFonts w:ascii="Arial" w:eastAsia="Calibri" w:hAnsi="Arial" w:cs="Arial"/>
              </w:rPr>
              <w:t xml:space="preserve">0.00% </w:t>
            </w:r>
          </w:p>
        </w:tc>
        <w:tc>
          <w:tcPr>
            <w:tcW w:w="1085" w:type="dxa"/>
          </w:tcPr>
          <w:p w:rsidR="009C5AAE" w:rsidRPr="00ED38E8" w:rsidRDefault="009C5AAE" w:rsidP="008C2D73">
            <w:pPr>
              <w:ind w:left="110"/>
              <w:rPr>
                <w:rFonts w:ascii="Arial" w:eastAsia="Calibri" w:hAnsi="Arial" w:cs="Arial"/>
                <w:sz w:val="24"/>
              </w:rPr>
            </w:pPr>
            <w:r w:rsidRPr="00ED38E8">
              <w:rPr>
                <w:rFonts w:ascii="Arial" w:eastAsia="Calibri" w:hAnsi="Arial" w:cs="Arial"/>
              </w:rPr>
              <w:t xml:space="preserve">0.00% </w:t>
            </w:r>
          </w:p>
        </w:tc>
        <w:tc>
          <w:tcPr>
            <w:tcW w:w="1043"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100% </w:t>
            </w:r>
          </w:p>
        </w:tc>
      </w:tr>
      <w:tr w:rsidR="009C5AAE" w:rsidRPr="00ED38E8" w:rsidTr="008C2D73">
        <w:trPr>
          <w:trHeight w:val="413"/>
        </w:trPr>
        <w:tc>
          <w:tcPr>
            <w:tcW w:w="4089" w:type="dxa"/>
          </w:tcPr>
          <w:p w:rsidR="009C5AAE" w:rsidRPr="00ED38E8" w:rsidRDefault="009C5AAE" w:rsidP="008C2D73">
            <w:pPr>
              <w:ind w:left="108"/>
              <w:rPr>
                <w:rFonts w:ascii="Arial" w:eastAsia="Calibri" w:hAnsi="Arial" w:cs="Arial"/>
                <w:sz w:val="20"/>
                <w:szCs w:val="20"/>
              </w:rPr>
            </w:pPr>
            <w:r w:rsidRPr="00ED38E8">
              <w:rPr>
                <w:rFonts w:ascii="Arial" w:eastAsia="Calibri" w:hAnsi="Arial" w:cs="Arial"/>
                <w:sz w:val="20"/>
                <w:szCs w:val="20"/>
              </w:rPr>
              <w:t xml:space="preserve">Bills payable  </w:t>
            </w:r>
          </w:p>
        </w:tc>
        <w:tc>
          <w:tcPr>
            <w:tcW w:w="1330" w:type="dxa"/>
          </w:tcPr>
          <w:p w:rsidR="009C5AAE" w:rsidRPr="00ED38E8" w:rsidRDefault="009C5AAE" w:rsidP="008C2D73">
            <w:pPr>
              <w:ind w:left="168"/>
              <w:rPr>
                <w:rFonts w:ascii="Arial" w:eastAsia="Calibri" w:hAnsi="Arial" w:cs="Arial"/>
                <w:sz w:val="24"/>
              </w:rPr>
            </w:pPr>
            <w:r w:rsidRPr="00ED38E8">
              <w:rPr>
                <w:rFonts w:ascii="Arial" w:eastAsia="Calibri" w:hAnsi="Arial" w:cs="Arial"/>
              </w:rPr>
              <w:t xml:space="preserve">0.00% </w:t>
            </w:r>
          </w:p>
        </w:tc>
        <w:tc>
          <w:tcPr>
            <w:tcW w:w="1246" w:type="dxa"/>
          </w:tcPr>
          <w:p w:rsidR="009C5AAE" w:rsidRPr="00ED38E8" w:rsidRDefault="009C5AAE" w:rsidP="008C2D73">
            <w:pPr>
              <w:ind w:left="110"/>
              <w:rPr>
                <w:rFonts w:ascii="Arial" w:eastAsia="Calibri" w:hAnsi="Arial" w:cs="Arial"/>
                <w:sz w:val="24"/>
              </w:rPr>
            </w:pPr>
            <w:r w:rsidRPr="00ED38E8">
              <w:rPr>
                <w:rFonts w:ascii="Arial" w:eastAsia="Calibri" w:hAnsi="Arial" w:cs="Arial"/>
              </w:rPr>
              <w:t xml:space="preserve">0.00% </w:t>
            </w:r>
          </w:p>
        </w:tc>
        <w:tc>
          <w:tcPr>
            <w:tcW w:w="1122" w:type="dxa"/>
          </w:tcPr>
          <w:p w:rsidR="009C5AAE" w:rsidRPr="00ED38E8" w:rsidRDefault="009C5AAE" w:rsidP="008C2D73">
            <w:pPr>
              <w:ind w:left="110"/>
              <w:rPr>
                <w:rFonts w:ascii="Arial" w:eastAsia="Calibri" w:hAnsi="Arial" w:cs="Arial"/>
                <w:sz w:val="24"/>
              </w:rPr>
            </w:pPr>
            <w:r w:rsidRPr="00ED38E8">
              <w:rPr>
                <w:rFonts w:ascii="Arial" w:eastAsia="Calibri" w:hAnsi="Arial" w:cs="Arial"/>
              </w:rPr>
              <w:t xml:space="preserve">0.00% </w:t>
            </w:r>
          </w:p>
        </w:tc>
        <w:tc>
          <w:tcPr>
            <w:tcW w:w="1085" w:type="dxa"/>
          </w:tcPr>
          <w:p w:rsidR="009C5AAE" w:rsidRPr="00ED38E8" w:rsidRDefault="009C5AAE" w:rsidP="008C2D73">
            <w:pPr>
              <w:ind w:left="110"/>
              <w:rPr>
                <w:rFonts w:ascii="Arial" w:eastAsia="Calibri" w:hAnsi="Arial" w:cs="Arial"/>
                <w:sz w:val="24"/>
              </w:rPr>
            </w:pPr>
            <w:r w:rsidRPr="00ED38E8">
              <w:rPr>
                <w:rFonts w:ascii="Arial" w:eastAsia="Calibri" w:hAnsi="Arial" w:cs="Arial"/>
              </w:rPr>
              <w:t xml:space="preserve">0.00% </w:t>
            </w:r>
          </w:p>
        </w:tc>
        <w:tc>
          <w:tcPr>
            <w:tcW w:w="1043"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100% </w:t>
            </w:r>
          </w:p>
        </w:tc>
      </w:tr>
      <w:tr w:rsidR="009C5AAE" w:rsidRPr="00ED38E8" w:rsidTr="008C2D73">
        <w:trPr>
          <w:trHeight w:val="485"/>
        </w:trPr>
        <w:tc>
          <w:tcPr>
            <w:tcW w:w="4089" w:type="dxa"/>
          </w:tcPr>
          <w:p w:rsidR="009C5AAE" w:rsidRPr="00ED38E8" w:rsidRDefault="009C5AAE" w:rsidP="008C2D73">
            <w:pPr>
              <w:ind w:left="108"/>
              <w:rPr>
                <w:rFonts w:ascii="Arial" w:eastAsia="Calibri" w:hAnsi="Arial" w:cs="Arial"/>
                <w:sz w:val="20"/>
                <w:szCs w:val="20"/>
              </w:rPr>
            </w:pPr>
            <w:r w:rsidRPr="00ED38E8">
              <w:rPr>
                <w:rFonts w:ascii="Arial" w:eastAsia="Calibri" w:hAnsi="Arial" w:cs="Arial"/>
                <w:sz w:val="20"/>
                <w:szCs w:val="20"/>
              </w:rPr>
              <w:t xml:space="preserve">Savings bank deposits  </w:t>
            </w:r>
          </w:p>
        </w:tc>
        <w:tc>
          <w:tcPr>
            <w:tcW w:w="1330" w:type="dxa"/>
          </w:tcPr>
          <w:p w:rsidR="009C5AAE" w:rsidRPr="00ED38E8" w:rsidRDefault="009C5AAE" w:rsidP="008C2D73">
            <w:pPr>
              <w:ind w:left="168"/>
              <w:rPr>
                <w:rFonts w:ascii="Arial" w:eastAsia="Calibri" w:hAnsi="Arial" w:cs="Arial"/>
                <w:sz w:val="24"/>
              </w:rPr>
            </w:pPr>
            <w:r w:rsidRPr="00ED38E8">
              <w:rPr>
                <w:rFonts w:ascii="Arial" w:eastAsia="Calibri" w:hAnsi="Arial" w:cs="Arial"/>
              </w:rPr>
              <w:t xml:space="preserve">0.00% </w:t>
            </w:r>
          </w:p>
        </w:tc>
        <w:tc>
          <w:tcPr>
            <w:tcW w:w="1246" w:type="dxa"/>
          </w:tcPr>
          <w:p w:rsidR="009C5AAE" w:rsidRPr="00ED38E8" w:rsidRDefault="009C5AAE" w:rsidP="008C2D73">
            <w:pPr>
              <w:ind w:left="110"/>
              <w:rPr>
                <w:rFonts w:ascii="Arial" w:eastAsia="Calibri" w:hAnsi="Arial" w:cs="Arial"/>
                <w:sz w:val="24"/>
              </w:rPr>
            </w:pPr>
            <w:r w:rsidRPr="00ED38E8">
              <w:rPr>
                <w:rFonts w:ascii="Arial" w:eastAsia="Calibri" w:hAnsi="Arial" w:cs="Arial"/>
              </w:rPr>
              <w:t xml:space="preserve">0.00% </w:t>
            </w:r>
          </w:p>
        </w:tc>
        <w:tc>
          <w:tcPr>
            <w:tcW w:w="1122" w:type="dxa"/>
          </w:tcPr>
          <w:p w:rsidR="009C5AAE" w:rsidRPr="00ED38E8" w:rsidRDefault="009C5AAE" w:rsidP="008C2D73">
            <w:pPr>
              <w:ind w:left="110"/>
              <w:rPr>
                <w:rFonts w:ascii="Arial" w:eastAsia="Calibri" w:hAnsi="Arial" w:cs="Arial"/>
                <w:sz w:val="24"/>
              </w:rPr>
            </w:pPr>
            <w:r w:rsidRPr="00ED38E8">
              <w:rPr>
                <w:rFonts w:ascii="Arial" w:eastAsia="Calibri" w:hAnsi="Arial" w:cs="Arial"/>
              </w:rPr>
              <w:t xml:space="preserve">0.00% </w:t>
            </w:r>
          </w:p>
        </w:tc>
        <w:tc>
          <w:tcPr>
            <w:tcW w:w="1085" w:type="dxa"/>
          </w:tcPr>
          <w:p w:rsidR="009C5AAE" w:rsidRPr="00ED38E8" w:rsidRDefault="009C5AAE" w:rsidP="008C2D73">
            <w:pPr>
              <w:ind w:left="110"/>
              <w:rPr>
                <w:rFonts w:ascii="Arial" w:eastAsia="Calibri" w:hAnsi="Arial" w:cs="Arial"/>
                <w:sz w:val="24"/>
              </w:rPr>
            </w:pPr>
            <w:r w:rsidRPr="00ED38E8">
              <w:rPr>
                <w:rFonts w:ascii="Arial" w:eastAsia="Calibri" w:hAnsi="Arial" w:cs="Arial"/>
              </w:rPr>
              <w:t xml:space="preserve">0.00% </w:t>
            </w:r>
          </w:p>
        </w:tc>
        <w:tc>
          <w:tcPr>
            <w:tcW w:w="1043"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100% </w:t>
            </w:r>
          </w:p>
        </w:tc>
      </w:tr>
      <w:tr w:rsidR="009C5AAE" w:rsidRPr="00ED38E8" w:rsidTr="008C2D73">
        <w:trPr>
          <w:trHeight w:val="413"/>
        </w:trPr>
        <w:tc>
          <w:tcPr>
            <w:tcW w:w="4089" w:type="dxa"/>
          </w:tcPr>
          <w:p w:rsidR="009C5AAE" w:rsidRPr="00ED38E8" w:rsidRDefault="009C5AAE" w:rsidP="008C2D73">
            <w:pPr>
              <w:ind w:left="108"/>
              <w:rPr>
                <w:rFonts w:ascii="Arial" w:eastAsia="Calibri" w:hAnsi="Arial" w:cs="Arial"/>
                <w:sz w:val="20"/>
                <w:szCs w:val="20"/>
              </w:rPr>
            </w:pPr>
            <w:r w:rsidRPr="00ED38E8">
              <w:rPr>
                <w:rFonts w:ascii="Arial" w:eastAsia="Calibri" w:hAnsi="Arial" w:cs="Arial"/>
                <w:sz w:val="20"/>
                <w:szCs w:val="20"/>
              </w:rPr>
              <w:t xml:space="preserve">Term deposits  </w:t>
            </w:r>
          </w:p>
        </w:tc>
        <w:tc>
          <w:tcPr>
            <w:tcW w:w="1330" w:type="dxa"/>
          </w:tcPr>
          <w:p w:rsidR="009C5AAE" w:rsidRPr="00ED38E8" w:rsidRDefault="009C5AAE" w:rsidP="008C2D73">
            <w:pPr>
              <w:ind w:left="58"/>
              <w:rPr>
                <w:rFonts w:ascii="Arial" w:eastAsia="Calibri" w:hAnsi="Arial" w:cs="Arial"/>
                <w:sz w:val="24"/>
              </w:rPr>
            </w:pPr>
            <w:r w:rsidRPr="00ED38E8">
              <w:rPr>
                <w:rFonts w:ascii="Arial" w:eastAsia="Calibri" w:hAnsi="Arial" w:cs="Arial"/>
              </w:rPr>
              <w:t xml:space="preserve">205.94% </w:t>
            </w:r>
          </w:p>
        </w:tc>
        <w:tc>
          <w:tcPr>
            <w:tcW w:w="1246"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163.35% </w:t>
            </w:r>
          </w:p>
        </w:tc>
        <w:tc>
          <w:tcPr>
            <w:tcW w:w="1122"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158.41% </w:t>
            </w:r>
          </w:p>
        </w:tc>
        <w:tc>
          <w:tcPr>
            <w:tcW w:w="1085"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121.25% </w:t>
            </w:r>
          </w:p>
        </w:tc>
        <w:tc>
          <w:tcPr>
            <w:tcW w:w="1043"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100% </w:t>
            </w:r>
          </w:p>
        </w:tc>
      </w:tr>
      <w:tr w:rsidR="009C5AAE" w:rsidRPr="00ED38E8" w:rsidTr="008C2D73">
        <w:trPr>
          <w:trHeight w:val="431"/>
        </w:trPr>
        <w:tc>
          <w:tcPr>
            <w:tcW w:w="4089" w:type="dxa"/>
          </w:tcPr>
          <w:p w:rsidR="009C5AAE" w:rsidRPr="00ED38E8" w:rsidRDefault="009C5AAE" w:rsidP="008C2D73">
            <w:pPr>
              <w:ind w:left="108"/>
              <w:rPr>
                <w:rFonts w:ascii="Arial" w:eastAsia="Calibri" w:hAnsi="Arial" w:cs="Arial"/>
                <w:sz w:val="20"/>
                <w:szCs w:val="20"/>
              </w:rPr>
            </w:pPr>
            <w:r w:rsidRPr="00ED38E8">
              <w:rPr>
                <w:rFonts w:ascii="Arial" w:eastAsia="Calibri" w:hAnsi="Arial" w:cs="Arial"/>
                <w:sz w:val="20"/>
                <w:szCs w:val="20"/>
              </w:rPr>
              <w:t xml:space="preserve">Bearer certificate of deposits  </w:t>
            </w:r>
          </w:p>
        </w:tc>
        <w:tc>
          <w:tcPr>
            <w:tcW w:w="1330" w:type="dxa"/>
          </w:tcPr>
          <w:p w:rsidR="009C5AAE" w:rsidRPr="00ED38E8" w:rsidRDefault="009C5AAE" w:rsidP="008C2D73">
            <w:pPr>
              <w:ind w:left="168"/>
              <w:rPr>
                <w:rFonts w:ascii="Arial" w:eastAsia="Calibri" w:hAnsi="Arial" w:cs="Arial"/>
                <w:sz w:val="24"/>
              </w:rPr>
            </w:pPr>
            <w:r w:rsidRPr="00ED38E8">
              <w:rPr>
                <w:rFonts w:ascii="Arial" w:eastAsia="Calibri" w:hAnsi="Arial" w:cs="Arial"/>
              </w:rPr>
              <w:t xml:space="preserve">0.00% </w:t>
            </w:r>
          </w:p>
        </w:tc>
        <w:tc>
          <w:tcPr>
            <w:tcW w:w="1246" w:type="dxa"/>
          </w:tcPr>
          <w:p w:rsidR="009C5AAE" w:rsidRPr="00ED38E8" w:rsidRDefault="009C5AAE" w:rsidP="008C2D73">
            <w:pPr>
              <w:ind w:left="110"/>
              <w:rPr>
                <w:rFonts w:ascii="Arial" w:eastAsia="Calibri" w:hAnsi="Arial" w:cs="Arial"/>
                <w:sz w:val="24"/>
              </w:rPr>
            </w:pPr>
            <w:r w:rsidRPr="00ED38E8">
              <w:rPr>
                <w:rFonts w:ascii="Arial" w:eastAsia="Calibri" w:hAnsi="Arial" w:cs="Arial"/>
              </w:rPr>
              <w:t xml:space="preserve">0.00% </w:t>
            </w:r>
          </w:p>
        </w:tc>
        <w:tc>
          <w:tcPr>
            <w:tcW w:w="1122" w:type="dxa"/>
          </w:tcPr>
          <w:p w:rsidR="009C5AAE" w:rsidRPr="00ED38E8" w:rsidRDefault="009C5AAE" w:rsidP="008C2D73">
            <w:pPr>
              <w:ind w:left="110"/>
              <w:rPr>
                <w:rFonts w:ascii="Arial" w:eastAsia="Calibri" w:hAnsi="Arial" w:cs="Arial"/>
                <w:sz w:val="24"/>
              </w:rPr>
            </w:pPr>
            <w:r w:rsidRPr="00ED38E8">
              <w:rPr>
                <w:rFonts w:ascii="Arial" w:eastAsia="Calibri" w:hAnsi="Arial" w:cs="Arial"/>
              </w:rPr>
              <w:t xml:space="preserve">0.00% </w:t>
            </w:r>
          </w:p>
        </w:tc>
        <w:tc>
          <w:tcPr>
            <w:tcW w:w="1085" w:type="dxa"/>
          </w:tcPr>
          <w:p w:rsidR="009C5AAE" w:rsidRPr="00ED38E8" w:rsidRDefault="009C5AAE" w:rsidP="008C2D73">
            <w:pPr>
              <w:ind w:left="110"/>
              <w:rPr>
                <w:rFonts w:ascii="Arial" w:eastAsia="Calibri" w:hAnsi="Arial" w:cs="Arial"/>
                <w:sz w:val="24"/>
              </w:rPr>
            </w:pPr>
            <w:r w:rsidRPr="00ED38E8">
              <w:rPr>
                <w:rFonts w:ascii="Arial" w:eastAsia="Calibri" w:hAnsi="Arial" w:cs="Arial"/>
              </w:rPr>
              <w:t xml:space="preserve">0.00% </w:t>
            </w:r>
          </w:p>
        </w:tc>
        <w:tc>
          <w:tcPr>
            <w:tcW w:w="1043"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100% </w:t>
            </w:r>
          </w:p>
        </w:tc>
      </w:tr>
      <w:tr w:rsidR="009C5AAE" w:rsidRPr="00ED38E8" w:rsidTr="008C2D73">
        <w:trPr>
          <w:trHeight w:val="431"/>
        </w:trPr>
        <w:tc>
          <w:tcPr>
            <w:tcW w:w="4089" w:type="dxa"/>
          </w:tcPr>
          <w:p w:rsidR="009C5AAE" w:rsidRPr="00ED38E8" w:rsidRDefault="009C5AAE" w:rsidP="008C2D73">
            <w:pPr>
              <w:ind w:left="108"/>
              <w:rPr>
                <w:rFonts w:ascii="Arial" w:eastAsia="Calibri" w:hAnsi="Arial" w:cs="Arial"/>
                <w:sz w:val="20"/>
                <w:szCs w:val="20"/>
              </w:rPr>
            </w:pPr>
            <w:r w:rsidRPr="00ED38E8">
              <w:rPr>
                <w:rFonts w:ascii="Arial" w:eastAsia="Calibri" w:hAnsi="Arial" w:cs="Arial"/>
                <w:sz w:val="20"/>
                <w:szCs w:val="20"/>
              </w:rPr>
              <w:t xml:space="preserve">Other deposits  </w:t>
            </w:r>
          </w:p>
        </w:tc>
        <w:tc>
          <w:tcPr>
            <w:tcW w:w="1330" w:type="dxa"/>
          </w:tcPr>
          <w:p w:rsidR="009C5AAE" w:rsidRPr="00ED38E8" w:rsidRDefault="009C5AAE" w:rsidP="008C2D73">
            <w:pPr>
              <w:ind w:left="58"/>
              <w:rPr>
                <w:rFonts w:ascii="Arial" w:eastAsia="Calibri" w:hAnsi="Arial" w:cs="Arial"/>
                <w:sz w:val="24"/>
              </w:rPr>
            </w:pPr>
            <w:r w:rsidRPr="00ED38E8">
              <w:rPr>
                <w:rFonts w:ascii="Arial" w:eastAsia="Calibri" w:hAnsi="Arial" w:cs="Arial"/>
              </w:rPr>
              <w:t xml:space="preserve">199.26% </w:t>
            </w:r>
          </w:p>
        </w:tc>
        <w:tc>
          <w:tcPr>
            <w:tcW w:w="1246"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164.60% </w:t>
            </w:r>
          </w:p>
        </w:tc>
        <w:tc>
          <w:tcPr>
            <w:tcW w:w="1122"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141.15% </w:t>
            </w:r>
          </w:p>
        </w:tc>
        <w:tc>
          <w:tcPr>
            <w:tcW w:w="1085"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120.58% </w:t>
            </w:r>
          </w:p>
        </w:tc>
        <w:tc>
          <w:tcPr>
            <w:tcW w:w="1043"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100% </w:t>
            </w:r>
          </w:p>
        </w:tc>
      </w:tr>
      <w:tr w:rsidR="009C5AAE" w:rsidRPr="00ED38E8" w:rsidTr="008C2D73">
        <w:trPr>
          <w:trHeight w:val="413"/>
        </w:trPr>
        <w:tc>
          <w:tcPr>
            <w:tcW w:w="4089" w:type="dxa"/>
          </w:tcPr>
          <w:p w:rsidR="009C5AAE" w:rsidRPr="00ED38E8" w:rsidRDefault="009C5AAE" w:rsidP="008C2D73">
            <w:pPr>
              <w:ind w:right="55"/>
              <w:rPr>
                <w:rFonts w:ascii="Arial" w:eastAsia="Calibri" w:hAnsi="Arial" w:cs="Arial"/>
                <w:sz w:val="20"/>
                <w:szCs w:val="20"/>
              </w:rPr>
            </w:pPr>
            <w:r w:rsidRPr="00ED38E8">
              <w:rPr>
                <w:rFonts w:ascii="Arial" w:eastAsia="Calibri" w:hAnsi="Arial" w:cs="Arial"/>
                <w:sz w:val="20"/>
                <w:szCs w:val="20"/>
              </w:rPr>
              <w:t xml:space="preserve">Other liabilities  </w:t>
            </w:r>
          </w:p>
        </w:tc>
        <w:tc>
          <w:tcPr>
            <w:tcW w:w="1330" w:type="dxa"/>
          </w:tcPr>
          <w:p w:rsidR="009C5AAE" w:rsidRPr="00ED38E8" w:rsidRDefault="009C5AAE" w:rsidP="008C2D73">
            <w:pPr>
              <w:ind w:left="58"/>
              <w:rPr>
                <w:rFonts w:ascii="Arial" w:eastAsia="Calibri" w:hAnsi="Arial" w:cs="Arial"/>
                <w:sz w:val="24"/>
              </w:rPr>
            </w:pPr>
            <w:r w:rsidRPr="00ED38E8">
              <w:rPr>
                <w:rFonts w:ascii="Arial" w:eastAsia="Calibri" w:hAnsi="Arial" w:cs="Arial"/>
              </w:rPr>
              <w:t xml:space="preserve">158.59% </w:t>
            </w:r>
          </w:p>
        </w:tc>
        <w:tc>
          <w:tcPr>
            <w:tcW w:w="1246"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140.21% </w:t>
            </w:r>
          </w:p>
        </w:tc>
        <w:tc>
          <w:tcPr>
            <w:tcW w:w="1122"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122.92% </w:t>
            </w:r>
          </w:p>
        </w:tc>
        <w:tc>
          <w:tcPr>
            <w:tcW w:w="1085"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109.16% </w:t>
            </w:r>
          </w:p>
        </w:tc>
        <w:tc>
          <w:tcPr>
            <w:tcW w:w="1043"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100% </w:t>
            </w:r>
          </w:p>
        </w:tc>
      </w:tr>
      <w:tr w:rsidR="009C5AAE" w:rsidRPr="00ED38E8" w:rsidTr="008C2D73">
        <w:trPr>
          <w:trHeight w:val="413"/>
        </w:trPr>
        <w:tc>
          <w:tcPr>
            <w:tcW w:w="4089" w:type="dxa"/>
          </w:tcPr>
          <w:p w:rsidR="009C5AAE" w:rsidRPr="00ED38E8" w:rsidRDefault="009C5AAE" w:rsidP="008C2D73">
            <w:pPr>
              <w:ind w:right="53"/>
              <w:rPr>
                <w:rFonts w:ascii="Arial" w:eastAsia="Calibri" w:hAnsi="Arial" w:cs="Arial"/>
                <w:sz w:val="20"/>
                <w:szCs w:val="20"/>
              </w:rPr>
            </w:pPr>
            <w:r w:rsidRPr="00ED38E8">
              <w:rPr>
                <w:rFonts w:ascii="Arial" w:eastAsia="Calibri" w:hAnsi="Arial" w:cs="Arial"/>
                <w:sz w:val="20"/>
                <w:szCs w:val="20"/>
              </w:rPr>
              <w:t xml:space="preserve">Total Liabilities  </w:t>
            </w:r>
          </w:p>
        </w:tc>
        <w:tc>
          <w:tcPr>
            <w:tcW w:w="1330" w:type="dxa"/>
          </w:tcPr>
          <w:p w:rsidR="009C5AAE" w:rsidRPr="00ED38E8" w:rsidRDefault="009C5AAE" w:rsidP="008C2D73">
            <w:pPr>
              <w:ind w:left="58"/>
              <w:rPr>
                <w:rFonts w:ascii="Arial" w:eastAsia="Calibri" w:hAnsi="Arial" w:cs="Arial"/>
                <w:sz w:val="24"/>
              </w:rPr>
            </w:pPr>
            <w:r w:rsidRPr="00ED38E8">
              <w:rPr>
                <w:rFonts w:ascii="Arial" w:eastAsia="Calibri" w:hAnsi="Arial" w:cs="Arial"/>
              </w:rPr>
              <w:t xml:space="preserve">184.37% </w:t>
            </w:r>
          </w:p>
        </w:tc>
        <w:tc>
          <w:tcPr>
            <w:tcW w:w="1246"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156.15% </w:t>
            </w:r>
          </w:p>
        </w:tc>
        <w:tc>
          <w:tcPr>
            <w:tcW w:w="1122"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145.67% </w:t>
            </w:r>
          </w:p>
        </w:tc>
        <w:tc>
          <w:tcPr>
            <w:tcW w:w="1085"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116.27% </w:t>
            </w:r>
          </w:p>
        </w:tc>
        <w:tc>
          <w:tcPr>
            <w:tcW w:w="1043" w:type="dxa"/>
          </w:tcPr>
          <w:p w:rsidR="009C5AAE" w:rsidRPr="00ED38E8" w:rsidRDefault="009C5AAE" w:rsidP="008C2D73">
            <w:pPr>
              <w:rPr>
                <w:rFonts w:ascii="Arial" w:eastAsia="Calibri" w:hAnsi="Arial" w:cs="Arial"/>
                <w:sz w:val="24"/>
              </w:rPr>
            </w:pPr>
            <w:r w:rsidRPr="00ED38E8">
              <w:rPr>
                <w:rFonts w:ascii="Arial" w:eastAsia="Calibri" w:hAnsi="Arial" w:cs="Arial"/>
              </w:rPr>
              <w:t xml:space="preserve">100% </w:t>
            </w:r>
          </w:p>
        </w:tc>
      </w:tr>
      <w:tr w:rsidR="009C5AAE" w:rsidRPr="00ED38E8" w:rsidTr="008C2D73">
        <w:trPr>
          <w:trHeight w:val="413"/>
        </w:trPr>
        <w:tc>
          <w:tcPr>
            <w:tcW w:w="4089" w:type="dxa"/>
          </w:tcPr>
          <w:p w:rsidR="009C5AAE" w:rsidRPr="00ED38E8" w:rsidRDefault="009C5AAE" w:rsidP="008C2D73">
            <w:pPr>
              <w:ind w:right="48"/>
              <w:rPr>
                <w:rFonts w:ascii="Arial" w:eastAsia="Calibri" w:hAnsi="Arial" w:cs="Arial"/>
                <w:sz w:val="20"/>
                <w:szCs w:val="20"/>
              </w:rPr>
            </w:pPr>
            <w:r w:rsidRPr="00ED38E8">
              <w:rPr>
                <w:rFonts w:ascii="Arial" w:eastAsia="Calibri" w:hAnsi="Arial" w:cs="Arial"/>
                <w:sz w:val="20"/>
                <w:szCs w:val="20"/>
              </w:rPr>
              <w:t xml:space="preserve">Capital / Shareholders’ equity  </w:t>
            </w:r>
          </w:p>
        </w:tc>
        <w:tc>
          <w:tcPr>
            <w:tcW w:w="1330" w:type="dxa"/>
          </w:tcPr>
          <w:p w:rsidR="009C5AAE" w:rsidRPr="00ED38E8" w:rsidRDefault="009C5AAE" w:rsidP="008C2D73">
            <w:pPr>
              <w:ind w:left="442"/>
              <w:rPr>
                <w:rFonts w:ascii="Arial" w:eastAsia="Calibri" w:hAnsi="Arial" w:cs="Arial"/>
                <w:sz w:val="24"/>
              </w:rPr>
            </w:pPr>
            <w:r w:rsidRPr="00ED38E8">
              <w:rPr>
                <w:rFonts w:ascii="Arial" w:eastAsia="Calibri" w:hAnsi="Arial" w:cs="Arial"/>
              </w:rPr>
              <w:t xml:space="preserve"> </w:t>
            </w:r>
          </w:p>
        </w:tc>
        <w:tc>
          <w:tcPr>
            <w:tcW w:w="1246" w:type="dxa"/>
          </w:tcPr>
          <w:p w:rsidR="009C5AAE" w:rsidRPr="00ED38E8" w:rsidRDefault="009C5AAE" w:rsidP="008C2D73">
            <w:pPr>
              <w:ind w:left="384"/>
              <w:rPr>
                <w:rFonts w:ascii="Arial" w:eastAsia="Calibri" w:hAnsi="Arial" w:cs="Arial"/>
                <w:sz w:val="24"/>
              </w:rPr>
            </w:pPr>
            <w:r w:rsidRPr="00ED38E8">
              <w:rPr>
                <w:rFonts w:ascii="Arial" w:eastAsia="Calibri" w:hAnsi="Arial" w:cs="Arial"/>
              </w:rPr>
              <w:t xml:space="preserve"> </w:t>
            </w:r>
          </w:p>
        </w:tc>
        <w:tc>
          <w:tcPr>
            <w:tcW w:w="1122" w:type="dxa"/>
          </w:tcPr>
          <w:p w:rsidR="009C5AAE" w:rsidRPr="00ED38E8" w:rsidRDefault="009C5AAE" w:rsidP="008C2D73">
            <w:pPr>
              <w:ind w:left="385"/>
              <w:rPr>
                <w:rFonts w:ascii="Arial" w:eastAsia="Calibri" w:hAnsi="Arial" w:cs="Arial"/>
                <w:sz w:val="24"/>
              </w:rPr>
            </w:pPr>
            <w:r w:rsidRPr="00ED38E8">
              <w:rPr>
                <w:rFonts w:ascii="Arial" w:eastAsia="Calibri" w:hAnsi="Arial" w:cs="Arial"/>
              </w:rPr>
              <w:t xml:space="preserve"> </w:t>
            </w:r>
          </w:p>
        </w:tc>
        <w:tc>
          <w:tcPr>
            <w:tcW w:w="1085" w:type="dxa"/>
          </w:tcPr>
          <w:p w:rsidR="009C5AAE" w:rsidRPr="00ED38E8" w:rsidRDefault="009C5AAE" w:rsidP="008C2D73">
            <w:pPr>
              <w:ind w:left="384"/>
              <w:rPr>
                <w:rFonts w:ascii="Arial" w:eastAsia="Calibri" w:hAnsi="Arial" w:cs="Arial"/>
                <w:sz w:val="24"/>
              </w:rPr>
            </w:pPr>
            <w:r w:rsidRPr="00ED38E8">
              <w:rPr>
                <w:rFonts w:ascii="Arial" w:eastAsia="Calibri" w:hAnsi="Arial" w:cs="Arial"/>
              </w:rPr>
              <w:t xml:space="preserve"> </w:t>
            </w:r>
          </w:p>
        </w:tc>
        <w:tc>
          <w:tcPr>
            <w:tcW w:w="1043" w:type="dxa"/>
          </w:tcPr>
          <w:p w:rsidR="009C5AAE" w:rsidRPr="00ED38E8" w:rsidRDefault="009C5AAE" w:rsidP="008C2D73">
            <w:pPr>
              <w:ind w:left="245"/>
              <w:rPr>
                <w:rFonts w:ascii="Arial" w:eastAsia="Calibri" w:hAnsi="Arial" w:cs="Arial"/>
                <w:sz w:val="24"/>
              </w:rPr>
            </w:pPr>
            <w:r w:rsidRPr="00ED38E8">
              <w:rPr>
                <w:rFonts w:ascii="Arial" w:eastAsia="Calibri" w:hAnsi="Arial" w:cs="Arial"/>
              </w:rPr>
              <w:t xml:space="preserve"> </w:t>
            </w:r>
          </w:p>
        </w:tc>
      </w:tr>
      <w:tr w:rsidR="009C5AAE" w:rsidRPr="00ED38E8" w:rsidTr="008C2D73">
        <w:trPr>
          <w:trHeight w:val="435"/>
        </w:trPr>
        <w:tc>
          <w:tcPr>
            <w:tcW w:w="4089"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Paid-up capital  </w:t>
            </w:r>
          </w:p>
        </w:tc>
        <w:tc>
          <w:tcPr>
            <w:tcW w:w="1330" w:type="dxa"/>
          </w:tcPr>
          <w:p w:rsidR="009C5AAE" w:rsidRPr="00ED38E8" w:rsidRDefault="009C5AAE" w:rsidP="008C2D73">
            <w:pPr>
              <w:pStyle w:val="NoSpacing"/>
              <w:rPr>
                <w:rFonts w:ascii="Arial" w:hAnsi="Arial" w:cs="Arial"/>
                <w:sz w:val="24"/>
              </w:rPr>
            </w:pPr>
            <w:r w:rsidRPr="00ED38E8">
              <w:rPr>
                <w:rFonts w:ascii="Arial" w:hAnsi="Arial" w:cs="Arial"/>
              </w:rPr>
              <w:t xml:space="preserve">234.37% </w:t>
            </w:r>
          </w:p>
        </w:tc>
        <w:tc>
          <w:tcPr>
            <w:tcW w:w="1246" w:type="dxa"/>
          </w:tcPr>
          <w:p w:rsidR="009C5AAE" w:rsidRPr="00ED38E8" w:rsidRDefault="009C5AAE" w:rsidP="008C2D73">
            <w:pPr>
              <w:pStyle w:val="NoSpacing"/>
              <w:rPr>
                <w:rFonts w:ascii="Arial" w:hAnsi="Arial" w:cs="Arial"/>
                <w:sz w:val="24"/>
              </w:rPr>
            </w:pPr>
            <w:r w:rsidRPr="00ED38E8">
              <w:rPr>
                <w:rFonts w:ascii="Arial" w:hAnsi="Arial" w:cs="Arial"/>
              </w:rPr>
              <w:t xml:space="preserve">156.25% </w:t>
            </w:r>
          </w:p>
        </w:tc>
        <w:tc>
          <w:tcPr>
            <w:tcW w:w="1122" w:type="dxa"/>
          </w:tcPr>
          <w:p w:rsidR="009C5AAE" w:rsidRPr="00ED38E8" w:rsidRDefault="009C5AAE" w:rsidP="008C2D73">
            <w:pPr>
              <w:pStyle w:val="NoSpacing"/>
              <w:rPr>
                <w:rFonts w:ascii="Arial" w:hAnsi="Arial" w:cs="Arial"/>
                <w:sz w:val="24"/>
              </w:rPr>
            </w:pPr>
            <w:r w:rsidRPr="00ED38E8">
              <w:rPr>
                <w:rFonts w:ascii="Arial" w:hAnsi="Arial" w:cs="Arial"/>
              </w:rPr>
              <w:t xml:space="preserve">156.25% </w:t>
            </w:r>
          </w:p>
        </w:tc>
        <w:tc>
          <w:tcPr>
            <w:tcW w:w="1085" w:type="dxa"/>
          </w:tcPr>
          <w:p w:rsidR="009C5AAE" w:rsidRPr="00ED38E8" w:rsidRDefault="009C5AAE" w:rsidP="008C2D73">
            <w:pPr>
              <w:pStyle w:val="NoSpacing"/>
              <w:rPr>
                <w:rFonts w:ascii="Arial" w:hAnsi="Arial" w:cs="Arial"/>
                <w:sz w:val="24"/>
              </w:rPr>
            </w:pPr>
            <w:r w:rsidRPr="00ED38E8">
              <w:rPr>
                <w:rFonts w:ascii="Arial" w:hAnsi="Arial" w:cs="Arial"/>
              </w:rPr>
              <w:t xml:space="preserve">125.00% </w:t>
            </w:r>
          </w:p>
        </w:tc>
        <w:tc>
          <w:tcPr>
            <w:tcW w:w="1043" w:type="dxa"/>
          </w:tcPr>
          <w:p w:rsidR="009C5AAE" w:rsidRPr="00ED38E8" w:rsidRDefault="009C5AAE" w:rsidP="008C2D73">
            <w:pPr>
              <w:pStyle w:val="NoSpacing"/>
              <w:rPr>
                <w:rFonts w:ascii="Arial" w:hAnsi="Arial" w:cs="Arial"/>
                <w:sz w:val="24"/>
              </w:rPr>
            </w:pPr>
            <w:r w:rsidRPr="00ED38E8">
              <w:rPr>
                <w:rFonts w:ascii="Arial" w:hAnsi="Arial" w:cs="Arial"/>
              </w:rPr>
              <w:t xml:space="preserve">100% </w:t>
            </w:r>
          </w:p>
        </w:tc>
      </w:tr>
      <w:tr w:rsidR="009C5AAE" w:rsidRPr="00ED38E8" w:rsidTr="008C2D73">
        <w:trPr>
          <w:trHeight w:val="420"/>
        </w:trPr>
        <w:tc>
          <w:tcPr>
            <w:tcW w:w="4089"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Share premium  </w:t>
            </w:r>
          </w:p>
        </w:tc>
        <w:tc>
          <w:tcPr>
            <w:tcW w:w="1330" w:type="dxa"/>
          </w:tcPr>
          <w:p w:rsidR="009C5AAE" w:rsidRPr="00ED38E8" w:rsidRDefault="009C5AAE" w:rsidP="008C2D73">
            <w:pPr>
              <w:pStyle w:val="NoSpacing"/>
              <w:rPr>
                <w:rFonts w:ascii="Arial" w:hAnsi="Arial" w:cs="Arial"/>
                <w:sz w:val="24"/>
              </w:rPr>
            </w:pPr>
            <w:r w:rsidRPr="00ED38E8">
              <w:rPr>
                <w:rFonts w:ascii="Arial" w:hAnsi="Arial" w:cs="Arial"/>
              </w:rPr>
              <w:t xml:space="preserve">33616.00% </w:t>
            </w:r>
          </w:p>
        </w:tc>
        <w:tc>
          <w:tcPr>
            <w:tcW w:w="1246" w:type="dxa"/>
          </w:tcPr>
          <w:p w:rsidR="009C5AAE" w:rsidRPr="00ED38E8" w:rsidRDefault="009C5AAE" w:rsidP="008C2D73">
            <w:pPr>
              <w:pStyle w:val="NoSpacing"/>
              <w:rPr>
                <w:rFonts w:ascii="Arial" w:hAnsi="Arial" w:cs="Arial"/>
                <w:sz w:val="24"/>
              </w:rPr>
            </w:pPr>
            <w:r w:rsidRPr="00ED38E8">
              <w:rPr>
                <w:rFonts w:ascii="Arial" w:hAnsi="Arial" w:cs="Arial"/>
              </w:rPr>
              <w:t xml:space="preserve">100% </w:t>
            </w:r>
          </w:p>
        </w:tc>
        <w:tc>
          <w:tcPr>
            <w:tcW w:w="1122" w:type="dxa"/>
          </w:tcPr>
          <w:p w:rsidR="009C5AAE" w:rsidRPr="00ED38E8" w:rsidRDefault="009C5AAE" w:rsidP="008C2D73">
            <w:pPr>
              <w:pStyle w:val="NoSpacing"/>
              <w:rPr>
                <w:rFonts w:ascii="Arial" w:hAnsi="Arial" w:cs="Arial"/>
                <w:sz w:val="24"/>
              </w:rPr>
            </w:pPr>
            <w:r w:rsidRPr="00ED38E8">
              <w:rPr>
                <w:rFonts w:ascii="Arial" w:hAnsi="Arial" w:cs="Arial"/>
              </w:rPr>
              <w:t xml:space="preserve">100% </w:t>
            </w:r>
          </w:p>
        </w:tc>
        <w:tc>
          <w:tcPr>
            <w:tcW w:w="1085" w:type="dxa"/>
          </w:tcPr>
          <w:p w:rsidR="009C5AAE" w:rsidRPr="00ED38E8" w:rsidRDefault="009C5AAE" w:rsidP="008C2D73">
            <w:pPr>
              <w:pStyle w:val="NoSpacing"/>
              <w:rPr>
                <w:rFonts w:ascii="Arial" w:hAnsi="Arial" w:cs="Arial"/>
                <w:sz w:val="24"/>
              </w:rPr>
            </w:pPr>
            <w:r w:rsidRPr="00ED38E8">
              <w:rPr>
                <w:rFonts w:ascii="Arial" w:hAnsi="Arial" w:cs="Arial"/>
              </w:rPr>
              <w:t xml:space="preserve">100% </w:t>
            </w:r>
          </w:p>
        </w:tc>
        <w:tc>
          <w:tcPr>
            <w:tcW w:w="1043" w:type="dxa"/>
          </w:tcPr>
          <w:p w:rsidR="009C5AAE" w:rsidRPr="00ED38E8" w:rsidRDefault="009C5AAE" w:rsidP="008C2D73">
            <w:pPr>
              <w:pStyle w:val="NoSpacing"/>
              <w:rPr>
                <w:rFonts w:ascii="Arial" w:hAnsi="Arial" w:cs="Arial"/>
                <w:sz w:val="24"/>
              </w:rPr>
            </w:pPr>
            <w:r w:rsidRPr="00ED38E8">
              <w:rPr>
                <w:rFonts w:ascii="Arial" w:hAnsi="Arial" w:cs="Arial"/>
              </w:rPr>
              <w:t xml:space="preserve">100% </w:t>
            </w:r>
          </w:p>
        </w:tc>
      </w:tr>
      <w:tr w:rsidR="009C5AAE" w:rsidRPr="00ED38E8" w:rsidTr="008C2D73">
        <w:trPr>
          <w:trHeight w:val="480"/>
        </w:trPr>
        <w:tc>
          <w:tcPr>
            <w:tcW w:w="4089"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Statutory reserves  </w:t>
            </w:r>
          </w:p>
        </w:tc>
        <w:tc>
          <w:tcPr>
            <w:tcW w:w="1330" w:type="dxa"/>
          </w:tcPr>
          <w:p w:rsidR="009C5AAE" w:rsidRPr="00ED38E8" w:rsidRDefault="009C5AAE" w:rsidP="008C2D73">
            <w:pPr>
              <w:pStyle w:val="NoSpacing"/>
              <w:rPr>
                <w:rFonts w:ascii="Arial" w:hAnsi="Arial" w:cs="Arial"/>
                <w:sz w:val="24"/>
              </w:rPr>
            </w:pPr>
            <w:r w:rsidRPr="00ED38E8">
              <w:rPr>
                <w:rFonts w:ascii="Arial" w:hAnsi="Arial" w:cs="Arial"/>
              </w:rPr>
              <w:t xml:space="preserve">209.16% </w:t>
            </w:r>
          </w:p>
        </w:tc>
        <w:tc>
          <w:tcPr>
            <w:tcW w:w="1246" w:type="dxa"/>
          </w:tcPr>
          <w:p w:rsidR="009C5AAE" w:rsidRPr="00ED38E8" w:rsidRDefault="009C5AAE" w:rsidP="008C2D73">
            <w:pPr>
              <w:pStyle w:val="NoSpacing"/>
              <w:rPr>
                <w:rFonts w:ascii="Arial" w:hAnsi="Arial" w:cs="Arial"/>
                <w:sz w:val="24"/>
              </w:rPr>
            </w:pPr>
            <w:r w:rsidRPr="00ED38E8">
              <w:rPr>
                <w:rFonts w:ascii="Arial" w:hAnsi="Arial" w:cs="Arial"/>
              </w:rPr>
              <w:t xml:space="preserve">177.62% </w:t>
            </w:r>
          </w:p>
        </w:tc>
        <w:tc>
          <w:tcPr>
            <w:tcW w:w="1122" w:type="dxa"/>
          </w:tcPr>
          <w:p w:rsidR="009C5AAE" w:rsidRPr="00ED38E8" w:rsidRDefault="009C5AAE" w:rsidP="008C2D73">
            <w:pPr>
              <w:pStyle w:val="NoSpacing"/>
              <w:rPr>
                <w:rFonts w:ascii="Arial" w:hAnsi="Arial" w:cs="Arial"/>
                <w:sz w:val="24"/>
              </w:rPr>
            </w:pPr>
            <w:r w:rsidRPr="00ED38E8">
              <w:rPr>
                <w:rFonts w:ascii="Arial" w:hAnsi="Arial" w:cs="Arial"/>
              </w:rPr>
              <w:t xml:space="preserve">147.79% </w:t>
            </w:r>
          </w:p>
        </w:tc>
        <w:tc>
          <w:tcPr>
            <w:tcW w:w="1085" w:type="dxa"/>
          </w:tcPr>
          <w:p w:rsidR="009C5AAE" w:rsidRPr="00ED38E8" w:rsidRDefault="009C5AAE" w:rsidP="008C2D73">
            <w:pPr>
              <w:pStyle w:val="NoSpacing"/>
              <w:rPr>
                <w:rFonts w:ascii="Arial" w:hAnsi="Arial" w:cs="Arial"/>
                <w:sz w:val="24"/>
              </w:rPr>
            </w:pPr>
            <w:r w:rsidRPr="00ED38E8">
              <w:rPr>
                <w:rFonts w:ascii="Arial" w:hAnsi="Arial" w:cs="Arial"/>
              </w:rPr>
              <w:t xml:space="preserve">123.00% </w:t>
            </w:r>
          </w:p>
        </w:tc>
        <w:tc>
          <w:tcPr>
            <w:tcW w:w="1043" w:type="dxa"/>
          </w:tcPr>
          <w:p w:rsidR="009C5AAE" w:rsidRPr="00ED38E8" w:rsidRDefault="009C5AAE" w:rsidP="008C2D73">
            <w:pPr>
              <w:pStyle w:val="NoSpacing"/>
              <w:rPr>
                <w:rFonts w:ascii="Arial" w:hAnsi="Arial" w:cs="Arial"/>
                <w:sz w:val="24"/>
              </w:rPr>
            </w:pPr>
            <w:r w:rsidRPr="00ED38E8">
              <w:rPr>
                <w:rFonts w:ascii="Arial" w:hAnsi="Arial" w:cs="Arial"/>
              </w:rPr>
              <w:t xml:space="preserve">100% </w:t>
            </w:r>
          </w:p>
        </w:tc>
      </w:tr>
      <w:tr w:rsidR="009C5AAE" w:rsidRPr="00ED38E8" w:rsidTr="008C2D73">
        <w:trPr>
          <w:trHeight w:val="435"/>
        </w:trPr>
        <w:tc>
          <w:tcPr>
            <w:tcW w:w="4089"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General reserves  </w:t>
            </w:r>
          </w:p>
        </w:tc>
        <w:tc>
          <w:tcPr>
            <w:tcW w:w="1330" w:type="dxa"/>
          </w:tcPr>
          <w:p w:rsidR="009C5AAE" w:rsidRPr="00ED38E8" w:rsidRDefault="009C5AAE" w:rsidP="008C2D73">
            <w:pPr>
              <w:pStyle w:val="NoSpacing"/>
              <w:rPr>
                <w:rFonts w:ascii="Arial" w:hAnsi="Arial" w:cs="Arial"/>
                <w:sz w:val="24"/>
              </w:rPr>
            </w:pPr>
            <w:r w:rsidRPr="00ED38E8">
              <w:rPr>
                <w:rFonts w:ascii="Arial" w:hAnsi="Arial" w:cs="Arial"/>
              </w:rPr>
              <w:t xml:space="preserve">123.27% </w:t>
            </w:r>
          </w:p>
        </w:tc>
        <w:tc>
          <w:tcPr>
            <w:tcW w:w="1246" w:type="dxa"/>
          </w:tcPr>
          <w:p w:rsidR="009C5AAE" w:rsidRPr="00ED38E8" w:rsidRDefault="009C5AAE" w:rsidP="008C2D73">
            <w:pPr>
              <w:pStyle w:val="NoSpacing"/>
              <w:rPr>
                <w:rFonts w:ascii="Arial" w:hAnsi="Arial" w:cs="Arial"/>
                <w:sz w:val="24"/>
              </w:rPr>
            </w:pPr>
            <w:r w:rsidRPr="00ED38E8">
              <w:rPr>
                <w:rFonts w:ascii="Arial" w:hAnsi="Arial" w:cs="Arial"/>
              </w:rPr>
              <w:t xml:space="preserve">123.27% </w:t>
            </w:r>
          </w:p>
        </w:tc>
        <w:tc>
          <w:tcPr>
            <w:tcW w:w="1122" w:type="dxa"/>
          </w:tcPr>
          <w:p w:rsidR="009C5AAE" w:rsidRPr="00ED38E8" w:rsidRDefault="009C5AAE" w:rsidP="008C2D73">
            <w:pPr>
              <w:pStyle w:val="NoSpacing"/>
              <w:rPr>
                <w:rFonts w:ascii="Arial" w:hAnsi="Arial" w:cs="Arial"/>
                <w:sz w:val="24"/>
              </w:rPr>
            </w:pPr>
            <w:r w:rsidRPr="00ED38E8">
              <w:rPr>
                <w:rFonts w:ascii="Arial" w:hAnsi="Arial" w:cs="Arial"/>
              </w:rPr>
              <w:t xml:space="preserve">123.27% </w:t>
            </w:r>
          </w:p>
        </w:tc>
        <w:tc>
          <w:tcPr>
            <w:tcW w:w="1085" w:type="dxa"/>
          </w:tcPr>
          <w:p w:rsidR="009C5AAE" w:rsidRPr="00ED38E8" w:rsidRDefault="009C5AAE" w:rsidP="008C2D73">
            <w:pPr>
              <w:pStyle w:val="NoSpacing"/>
              <w:rPr>
                <w:rFonts w:ascii="Arial" w:hAnsi="Arial" w:cs="Arial"/>
                <w:sz w:val="24"/>
              </w:rPr>
            </w:pPr>
            <w:r w:rsidRPr="00ED38E8">
              <w:rPr>
                <w:rFonts w:ascii="Arial" w:hAnsi="Arial" w:cs="Arial"/>
              </w:rPr>
              <w:t xml:space="preserve">123.27% </w:t>
            </w:r>
          </w:p>
        </w:tc>
        <w:tc>
          <w:tcPr>
            <w:tcW w:w="1043" w:type="dxa"/>
          </w:tcPr>
          <w:p w:rsidR="009C5AAE" w:rsidRPr="00ED38E8" w:rsidRDefault="009C5AAE" w:rsidP="008C2D73">
            <w:pPr>
              <w:pStyle w:val="NoSpacing"/>
              <w:rPr>
                <w:rFonts w:ascii="Arial" w:hAnsi="Arial" w:cs="Arial"/>
                <w:sz w:val="24"/>
              </w:rPr>
            </w:pPr>
            <w:r w:rsidRPr="00ED38E8">
              <w:rPr>
                <w:rFonts w:ascii="Arial" w:hAnsi="Arial" w:cs="Arial"/>
              </w:rPr>
              <w:t xml:space="preserve">100% </w:t>
            </w:r>
          </w:p>
        </w:tc>
      </w:tr>
      <w:tr w:rsidR="009C5AAE" w:rsidRPr="00ED38E8" w:rsidTr="008C2D73">
        <w:trPr>
          <w:trHeight w:val="435"/>
        </w:trPr>
        <w:tc>
          <w:tcPr>
            <w:tcW w:w="4089"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Dividend equalization reserves  </w:t>
            </w:r>
          </w:p>
        </w:tc>
        <w:tc>
          <w:tcPr>
            <w:tcW w:w="1330" w:type="dxa"/>
          </w:tcPr>
          <w:p w:rsidR="009C5AAE" w:rsidRPr="00ED38E8" w:rsidRDefault="009C5AAE" w:rsidP="008C2D73">
            <w:pPr>
              <w:pStyle w:val="NoSpacing"/>
              <w:rPr>
                <w:rFonts w:ascii="Arial" w:hAnsi="Arial" w:cs="Arial"/>
                <w:sz w:val="24"/>
              </w:rPr>
            </w:pPr>
            <w:r w:rsidRPr="00ED38E8">
              <w:rPr>
                <w:rFonts w:ascii="Arial" w:hAnsi="Arial" w:cs="Arial"/>
              </w:rPr>
              <w:t xml:space="preserve">0.00% </w:t>
            </w:r>
          </w:p>
        </w:tc>
        <w:tc>
          <w:tcPr>
            <w:tcW w:w="1246" w:type="dxa"/>
          </w:tcPr>
          <w:p w:rsidR="009C5AAE" w:rsidRPr="00ED38E8" w:rsidRDefault="009C5AAE" w:rsidP="008C2D73">
            <w:pPr>
              <w:pStyle w:val="NoSpacing"/>
              <w:rPr>
                <w:rFonts w:ascii="Arial" w:hAnsi="Arial" w:cs="Arial"/>
                <w:sz w:val="24"/>
              </w:rPr>
            </w:pPr>
            <w:r w:rsidRPr="00ED38E8">
              <w:rPr>
                <w:rFonts w:ascii="Arial" w:hAnsi="Arial" w:cs="Arial"/>
              </w:rPr>
              <w:t xml:space="preserve">0.00% </w:t>
            </w:r>
          </w:p>
        </w:tc>
        <w:tc>
          <w:tcPr>
            <w:tcW w:w="1122" w:type="dxa"/>
          </w:tcPr>
          <w:p w:rsidR="009C5AAE" w:rsidRPr="00ED38E8" w:rsidRDefault="009C5AAE" w:rsidP="008C2D73">
            <w:pPr>
              <w:pStyle w:val="NoSpacing"/>
              <w:rPr>
                <w:rFonts w:ascii="Arial" w:hAnsi="Arial" w:cs="Arial"/>
                <w:sz w:val="24"/>
              </w:rPr>
            </w:pPr>
            <w:r w:rsidRPr="00ED38E8">
              <w:rPr>
                <w:rFonts w:ascii="Arial" w:hAnsi="Arial" w:cs="Arial"/>
              </w:rPr>
              <w:t xml:space="preserve">0.00% </w:t>
            </w:r>
          </w:p>
        </w:tc>
        <w:tc>
          <w:tcPr>
            <w:tcW w:w="1085" w:type="dxa"/>
          </w:tcPr>
          <w:p w:rsidR="009C5AAE" w:rsidRPr="00ED38E8" w:rsidRDefault="009C5AAE" w:rsidP="008C2D73">
            <w:pPr>
              <w:pStyle w:val="NoSpacing"/>
              <w:rPr>
                <w:rFonts w:ascii="Arial" w:hAnsi="Arial" w:cs="Arial"/>
                <w:sz w:val="24"/>
              </w:rPr>
            </w:pPr>
            <w:r w:rsidRPr="00ED38E8">
              <w:rPr>
                <w:rFonts w:ascii="Arial" w:hAnsi="Arial" w:cs="Arial"/>
              </w:rPr>
              <w:t xml:space="preserve">0.00% </w:t>
            </w:r>
          </w:p>
        </w:tc>
        <w:tc>
          <w:tcPr>
            <w:tcW w:w="1043" w:type="dxa"/>
          </w:tcPr>
          <w:p w:rsidR="009C5AAE" w:rsidRPr="00ED38E8" w:rsidRDefault="009C5AAE" w:rsidP="008C2D73">
            <w:pPr>
              <w:pStyle w:val="NoSpacing"/>
              <w:rPr>
                <w:rFonts w:ascii="Arial" w:hAnsi="Arial" w:cs="Arial"/>
                <w:sz w:val="24"/>
              </w:rPr>
            </w:pPr>
            <w:r w:rsidRPr="00ED38E8">
              <w:rPr>
                <w:rFonts w:ascii="Arial" w:hAnsi="Arial" w:cs="Arial"/>
              </w:rPr>
              <w:t xml:space="preserve">100% </w:t>
            </w:r>
          </w:p>
        </w:tc>
      </w:tr>
      <w:tr w:rsidR="009C5AAE" w:rsidRPr="00ED38E8" w:rsidTr="008C2D73">
        <w:trPr>
          <w:trHeight w:val="450"/>
        </w:trPr>
        <w:tc>
          <w:tcPr>
            <w:tcW w:w="4089"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Retained earnings  </w:t>
            </w:r>
          </w:p>
        </w:tc>
        <w:tc>
          <w:tcPr>
            <w:tcW w:w="1330" w:type="dxa"/>
          </w:tcPr>
          <w:p w:rsidR="009C5AAE" w:rsidRPr="00ED38E8" w:rsidRDefault="009C5AAE" w:rsidP="008C2D73">
            <w:pPr>
              <w:pStyle w:val="NoSpacing"/>
              <w:rPr>
                <w:rFonts w:ascii="Arial" w:hAnsi="Arial" w:cs="Arial"/>
                <w:sz w:val="24"/>
              </w:rPr>
            </w:pPr>
            <w:r w:rsidRPr="00ED38E8">
              <w:rPr>
                <w:rFonts w:ascii="Arial" w:hAnsi="Arial" w:cs="Arial"/>
              </w:rPr>
              <w:t xml:space="preserve">234.03% </w:t>
            </w:r>
          </w:p>
        </w:tc>
        <w:tc>
          <w:tcPr>
            <w:tcW w:w="1246" w:type="dxa"/>
          </w:tcPr>
          <w:p w:rsidR="009C5AAE" w:rsidRPr="00ED38E8" w:rsidRDefault="009C5AAE" w:rsidP="008C2D73">
            <w:pPr>
              <w:pStyle w:val="NoSpacing"/>
              <w:rPr>
                <w:rFonts w:ascii="Arial" w:hAnsi="Arial" w:cs="Arial"/>
                <w:sz w:val="24"/>
              </w:rPr>
            </w:pPr>
            <w:r w:rsidRPr="00ED38E8">
              <w:rPr>
                <w:rFonts w:ascii="Arial" w:hAnsi="Arial" w:cs="Arial"/>
              </w:rPr>
              <w:t xml:space="preserve">190.12% </w:t>
            </w:r>
          </w:p>
        </w:tc>
        <w:tc>
          <w:tcPr>
            <w:tcW w:w="1122" w:type="dxa"/>
          </w:tcPr>
          <w:p w:rsidR="009C5AAE" w:rsidRPr="00ED38E8" w:rsidRDefault="009C5AAE" w:rsidP="008C2D73">
            <w:pPr>
              <w:pStyle w:val="NoSpacing"/>
              <w:rPr>
                <w:rFonts w:ascii="Arial" w:hAnsi="Arial" w:cs="Arial"/>
                <w:sz w:val="24"/>
              </w:rPr>
            </w:pPr>
            <w:r w:rsidRPr="00ED38E8">
              <w:rPr>
                <w:rFonts w:ascii="Arial" w:hAnsi="Arial" w:cs="Arial"/>
              </w:rPr>
              <w:t xml:space="preserve">144.99% </w:t>
            </w:r>
          </w:p>
        </w:tc>
        <w:tc>
          <w:tcPr>
            <w:tcW w:w="1085" w:type="dxa"/>
          </w:tcPr>
          <w:p w:rsidR="009C5AAE" w:rsidRPr="00ED38E8" w:rsidRDefault="009C5AAE" w:rsidP="008C2D73">
            <w:pPr>
              <w:pStyle w:val="NoSpacing"/>
              <w:rPr>
                <w:rFonts w:ascii="Arial" w:hAnsi="Arial" w:cs="Arial"/>
                <w:sz w:val="24"/>
              </w:rPr>
            </w:pPr>
            <w:r w:rsidRPr="00ED38E8">
              <w:rPr>
                <w:rFonts w:ascii="Arial" w:hAnsi="Arial" w:cs="Arial"/>
              </w:rPr>
              <w:t xml:space="preserve">118.18% </w:t>
            </w:r>
          </w:p>
        </w:tc>
        <w:tc>
          <w:tcPr>
            <w:tcW w:w="1043" w:type="dxa"/>
          </w:tcPr>
          <w:p w:rsidR="009C5AAE" w:rsidRPr="00ED38E8" w:rsidRDefault="009C5AAE" w:rsidP="008C2D73">
            <w:pPr>
              <w:pStyle w:val="NoSpacing"/>
              <w:rPr>
                <w:rFonts w:ascii="Arial" w:hAnsi="Arial" w:cs="Arial"/>
                <w:sz w:val="24"/>
              </w:rPr>
            </w:pPr>
            <w:r w:rsidRPr="00ED38E8">
              <w:rPr>
                <w:rFonts w:ascii="Arial" w:hAnsi="Arial" w:cs="Arial"/>
              </w:rPr>
              <w:t xml:space="preserve">100% </w:t>
            </w:r>
          </w:p>
        </w:tc>
      </w:tr>
      <w:tr w:rsidR="009C5AAE" w:rsidRPr="00ED38E8" w:rsidTr="008C2D73">
        <w:trPr>
          <w:trHeight w:val="435"/>
        </w:trPr>
        <w:tc>
          <w:tcPr>
            <w:tcW w:w="4089"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Total equity attributable to equity holders of  com. </w:t>
            </w:r>
          </w:p>
        </w:tc>
        <w:tc>
          <w:tcPr>
            <w:tcW w:w="1330" w:type="dxa"/>
          </w:tcPr>
          <w:p w:rsidR="009C5AAE" w:rsidRPr="00ED38E8" w:rsidRDefault="009C5AAE" w:rsidP="008C2D73">
            <w:pPr>
              <w:pStyle w:val="NoSpacing"/>
              <w:rPr>
                <w:rFonts w:ascii="Arial" w:hAnsi="Arial" w:cs="Arial"/>
                <w:sz w:val="24"/>
              </w:rPr>
            </w:pPr>
            <w:r w:rsidRPr="00ED38E8">
              <w:rPr>
                <w:rFonts w:ascii="Arial" w:hAnsi="Arial" w:cs="Arial"/>
              </w:rPr>
              <w:t xml:space="preserve">234.91% </w:t>
            </w:r>
          </w:p>
        </w:tc>
        <w:tc>
          <w:tcPr>
            <w:tcW w:w="1246" w:type="dxa"/>
          </w:tcPr>
          <w:p w:rsidR="009C5AAE" w:rsidRPr="00ED38E8" w:rsidRDefault="009C5AAE" w:rsidP="008C2D73">
            <w:pPr>
              <w:pStyle w:val="NoSpacing"/>
              <w:rPr>
                <w:rFonts w:ascii="Arial" w:hAnsi="Arial" w:cs="Arial"/>
                <w:sz w:val="24"/>
              </w:rPr>
            </w:pPr>
            <w:r w:rsidRPr="00ED38E8">
              <w:rPr>
                <w:rFonts w:ascii="Arial" w:hAnsi="Arial" w:cs="Arial"/>
              </w:rPr>
              <w:t xml:space="preserve">166.66% </w:t>
            </w:r>
          </w:p>
        </w:tc>
        <w:tc>
          <w:tcPr>
            <w:tcW w:w="1122" w:type="dxa"/>
          </w:tcPr>
          <w:p w:rsidR="009C5AAE" w:rsidRPr="00ED38E8" w:rsidRDefault="009C5AAE" w:rsidP="008C2D73">
            <w:pPr>
              <w:pStyle w:val="NoSpacing"/>
              <w:rPr>
                <w:rFonts w:ascii="Arial" w:hAnsi="Arial" w:cs="Arial"/>
                <w:sz w:val="24"/>
              </w:rPr>
            </w:pPr>
            <w:r w:rsidRPr="00ED38E8">
              <w:rPr>
                <w:rFonts w:ascii="Arial" w:hAnsi="Arial" w:cs="Arial"/>
              </w:rPr>
              <w:t xml:space="preserve">145.19% </w:t>
            </w:r>
          </w:p>
        </w:tc>
        <w:tc>
          <w:tcPr>
            <w:tcW w:w="1085" w:type="dxa"/>
          </w:tcPr>
          <w:p w:rsidR="009C5AAE" w:rsidRPr="00ED38E8" w:rsidRDefault="009C5AAE" w:rsidP="008C2D73">
            <w:pPr>
              <w:pStyle w:val="NoSpacing"/>
              <w:rPr>
                <w:rFonts w:ascii="Arial" w:hAnsi="Arial" w:cs="Arial"/>
                <w:sz w:val="24"/>
              </w:rPr>
            </w:pPr>
            <w:r w:rsidRPr="00ED38E8">
              <w:rPr>
                <w:rFonts w:ascii="Arial" w:hAnsi="Arial" w:cs="Arial"/>
              </w:rPr>
              <w:t xml:space="preserve">121.73% </w:t>
            </w:r>
          </w:p>
        </w:tc>
        <w:tc>
          <w:tcPr>
            <w:tcW w:w="1043" w:type="dxa"/>
          </w:tcPr>
          <w:p w:rsidR="009C5AAE" w:rsidRPr="00ED38E8" w:rsidRDefault="009C5AAE" w:rsidP="008C2D73">
            <w:pPr>
              <w:pStyle w:val="NoSpacing"/>
              <w:rPr>
                <w:rFonts w:ascii="Arial" w:hAnsi="Arial" w:cs="Arial"/>
                <w:sz w:val="24"/>
              </w:rPr>
            </w:pPr>
            <w:r w:rsidRPr="00ED38E8">
              <w:rPr>
                <w:rFonts w:ascii="Arial" w:hAnsi="Arial" w:cs="Arial"/>
              </w:rPr>
              <w:t xml:space="preserve">100% </w:t>
            </w:r>
          </w:p>
        </w:tc>
      </w:tr>
      <w:tr w:rsidR="009C5AAE" w:rsidRPr="00ED38E8" w:rsidTr="008C2D73">
        <w:trPr>
          <w:trHeight w:val="435"/>
        </w:trPr>
        <w:tc>
          <w:tcPr>
            <w:tcW w:w="4089"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Non-controlling interest  </w:t>
            </w:r>
          </w:p>
        </w:tc>
        <w:tc>
          <w:tcPr>
            <w:tcW w:w="1330" w:type="dxa"/>
          </w:tcPr>
          <w:p w:rsidR="009C5AAE" w:rsidRPr="00ED38E8" w:rsidRDefault="009C5AAE" w:rsidP="008C2D73">
            <w:pPr>
              <w:pStyle w:val="NoSpacing"/>
              <w:rPr>
                <w:rFonts w:ascii="Arial" w:hAnsi="Arial" w:cs="Arial"/>
                <w:sz w:val="24"/>
              </w:rPr>
            </w:pPr>
            <w:r w:rsidRPr="00ED38E8">
              <w:rPr>
                <w:rFonts w:ascii="Arial" w:hAnsi="Arial" w:cs="Arial"/>
              </w:rPr>
              <w:t xml:space="preserve">161.87% </w:t>
            </w:r>
          </w:p>
        </w:tc>
        <w:tc>
          <w:tcPr>
            <w:tcW w:w="1246" w:type="dxa"/>
          </w:tcPr>
          <w:p w:rsidR="009C5AAE" w:rsidRPr="00ED38E8" w:rsidRDefault="009C5AAE" w:rsidP="008C2D73">
            <w:pPr>
              <w:pStyle w:val="NoSpacing"/>
              <w:rPr>
                <w:rFonts w:ascii="Arial" w:hAnsi="Arial" w:cs="Arial"/>
                <w:sz w:val="24"/>
              </w:rPr>
            </w:pPr>
            <w:r w:rsidRPr="00ED38E8">
              <w:rPr>
                <w:rFonts w:ascii="Arial" w:hAnsi="Arial" w:cs="Arial"/>
              </w:rPr>
              <w:t xml:space="preserve">128.64% </w:t>
            </w:r>
          </w:p>
        </w:tc>
        <w:tc>
          <w:tcPr>
            <w:tcW w:w="1122" w:type="dxa"/>
          </w:tcPr>
          <w:p w:rsidR="009C5AAE" w:rsidRPr="00ED38E8" w:rsidRDefault="009C5AAE" w:rsidP="008C2D73">
            <w:pPr>
              <w:pStyle w:val="NoSpacing"/>
              <w:rPr>
                <w:rFonts w:ascii="Arial" w:hAnsi="Arial" w:cs="Arial"/>
                <w:sz w:val="24"/>
              </w:rPr>
            </w:pPr>
            <w:r w:rsidRPr="00ED38E8">
              <w:rPr>
                <w:rFonts w:ascii="Arial" w:hAnsi="Arial" w:cs="Arial"/>
              </w:rPr>
              <w:t xml:space="preserve">116.77% </w:t>
            </w:r>
          </w:p>
        </w:tc>
        <w:tc>
          <w:tcPr>
            <w:tcW w:w="1085" w:type="dxa"/>
          </w:tcPr>
          <w:p w:rsidR="009C5AAE" w:rsidRPr="00ED38E8" w:rsidRDefault="009C5AAE" w:rsidP="008C2D73">
            <w:pPr>
              <w:pStyle w:val="NoSpacing"/>
              <w:rPr>
                <w:rFonts w:ascii="Arial" w:hAnsi="Arial" w:cs="Arial"/>
                <w:sz w:val="24"/>
              </w:rPr>
            </w:pPr>
            <w:r w:rsidRPr="00ED38E8">
              <w:rPr>
                <w:rFonts w:ascii="Arial" w:hAnsi="Arial" w:cs="Arial"/>
              </w:rPr>
              <w:t xml:space="preserve">105.39% </w:t>
            </w:r>
          </w:p>
        </w:tc>
        <w:tc>
          <w:tcPr>
            <w:tcW w:w="1043" w:type="dxa"/>
          </w:tcPr>
          <w:p w:rsidR="009C5AAE" w:rsidRPr="00ED38E8" w:rsidRDefault="009C5AAE" w:rsidP="008C2D73">
            <w:pPr>
              <w:pStyle w:val="NoSpacing"/>
              <w:rPr>
                <w:rFonts w:ascii="Arial" w:hAnsi="Arial" w:cs="Arial"/>
                <w:sz w:val="24"/>
              </w:rPr>
            </w:pPr>
            <w:r w:rsidRPr="00ED38E8">
              <w:rPr>
                <w:rFonts w:ascii="Arial" w:hAnsi="Arial" w:cs="Arial"/>
              </w:rPr>
              <w:t xml:space="preserve">100% </w:t>
            </w:r>
          </w:p>
        </w:tc>
      </w:tr>
      <w:tr w:rsidR="009C5AAE" w:rsidRPr="00ED38E8" w:rsidTr="008C2D73">
        <w:trPr>
          <w:trHeight w:val="450"/>
        </w:trPr>
        <w:tc>
          <w:tcPr>
            <w:tcW w:w="4089"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Total liabilities and Shareholders’ equity  </w:t>
            </w:r>
          </w:p>
        </w:tc>
        <w:tc>
          <w:tcPr>
            <w:tcW w:w="1330" w:type="dxa"/>
          </w:tcPr>
          <w:p w:rsidR="009C5AAE" w:rsidRPr="00ED38E8" w:rsidRDefault="009C5AAE" w:rsidP="008C2D73">
            <w:pPr>
              <w:pStyle w:val="NoSpacing"/>
              <w:rPr>
                <w:rFonts w:ascii="Arial" w:hAnsi="Arial" w:cs="Arial"/>
                <w:sz w:val="24"/>
              </w:rPr>
            </w:pPr>
            <w:r w:rsidRPr="00ED38E8">
              <w:rPr>
                <w:rFonts w:ascii="Arial" w:hAnsi="Arial" w:cs="Arial"/>
              </w:rPr>
              <w:t xml:space="preserve">189.74% </w:t>
            </w:r>
          </w:p>
        </w:tc>
        <w:tc>
          <w:tcPr>
            <w:tcW w:w="1246" w:type="dxa"/>
          </w:tcPr>
          <w:p w:rsidR="009C5AAE" w:rsidRPr="00ED38E8" w:rsidRDefault="009C5AAE" w:rsidP="008C2D73">
            <w:pPr>
              <w:pStyle w:val="NoSpacing"/>
              <w:rPr>
                <w:rFonts w:ascii="Arial" w:hAnsi="Arial" w:cs="Arial"/>
                <w:sz w:val="24"/>
              </w:rPr>
            </w:pPr>
            <w:r w:rsidRPr="00ED38E8">
              <w:rPr>
                <w:rFonts w:ascii="Arial" w:hAnsi="Arial" w:cs="Arial"/>
              </w:rPr>
              <w:t xml:space="preserve">157.27% </w:t>
            </w:r>
          </w:p>
        </w:tc>
        <w:tc>
          <w:tcPr>
            <w:tcW w:w="1122" w:type="dxa"/>
          </w:tcPr>
          <w:p w:rsidR="009C5AAE" w:rsidRPr="00ED38E8" w:rsidRDefault="009C5AAE" w:rsidP="008C2D73">
            <w:pPr>
              <w:pStyle w:val="NoSpacing"/>
              <w:rPr>
                <w:rFonts w:ascii="Arial" w:hAnsi="Arial" w:cs="Arial"/>
                <w:sz w:val="24"/>
              </w:rPr>
            </w:pPr>
            <w:r w:rsidRPr="00ED38E8">
              <w:rPr>
                <w:rFonts w:ascii="Arial" w:hAnsi="Arial" w:cs="Arial"/>
              </w:rPr>
              <w:t xml:space="preserve">145.62% </w:t>
            </w:r>
          </w:p>
        </w:tc>
        <w:tc>
          <w:tcPr>
            <w:tcW w:w="1085" w:type="dxa"/>
          </w:tcPr>
          <w:p w:rsidR="009C5AAE" w:rsidRPr="00ED38E8" w:rsidRDefault="009C5AAE" w:rsidP="008C2D73">
            <w:pPr>
              <w:pStyle w:val="NoSpacing"/>
              <w:rPr>
                <w:rFonts w:ascii="Arial" w:hAnsi="Arial" w:cs="Arial"/>
                <w:sz w:val="24"/>
              </w:rPr>
            </w:pPr>
            <w:r w:rsidRPr="00ED38E8">
              <w:rPr>
                <w:rFonts w:ascii="Arial" w:hAnsi="Arial" w:cs="Arial"/>
              </w:rPr>
              <w:t xml:space="preserve">116.85% </w:t>
            </w:r>
          </w:p>
        </w:tc>
        <w:tc>
          <w:tcPr>
            <w:tcW w:w="1043" w:type="dxa"/>
          </w:tcPr>
          <w:p w:rsidR="009C5AAE" w:rsidRPr="00ED38E8" w:rsidRDefault="009C5AAE" w:rsidP="008C2D73">
            <w:pPr>
              <w:pStyle w:val="NoSpacing"/>
              <w:rPr>
                <w:rFonts w:ascii="Arial" w:hAnsi="Arial" w:cs="Arial"/>
                <w:sz w:val="24"/>
              </w:rPr>
            </w:pPr>
            <w:r w:rsidRPr="00ED38E8">
              <w:rPr>
                <w:rFonts w:ascii="Arial" w:hAnsi="Arial" w:cs="Arial"/>
              </w:rPr>
              <w:t xml:space="preserve">100% </w:t>
            </w:r>
          </w:p>
        </w:tc>
      </w:tr>
    </w:tbl>
    <w:p w:rsidR="009C5AAE" w:rsidRPr="00ED38E8" w:rsidRDefault="009C5AAE" w:rsidP="009C5AAE">
      <w:pPr>
        <w:pStyle w:val="Heading3"/>
        <w:rPr>
          <w:rFonts w:ascii="Arial" w:eastAsia="Calibri" w:hAnsi="Arial" w:cs="Arial"/>
          <w:b/>
          <w:bCs/>
          <w:color w:val="auto"/>
          <w:sz w:val="28"/>
          <w:szCs w:val="28"/>
        </w:rPr>
      </w:pPr>
      <w:bookmarkStart w:id="30" w:name="_Toc18330024"/>
    </w:p>
    <w:p w:rsidR="009C5AAE" w:rsidRPr="00ED38E8" w:rsidRDefault="009C5AAE" w:rsidP="009C5AAE">
      <w:pPr>
        <w:pStyle w:val="Heading3"/>
        <w:rPr>
          <w:rFonts w:ascii="Arial" w:eastAsia="Calibri" w:hAnsi="Arial" w:cs="Arial"/>
          <w:b/>
          <w:bCs/>
          <w:color w:val="auto"/>
          <w:sz w:val="28"/>
          <w:szCs w:val="28"/>
        </w:rPr>
      </w:pPr>
    </w:p>
    <w:p w:rsidR="009C5AAE" w:rsidRPr="00ED38E8" w:rsidRDefault="009C5AAE" w:rsidP="009C5AAE">
      <w:pPr>
        <w:pStyle w:val="Heading3"/>
        <w:rPr>
          <w:rFonts w:ascii="Arial" w:eastAsia="Calibri" w:hAnsi="Arial" w:cs="Arial"/>
          <w:b/>
          <w:bCs/>
          <w:color w:val="auto"/>
          <w:sz w:val="28"/>
          <w:szCs w:val="28"/>
        </w:rPr>
      </w:pPr>
    </w:p>
    <w:p w:rsidR="009C5AAE" w:rsidRPr="00ED38E8" w:rsidRDefault="009C5AAE" w:rsidP="009C5AAE">
      <w:pPr>
        <w:rPr>
          <w:rFonts w:ascii="Arial" w:hAnsi="Arial" w:cs="Arial"/>
        </w:rPr>
      </w:pPr>
    </w:p>
    <w:p w:rsidR="009C5AAE" w:rsidRPr="00ED38E8" w:rsidRDefault="009C5AAE" w:rsidP="009C5AAE">
      <w:pPr>
        <w:pStyle w:val="Heading3"/>
        <w:rPr>
          <w:rFonts w:ascii="Arial" w:eastAsia="Calibri" w:hAnsi="Arial" w:cs="Arial"/>
          <w:b/>
          <w:bCs/>
          <w:color w:val="984806" w:themeColor="accent6" w:themeShade="80"/>
          <w:sz w:val="28"/>
          <w:szCs w:val="28"/>
        </w:rPr>
      </w:pPr>
      <w:r w:rsidRPr="00ED38E8">
        <w:rPr>
          <w:rFonts w:ascii="Arial" w:eastAsia="Calibri" w:hAnsi="Arial" w:cs="Arial"/>
          <w:b/>
          <w:bCs/>
          <w:color w:val="984806" w:themeColor="accent6" w:themeShade="80"/>
          <w:sz w:val="28"/>
          <w:szCs w:val="28"/>
        </w:rPr>
        <w:lastRenderedPageBreak/>
        <w:t>3.</w:t>
      </w:r>
      <w:r>
        <w:rPr>
          <w:rFonts w:ascii="Arial" w:eastAsia="Calibri" w:hAnsi="Arial" w:cs="Arial"/>
          <w:b/>
          <w:bCs/>
          <w:color w:val="984806" w:themeColor="accent6" w:themeShade="80"/>
          <w:sz w:val="28"/>
          <w:szCs w:val="28"/>
        </w:rPr>
        <w:t>1.</w:t>
      </w:r>
      <w:r w:rsidRPr="00ED38E8">
        <w:rPr>
          <w:rFonts w:ascii="Arial" w:eastAsia="Calibri" w:hAnsi="Arial" w:cs="Arial"/>
          <w:b/>
          <w:bCs/>
          <w:color w:val="984806" w:themeColor="accent6" w:themeShade="80"/>
          <w:sz w:val="28"/>
          <w:szCs w:val="28"/>
        </w:rPr>
        <w:t>2. Horizontal Analysis of Profit and Loss Account (IDLC)</w:t>
      </w:r>
      <w:bookmarkEnd w:id="30"/>
      <w:r w:rsidRPr="00ED38E8">
        <w:rPr>
          <w:rFonts w:ascii="Arial" w:eastAsia="Calibri" w:hAnsi="Arial" w:cs="Arial"/>
          <w:b/>
          <w:bCs/>
          <w:color w:val="984806" w:themeColor="accent6" w:themeShade="80"/>
          <w:sz w:val="28"/>
          <w:szCs w:val="28"/>
        </w:rPr>
        <w:t xml:space="preserve"> </w:t>
      </w:r>
    </w:p>
    <w:tbl>
      <w:tblPr>
        <w:tblW w:w="9915" w:type="dxa"/>
        <w:tblInd w:w="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99"/>
        <w:gridCol w:w="1168"/>
        <w:gridCol w:w="1254"/>
        <w:gridCol w:w="1124"/>
        <w:gridCol w:w="1085"/>
        <w:gridCol w:w="1085"/>
      </w:tblGrid>
      <w:tr w:rsidR="009C5AAE" w:rsidRPr="00ED38E8" w:rsidTr="008C2D73">
        <w:trPr>
          <w:trHeight w:val="278"/>
        </w:trPr>
        <w:tc>
          <w:tcPr>
            <w:tcW w:w="4199" w:type="dxa"/>
          </w:tcPr>
          <w:p w:rsidR="009C5AAE" w:rsidRPr="00ED38E8" w:rsidRDefault="009C5AAE" w:rsidP="008C2D73">
            <w:pPr>
              <w:ind w:right="62"/>
              <w:rPr>
                <w:rFonts w:ascii="Arial" w:eastAsia="Calibri" w:hAnsi="Arial" w:cs="Arial"/>
                <w:sz w:val="20"/>
                <w:szCs w:val="20"/>
              </w:rPr>
            </w:pPr>
            <w:r w:rsidRPr="00ED38E8">
              <w:rPr>
                <w:rFonts w:ascii="Arial" w:eastAsia="Calibri" w:hAnsi="Arial" w:cs="Arial"/>
                <w:sz w:val="20"/>
                <w:szCs w:val="20"/>
              </w:rPr>
              <w:t xml:space="preserve">Particulars </w:t>
            </w:r>
          </w:p>
        </w:tc>
        <w:tc>
          <w:tcPr>
            <w:tcW w:w="1168" w:type="dxa"/>
          </w:tcPr>
          <w:p w:rsidR="009C5AAE" w:rsidRPr="00ED38E8" w:rsidRDefault="009C5AAE" w:rsidP="008C2D73">
            <w:pPr>
              <w:ind w:left="118"/>
              <w:jc w:val="center"/>
              <w:rPr>
                <w:rFonts w:ascii="Arial" w:eastAsia="Calibri" w:hAnsi="Arial" w:cs="Arial"/>
                <w:color w:val="000000"/>
                <w:sz w:val="24"/>
              </w:rPr>
            </w:pPr>
            <w:r w:rsidRPr="00ED38E8">
              <w:rPr>
                <w:rFonts w:ascii="Arial" w:eastAsia="Calibri" w:hAnsi="Arial" w:cs="Arial"/>
                <w:color w:val="000000"/>
                <w:sz w:val="24"/>
              </w:rPr>
              <w:t xml:space="preserve">2018 </w:t>
            </w:r>
          </w:p>
        </w:tc>
        <w:tc>
          <w:tcPr>
            <w:tcW w:w="1254" w:type="dxa"/>
          </w:tcPr>
          <w:p w:rsidR="009C5AAE" w:rsidRPr="00ED38E8" w:rsidRDefault="009C5AAE" w:rsidP="008C2D73">
            <w:pPr>
              <w:ind w:left="118"/>
              <w:jc w:val="center"/>
              <w:rPr>
                <w:rFonts w:ascii="Arial" w:eastAsia="Calibri" w:hAnsi="Arial" w:cs="Arial"/>
                <w:color w:val="000000"/>
                <w:sz w:val="24"/>
              </w:rPr>
            </w:pPr>
            <w:r w:rsidRPr="00ED38E8">
              <w:rPr>
                <w:rFonts w:ascii="Arial" w:eastAsia="Calibri" w:hAnsi="Arial" w:cs="Arial"/>
                <w:color w:val="000000"/>
                <w:sz w:val="24"/>
              </w:rPr>
              <w:t xml:space="preserve">2017 </w:t>
            </w:r>
          </w:p>
        </w:tc>
        <w:tc>
          <w:tcPr>
            <w:tcW w:w="1124" w:type="dxa"/>
          </w:tcPr>
          <w:p w:rsidR="009C5AAE" w:rsidRPr="00ED38E8" w:rsidRDefault="009C5AAE" w:rsidP="008C2D73">
            <w:pPr>
              <w:ind w:left="122"/>
              <w:jc w:val="center"/>
              <w:rPr>
                <w:rFonts w:ascii="Arial" w:eastAsia="Calibri" w:hAnsi="Arial" w:cs="Arial"/>
                <w:color w:val="000000"/>
                <w:sz w:val="24"/>
              </w:rPr>
            </w:pPr>
            <w:r w:rsidRPr="00ED38E8">
              <w:rPr>
                <w:rFonts w:ascii="Arial" w:eastAsia="Calibri" w:hAnsi="Arial" w:cs="Arial"/>
                <w:color w:val="000000"/>
                <w:sz w:val="24"/>
              </w:rPr>
              <w:t xml:space="preserve">2016 </w:t>
            </w:r>
          </w:p>
        </w:tc>
        <w:tc>
          <w:tcPr>
            <w:tcW w:w="1085" w:type="dxa"/>
          </w:tcPr>
          <w:p w:rsidR="009C5AAE" w:rsidRPr="00ED38E8" w:rsidRDefault="009C5AAE" w:rsidP="008C2D73">
            <w:pPr>
              <w:ind w:left="117"/>
              <w:jc w:val="center"/>
              <w:rPr>
                <w:rFonts w:ascii="Arial" w:eastAsia="Calibri" w:hAnsi="Arial" w:cs="Arial"/>
                <w:color w:val="000000"/>
                <w:sz w:val="24"/>
              </w:rPr>
            </w:pPr>
            <w:r w:rsidRPr="00ED38E8">
              <w:rPr>
                <w:rFonts w:ascii="Arial" w:eastAsia="Calibri" w:hAnsi="Arial" w:cs="Arial"/>
                <w:color w:val="000000"/>
                <w:sz w:val="24"/>
              </w:rPr>
              <w:t xml:space="preserve">2015 </w:t>
            </w:r>
          </w:p>
        </w:tc>
        <w:tc>
          <w:tcPr>
            <w:tcW w:w="1085" w:type="dxa"/>
          </w:tcPr>
          <w:p w:rsidR="009C5AAE" w:rsidRPr="00ED38E8" w:rsidRDefault="009C5AAE" w:rsidP="008C2D73">
            <w:pPr>
              <w:ind w:right="57"/>
              <w:jc w:val="right"/>
              <w:rPr>
                <w:rFonts w:ascii="Arial" w:eastAsia="Calibri" w:hAnsi="Arial" w:cs="Arial"/>
                <w:color w:val="000000"/>
                <w:sz w:val="24"/>
              </w:rPr>
            </w:pPr>
            <w:r w:rsidRPr="00ED38E8">
              <w:rPr>
                <w:rFonts w:ascii="Arial" w:eastAsia="Calibri" w:hAnsi="Arial" w:cs="Arial"/>
                <w:color w:val="000000"/>
                <w:sz w:val="24"/>
              </w:rPr>
              <w:t xml:space="preserve">2014 </w:t>
            </w:r>
          </w:p>
        </w:tc>
      </w:tr>
      <w:tr w:rsidR="009C5AAE" w:rsidRPr="00ED38E8" w:rsidTr="008C2D73">
        <w:trPr>
          <w:trHeight w:val="350"/>
        </w:trPr>
        <w:tc>
          <w:tcPr>
            <w:tcW w:w="4199" w:type="dxa"/>
          </w:tcPr>
          <w:p w:rsidR="009C5AAE" w:rsidRPr="00ED38E8" w:rsidRDefault="009C5AAE" w:rsidP="008C2D73">
            <w:pPr>
              <w:ind w:right="75"/>
              <w:rPr>
                <w:rFonts w:ascii="Arial" w:eastAsia="Calibri" w:hAnsi="Arial" w:cs="Arial"/>
                <w:sz w:val="20"/>
                <w:szCs w:val="20"/>
              </w:rPr>
            </w:pPr>
            <w:r w:rsidRPr="00ED38E8">
              <w:rPr>
                <w:rFonts w:ascii="Arial" w:eastAsia="Calibri" w:hAnsi="Arial" w:cs="Arial"/>
                <w:sz w:val="20"/>
                <w:szCs w:val="20"/>
              </w:rPr>
              <w:t xml:space="preserve">Interest income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143.09%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134.51%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132.77%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119.58% </w:t>
            </w:r>
          </w:p>
        </w:tc>
        <w:tc>
          <w:tcPr>
            <w:tcW w:w="1085" w:type="dxa"/>
          </w:tcPr>
          <w:p w:rsidR="009C5AAE" w:rsidRPr="00ED38E8" w:rsidRDefault="009C5AAE" w:rsidP="008C2D73">
            <w:pPr>
              <w:jc w:val="both"/>
              <w:rPr>
                <w:rFonts w:ascii="Arial" w:eastAsia="Calibri" w:hAnsi="Arial" w:cs="Arial"/>
                <w:color w:val="000000"/>
                <w:sz w:val="24"/>
              </w:rPr>
            </w:pPr>
            <w:r w:rsidRPr="00ED38E8">
              <w:rPr>
                <w:rFonts w:ascii="Arial" w:eastAsia="Calibri" w:hAnsi="Arial" w:cs="Arial"/>
                <w:color w:val="000000"/>
              </w:rPr>
              <w:t xml:space="preserve">100.00% </w:t>
            </w:r>
          </w:p>
        </w:tc>
      </w:tr>
      <w:tr w:rsidR="009C5AAE" w:rsidRPr="00ED38E8" w:rsidTr="008C2D73">
        <w:trPr>
          <w:trHeight w:val="413"/>
        </w:trPr>
        <w:tc>
          <w:tcPr>
            <w:tcW w:w="4199" w:type="dxa"/>
          </w:tcPr>
          <w:p w:rsidR="009C5AAE" w:rsidRPr="00ED38E8" w:rsidRDefault="009C5AAE" w:rsidP="008C2D73">
            <w:pPr>
              <w:ind w:right="70"/>
              <w:rPr>
                <w:rFonts w:ascii="Arial" w:eastAsia="Calibri" w:hAnsi="Arial" w:cs="Arial"/>
                <w:sz w:val="20"/>
                <w:szCs w:val="20"/>
              </w:rPr>
            </w:pPr>
            <w:r w:rsidRPr="00ED38E8">
              <w:rPr>
                <w:rFonts w:ascii="Arial" w:eastAsia="Calibri" w:hAnsi="Arial" w:cs="Arial"/>
                <w:sz w:val="20"/>
                <w:szCs w:val="20"/>
              </w:rPr>
              <w:t xml:space="preserve">Interest on deposits and borrowings etc.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118.38%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111.78%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116.81%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109.80% </w:t>
            </w:r>
          </w:p>
        </w:tc>
        <w:tc>
          <w:tcPr>
            <w:tcW w:w="1085" w:type="dxa"/>
          </w:tcPr>
          <w:p w:rsidR="009C5AAE" w:rsidRPr="00ED38E8" w:rsidRDefault="009C5AAE" w:rsidP="008C2D73">
            <w:pPr>
              <w:jc w:val="both"/>
              <w:rPr>
                <w:rFonts w:ascii="Arial" w:eastAsia="Calibri" w:hAnsi="Arial" w:cs="Arial"/>
                <w:color w:val="000000"/>
                <w:sz w:val="24"/>
              </w:rPr>
            </w:pPr>
            <w:r w:rsidRPr="00ED38E8">
              <w:rPr>
                <w:rFonts w:ascii="Arial" w:eastAsia="Calibri" w:hAnsi="Arial" w:cs="Arial"/>
                <w:color w:val="000000"/>
              </w:rPr>
              <w:t xml:space="preserve">100.00% </w:t>
            </w:r>
          </w:p>
        </w:tc>
      </w:tr>
      <w:tr w:rsidR="009C5AAE" w:rsidRPr="00ED38E8" w:rsidTr="008C2D73">
        <w:trPr>
          <w:trHeight w:val="431"/>
        </w:trPr>
        <w:tc>
          <w:tcPr>
            <w:tcW w:w="4199" w:type="dxa"/>
          </w:tcPr>
          <w:p w:rsidR="009C5AAE" w:rsidRPr="00ED38E8" w:rsidRDefault="009C5AAE" w:rsidP="008C2D73">
            <w:pPr>
              <w:ind w:right="75"/>
              <w:rPr>
                <w:rFonts w:ascii="Arial" w:eastAsia="Calibri" w:hAnsi="Arial" w:cs="Arial"/>
                <w:sz w:val="20"/>
                <w:szCs w:val="20"/>
              </w:rPr>
            </w:pPr>
            <w:r w:rsidRPr="00ED38E8">
              <w:rPr>
                <w:rFonts w:ascii="Arial" w:eastAsia="Calibri" w:hAnsi="Arial" w:cs="Arial"/>
                <w:sz w:val="20"/>
                <w:szCs w:val="20"/>
              </w:rPr>
              <w:t xml:space="preserve">Net interest income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192.32%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179.79%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164.55%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139.07% </w:t>
            </w:r>
          </w:p>
        </w:tc>
        <w:tc>
          <w:tcPr>
            <w:tcW w:w="1085" w:type="dxa"/>
          </w:tcPr>
          <w:p w:rsidR="009C5AAE" w:rsidRPr="00ED38E8" w:rsidRDefault="009C5AAE" w:rsidP="008C2D73">
            <w:pPr>
              <w:jc w:val="both"/>
              <w:rPr>
                <w:rFonts w:ascii="Arial" w:eastAsia="Calibri" w:hAnsi="Arial" w:cs="Arial"/>
                <w:color w:val="000000"/>
                <w:sz w:val="24"/>
              </w:rPr>
            </w:pPr>
            <w:r w:rsidRPr="00ED38E8">
              <w:rPr>
                <w:rFonts w:ascii="Arial" w:eastAsia="Calibri" w:hAnsi="Arial" w:cs="Arial"/>
                <w:color w:val="000000"/>
              </w:rPr>
              <w:t xml:space="preserve">100.00% </w:t>
            </w:r>
          </w:p>
        </w:tc>
      </w:tr>
      <w:tr w:rsidR="009C5AAE" w:rsidRPr="00ED38E8" w:rsidTr="008C2D73">
        <w:trPr>
          <w:trHeight w:val="431"/>
        </w:trPr>
        <w:tc>
          <w:tcPr>
            <w:tcW w:w="4199" w:type="dxa"/>
          </w:tcPr>
          <w:p w:rsidR="009C5AAE" w:rsidRPr="00ED38E8" w:rsidRDefault="009C5AAE" w:rsidP="008C2D73">
            <w:pPr>
              <w:ind w:right="66"/>
              <w:rPr>
                <w:rFonts w:ascii="Arial" w:eastAsia="Calibri" w:hAnsi="Arial" w:cs="Arial"/>
                <w:sz w:val="20"/>
                <w:szCs w:val="20"/>
              </w:rPr>
            </w:pPr>
            <w:r w:rsidRPr="00ED38E8">
              <w:rPr>
                <w:rFonts w:ascii="Arial" w:eastAsia="Calibri" w:hAnsi="Arial" w:cs="Arial"/>
                <w:sz w:val="20"/>
                <w:szCs w:val="20"/>
              </w:rPr>
              <w:t xml:space="preserve">Investment income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2024.0% </w:t>
            </w:r>
          </w:p>
        </w:tc>
        <w:tc>
          <w:tcPr>
            <w:tcW w:w="1254"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890.0% </w:t>
            </w:r>
          </w:p>
        </w:tc>
        <w:tc>
          <w:tcPr>
            <w:tcW w:w="1124"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695.7%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91.56%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413"/>
        </w:trPr>
        <w:tc>
          <w:tcPr>
            <w:tcW w:w="4199" w:type="dxa"/>
          </w:tcPr>
          <w:p w:rsidR="009C5AAE" w:rsidRPr="00ED38E8" w:rsidRDefault="009C5AAE" w:rsidP="008C2D73">
            <w:pPr>
              <w:ind w:right="65"/>
              <w:rPr>
                <w:rFonts w:ascii="Arial" w:eastAsia="Calibri" w:hAnsi="Arial" w:cs="Arial"/>
                <w:sz w:val="20"/>
                <w:szCs w:val="20"/>
              </w:rPr>
            </w:pPr>
            <w:r w:rsidRPr="00ED38E8">
              <w:rPr>
                <w:rFonts w:ascii="Arial" w:eastAsia="Calibri" w:hAnsi="Arial" w:cs="Arial"/>
                <w:sz w:val="20"/>
                <w:szCs w:val="20"/>
              </w:rPr>
              <w:t xml:space="preserve">Commission, exchange and brokerage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260.61%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152.31%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123.19%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123.92%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413"/>
        </w:trPr>
        <w:tc>
          <w:tcPr>
            <w:tcW w:w="4199" w:type="dxa"/>
          </w:tcPr>
          <w:p w:rsidR="009C5AAE" w:rsidRPr="00ED38E8" w:rsidRDefault="009C5AAE" w:rsidP="008C2D73">
            <w:pPr>
              <w:ind w:right="65"/>
              <w:rPr>
                <w:rFonts w:ascii="Arial" w:eastAsia="Calibri" w:hAnsi="Arial" w:cs="Arial"/>
                <w:sz w:val="20"/>
                <w:szCs w:val="20"/>
              </w:rPr>
            </w:pPr>
            <w:r w:rsidRPr="00ED38E8">
              <w:rPr>
                <w:rFonts w:ascii="Arial" w:eastAsia="Calibri" w:hAnsi="Arial" w:cs="Arial"/>
                <w:sz w:val="20"/>
                <w:szCs w:val="20"/>
              </w:rPr>
              <w:t xml:space="preserve">Other operating income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131.36%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150.10%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129.27%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106.00%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431"/>
        </w:trPr>
        <w:tc>
          <w:tcPr>
            <w:tcW w:w="4199" w:type="dxa"/>
          </w:tcPr>
          <w:p w:rsidR="009C5AAE" w:rsidRPr="00ED38E8" w:rsidRDefault="009C5AAE" w:rsidP="008C2D73">
            <w:pPr>
              <w:ind w:right="67"/>
              <w:rPr>
                <w:rFonts w:ascii="Arial" w:eastAsia="Calibri" w:hAnsi="Arial" w:cs="Arial"/>
                <w:sz w:val="20"/>
                <w:szCs w:val="20"/>
              </w:rPr>
            </w:pPr>
            <w:r w:rsidRPr="00ED38E8">
              <w:rPr>
                <w:rFonts w:ascii="Arial" w:eastAsia="Calibri" w:hAnsi="Arial" w:cs="Arial"/>
                <w:sz w:val="20"/>
                <w:szCs w:val="20"/>
              </w:rPr>
              <w:t xml:space="preserve">Total operating income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227.43%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187.00%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166.14%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132.46%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465"/>
        </w:trPr>
        <w:tc>
          <w:tcPr>
            <w:tcW w:w="4199" w:type="dxa"/>
          </w:tcPr>
          <w:p w:rsidR="009C5AAE" w:rsidRPr="00ED38E8" w:rsidRDefault="009C5AAE" w:rsidP="008C2D73">
            <w:pPr>
              <w:ind w:right="61"/>
              <w:rPr>
                <w:rFonts w:ascii="Arial" w:eastAsia="Calibri" w:hAnsi="Arial" w:cs="Arial"/>
                <w:sz w:val="20"/>
                <w:szCs w:val="20"/>
              </w:rPr>
            </w:pPr>
            <w:r w:rsidRPr="00ED38E8">
              <w:rPr>
                <w:rFonts w:ascii="Arial" w:eastAsia="Calibri" w:hAnsi="Arial" w:cs="Arial"/>
                <w:sz w:val="20"/>
                <w:szCs w:val="20"/>
              </w:rPr>
              <w:t xml:space="preserve">Salaries and allowances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223.25%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179.90%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155.00%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129.23%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360"/>
        </w:trPr>
        <w:tc>
          <w:tcPr>
            <w:tcW w:w="4199" w:type="dxa"/>
          </w:tcPr>
          <w:p w:rsidR="009C5AAE" w:rsidRPr="00ED38E8" w:rsidRDefault="009C5AAE" w:rsidP="008C2D73">
            <w:pPr>
              <w:ind w:right="75"/>
              <w:rPr>
                <w:rFonts w:ascii="Arial" w:eastAsia="Calibri" w:hAnsi="Arial" w:cs="Arial"/>
                <w:sz w:val="20"/>
                <w:szCs w:val="20"/>
              </w:rPr>
            </w:pPr>
            <w:r w:rsidRPr="00ED38E8">
              <w:rPr>
                <w:rFonts w:ascii="Arial" w:eastAsia="Calibri" w:hAnsi="Arial" w:cs="Arial"/>
                <w:sz w:val="20"/>
                <w:szCs w:val="20"/>
              </w:rPr>
              <w:t xml:space="preserve">Rent, taxes, insurance, electricity etc.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207.92%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203.85%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128.16%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114.95%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345"/>
        </w:trPr>
        <w:tc>
          <w:tcPr>
            <w:tcW w:w="4199" w:type="dxa"/>
          </w:tcPr>
          <w:p w:rsidR="009C5AAE" w:rsidRPr="00ED38E8" w:rsidRDefault="009C5AAE" w:rsidP="008C2D73">
            <w:pPr>
              <w:ind w:right="69"/>
              <w:rPr>
                <w:rFonts w:ascii="Arial" w:eastAsia="Calibri" w:hAnsi="Arial" w:cs="Arial"/>
                <w:sz w:val="20"/>
                <w:szCs w:val="20"/>
              </w:rPr>
            </w:pPr>
            <w:r w:rsidRPr="00ED38E8">
              <w:rPr>
                <w:rFonts w:ascii="Arial" w:eastAsia="Calibri" w:hAnsi="Arial" w:cs="Arial"/>
                <w:sz w:val="20"/>
                <w:szCs w:val="20"/>
              </w:rPr>
              <w:t xml:space="preserve">Legal expenses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317.07%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229.10%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197.46%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105.86%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345"/>
        </w:trPr>
        <w:tc>
          <w:tcPr>
            <w:tcW w:w="4199" w:type="dxa"/>
          </w:tcPr>
          <w:p w:rsidR="009C5AAE" w:rsidRPr="00ED38E8" w:rsidRDefault="009C5AAE" w:rsidP="008C2D73">
            <w:pPr>
              <w:ind w:right="68"/>
              <w:rPr>
                <w:rFonts w:ascii="Arial" w:eastAsia="Calibri" w:hAnsi="Arial" w:cs="Arial"/>
                <w:sz w:val="20"/>
                <w:szCs w:val="20"/>
              </w:rPr>
            </w:pPr>
            <w:r w:rsidRPr="00ED38E8">
              <w:rPr>
                <w:rFonts w:ascii="Arial" w:eastAsia="Calibri" w:hAnsi="Arial" w:cs="Arial"/>
                <w:sz w:val="20"/>
                <w:szCs w:val="20"/>
              </w:rPr>
              <w:t xml:space="preserve">Postage, stamp, telecommunication etc.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116.96%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105.22%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108.51%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105.73%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345"/>
        </w:trPr>
        <w:tc>
          <w:tcPr>
            <w:tcW w:w="4199" w:type="dxa"/>
          </w:tcPr>
          <w:p w:rsidR="009C5AAE" w:rsidRPr="00ED38E8" w:rsidRDefault="009C5AAE" w:rsidP="008C2D73">
            <w:pPr>
              <w:ind w:right="73"/>
              <w:rPr>
                <w:rFonts w:ascii="Arial" w:eastAsia="Calibri" w:hAnsi="Arial" w:cs="Arial"/>
                <w:sz w:val="20"/>
                <w:szCs w:val="20"/>
              </w:rPr>
            </w:pPr>
            <w:r w:rsidRPr="00ED38E8">
              <w:rPr>
                <w:rFonts w:ascii="Arial" w:eastAsia="Calibri" w:hAnsi="Arial" w:cs="Arial"/>
                <w:sz w:val="20"/>
                <w:szCs w:val="20"/>
              </w:rPr>
              <w:t xml:space="preserve">Stationery, printing, advertisements etc.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166.91%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122.80%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102.50%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137.53%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360"/>
        </w:trPr>
        <w:tc>
          <w:tcPr>
            <w:tcW w:w="4199" w:type="dxa"/>
          </w:tcPr>
          <w:p w:rsidR="009C5AAE" w:rsidRPr="00ED38E8" w:rsidRDefault="009C5AAE" w:rsidP="008C2D73">
            <w:pPr>
              <w:ind w:right="63"/>
              <w:rPr>
                <w:rFonts w:ascii="Arial" w:eastAsia="Calibri" w:hAnsi="Arial" w:cs="Arial"/>
                <w:sz w:val="20"/>
                <w:szCs w:val="20"/>
              </w:rPr>
            </w:pPr>
            <w:r w:rsidRPr="00ED38E8">
              <w:rPr>
                <w:rFonts w:ascii="Arial" w:eastAsia="Calibri" w:hAnsi="Arial" w:cs="Arial"/>
                <w:sz w:val="20"/>
                <w:szCs w:val="20"/>
              </w:rPr>
              <w:t xml:space="preserve">Managing Director’s salary and benefits </w:t>
            </w:r>
          </w:p>
        </w:tc>
        <w:tc>
          <w:tcPr>
            <w:tcW w:w="1168"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80.06% </w:t>
            </w:r>
          </w:p>
        </w:tc>
        <w:tc>
          <w:tcPr>
            <w:tcW w:w="1254"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68.04% </w:t>
            </w:r>
          </w:p>
        </w:tc>
        <w:tc>
          <w:tcPr>
            <w:tcW w:w="1124"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87.99% </w:t>
            </w:r>
          </w:p>
        </w:tc>
        <w:tc>
          <w:tcPr>
            <w:tcW w:w="1085" w:type="dxa"/>
          </w:tcPr>
          <w:p w:rsidR="009C5AAE" w:rsidRPr="00ED38E8" w:rsidRDefault="009C5AAE" w:rsidP="008C2D73">
            <w:pPr>
              <w:ind w:left="139"/>
              <w:rPr>
                <w:rFonts w:ascii="Arial" w:eastAsia="Calibri" w:hAnsi="Arial" w:cs="Arial"/>
                <w:color w:val="000000"/>
                <w:sz w:val="24"/>
              </w:rPr>
            </w:pPr>
            <w:r w:rsidRPr="00ED38E8">
              <w:rPr>
                <w:rFonts w:ascii="Arial" w:eastAsia="Calibri" w:hAnsi="Arial" w:cs="Arial"/>
                <w:color w:val="000000"/>
              </w:rPr>
              <w:t xml:space="preserve">100%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360"/>
        </w:trPr>
        <w:tc>
          <w:tcPr>
            <w:tcW w:w="4199" w:type="dxa"/>
          </w:tcPr>
          <w:p w:rsidR="009C5AAE" w:rsidRPr="00ED38E8" w:rsidRDefault="009C5AAE" w:rsidP="008C2D73">
            <w:pPr>
              <w:ind w:right="68"/>
              <w:rPr>
                <w:rFonts w:ascii="Arial" w:eastAsia="Calibri" w:hAnsi="Arial" w:cs="Arial"/>
                <w:sz w:val="20"/>
                <w:szCs w:val="20"/>
              </w:rPr>
            </w:pPr>
            <w:r w:rsidRPr="00ED38E8">
              <w:rPr>
                <w:rFonts w:ascii="Arial" w:eastAsia="Calibri" w:hAnsi="Arial" w:cs="Arial"/>
                <w:sz w:val="20"/>
                <w:szCs w:val="20"/>
              </w:rPr>
              <w:t xml:space="preserve">Directors’ fees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233.73%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191.61%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144.26%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115.94%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402"/>
        </w:trPr>
        <w:tc>
          <w:tcPr>
            <w:tcW w:w="4199" w:type="dxa"/>
          </w:tcPr>
          <w:p w:rsidR="009C5AAE" w:rsidRPr="00ED38E8" w:rsidRDefault="009C5AAE" w:rsidP="008C2D73">
            <w:pPr>
              <w:ind w:right="70"/>
              <w:rPr>
                <w:rFonts w:ascii="Arial" w:eastAsia="Calibri" w:hAnsi="Arial" w:cs="Arial"/>
                <w:sz w:val="20"/>
                <w:szCs w:val="20"/>
              </w:rPr>
            </w:pPr>
            <w:r w:rsidRPr="00ED38E8">
              <w:rPr>
                <w:rFonts w:ascii="Arial" w:eastAsia="Calibri" w:hAnsi="Arial" w:cs="Arial"/>
                <w:sz w:val="20"/>
                <w:szCs w:val="20"/>
              </w:rPr>
              <w:t xml:space="preserve">Auditors’ fees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205.15%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148.71%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103.45%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103.45%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384"/>
        </w:trPr>
        <w:tc>
          <w:tcPr>
            <w:tcW w:w="4199" w:type="dxa"/>
          </w:tcPr>
          <w:p w:rsidR="009C5AAE" w:rsidRPr="00ED38E8" w:rsidRDefault="009C5AAE" w:rsidP="008C2D73">
            <w:pPr>
              <w:ind w:right="71"/>
              <w:rPr>
                <w:rFonts w:ascii="Arial" w:eastAsia="Calibri" w:hAnsi="Arial" w:cs="Arial"/>
                <w:sz w:val="20"/>
                <w:szCs w:val="20"/>
              </w:rPr>
            </w:pPr>
            <w:r w:rsidRPr="00ED38E8">
              <w:rPr>
                <w:rFonts w:ascii="Arial" w:eastAsia="Calibri" w:hAnsi="Arial" w:cs="Arial"/>
                <w:sz w:val="20"/>
                <w:szCs w:val="20"/>
              </w:rPr>
              <w:t xml:space="preserve">Charges on loan losses </w:t>
            </w:r>
          </w:p>
        </w:tc>
        <w:tc>
          <w:tcPr>
            <w:tcW w:w="1168"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254" w:type="dxa"/>
          </w:tcPr>
          <w:p w:rsidR="009C5AAE" w:rsidRPr="00ED38E8" w:rsidRDefault="009C5AAE" w:rsidP="008C2D73">
            <w:pPr>
              <w:ind w:left="111"/>
              <w:rPr>
                <w:rFonts w:ascii="Arial" w:eastAsia="Calibri" w:hAnsi="Arial" w:cs="Arial"/>
                <w:color w:val="000000"/>
                <w:sz w:val="24"/>
              </w:rPr>
            </w:pPr>
            <w:r w:rsidRPr="00ED38E8">
              <w:rPr>
                <w:rFonts w:ascii="Arial" w:eastAsia="Calibri" w:hAnsi="Arial" w:cs="Arial"/>
                <w:color w:val="000000"/>
              </w:rPr>
              <w:t xml:space="preserve">0.00% </w:t>
            </w:r>
          </w:p>
        </w:tc>
        <w:tc>
          <w:tcPr>
            <w:tcW w:w="1124"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085"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085"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r>
      <w:tr w:rsidR="009C5AAE" w:rsidRPr="00ED38E8" w:rsidTr="008C2D73">
        <w:trPr>
          <w:trHeight w:val="503"/>
        </w:trPr>
        <w:tc>
          <w:tcPr>
            <w:tcW w:w="4199" w:type="dxa"/>
          </w:tcPr>
          <w:p w:rsidR="009C5AAE" w:rsidRPr="00ED38E8" w:rsidRDefault="009C5AAE" w:rsidP="008C2D73">
            <w:pPr>
              <w:spacing w:line="240" w:lineRule="auto"/>
              <w:ind w:right="63"/>
              <w:rPr>
                <w:rFonts w:ascii="Arial" w:eastAsia="Calibri" w:hAnsi="Arial" w:cs="Arial"/>
                <w:sz w:val="20"/>
                <w:szCs w:val="20"/>
              </w:rPr>
            </w:pPr>
            <w:r w:rsidRPr="00ED38E8">
              <w:rPr>
                <w:rFonts w:ascii="Arial" w:eastAsia="Calibri" w:hAnsi="Arial" w:cs="Arial"/>
                <w:sz w:val="20"/>
                <w:szCs w:val="20"/>
              </w:rPr>
              <w:t xml:space="preserve">Depreciation and repair of  Company’s assets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120.85%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125.13%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111.59%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102.85%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285"/>
        </w:trPr>
        <w:tc>
          <w:tcPr>
            <w:tcW w:w="4199" w:type="dxa"/>
          </w:tcPr>
          <w:p w:rsidR="009C5AAE" w:rsidRPr="00ED38E8" w:rsidRDefault="009C5AAE" w:rsidP="008C2D73">
            <w:pPr>
              <w:ind w:right="64"/>
              <w:rPr>
                <w:rFonts w:ascii="Arial" w:eastAsia="Calibri" w:hAnsi="Arial" w:cs="Arial"/>
                <w:sz w:val="20"/>
                <w:szCs w:val="20"/>
              </w:rPr>
            </w:pPr>
            <w:r w:rsidRPr="00ED38E8">
              <w:rPr>
                <w:rFonts w:ascii="Arial" w:eastAsia="Calibri" w:hAnsi="Arial" w:cs="Arial"/>
                <w:sz w:val="20"/>
                <w:szCs w:val="20"/>
              </w:rPr>
              <w:t xml:space="preserve">Other expenses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158.44%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128.48%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109.77%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98.39%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255"/>
        </w:trPr>
        <w:tc>
          <w:tcPr>
            <w:tcW w:w="4199" w:type="dxa"/>
          </w:tcPr>
          <w:p w:rsidR="009C5AAE" w:rsidRPr="00ED38E8" w:rsidRDefault="009C5AAE" w:rsidP="008C2D73">
            <w:pPr>
              <w:ind w:right="66"/>
              <w:rPr>
                <w:rFonts w:ascii="Arial" w:eastAsia="Calibri" w:hAnsi="Arial" w:cs="Arial"/>
                <w:sz w:val="20"/>
                <w:szCs w:val="20"/>
              </w:rPr>
            </w:pPr>
            <w:r w:rsidRPr="00ED38E8">
              <w:rPr>
                <w:rFonts w:ascii="Arial" w:eastAsia="Calibri" w:hAnsi="Arial" w:cs="Arial"/>
                <w:sz w:val="20"/>
                <w:szCs w:val="20"/>
              </w:rPr>
              <w:t xml:space="preserve">Total operating expenses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187.85%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157.56%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132.52%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117.71%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390"/>
        </w:trPr>
        <w:tc>
          <w:tcPr>
            <w:tcW w:w="4199" w:type="dxa"/>
          </w:tcPr>
          <w:p w:rsidR="009C5AAE" w:rsidRPr="00ED38E8" w:rsidRDefault="009C5AAE" w:rsidP="008C2D73">
            <w:pPr>
              <w:ind w:right="64"/>
              <w:rPr>
                <w:rFonts w:ascii="Arial" w:eastAsia="Calibri" w:hAnsi="Arial" w:cs="Arial"/>
                <w:sz w:val="20"/>
                <w:szCs w:val="20"/>
              </w:rPr>
            </w:pPr>
            <w:r w:rsidRPr="00ED38E8">
              <w:rPr>
                <w:rFonts w:ascii="Arial" w:eastAsia="Calibri" w:hAnsi="Arial" w:cs="Arial"/>
                <w:sz w:val="20"/>
                <w:szCs w:val="20"/>
              </w:rPr>
              <w:t xml:space="preserve">Profit before provision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259.85% </w:t>
            </w:r>
          </w:p>
        </w:tc>
        <w:tc>
          <w:tcPr>
            <w:tcW w:w="1254"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211.1%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193.68%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144.53%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360"/>
        </w:trPr>
        <w:tc>
          <w:tcPr>
            <w:tcW w:w="4199" w:type="dxa"/>
          </w:tcPr>
          <w:p w:rsidR="009C5AAE" w:rsidRPr="00ED38E8" w:rsidRDefault="009C5AAE" w:rsidP="008C2D73">
            <w:pPr>
              <w:ind w:right="63"/>
              <w:rPr>
                <w:rFonts w:ascii="Arial" w:eastAsia="Calibri" w:hAnsi="Arial" w:cs="Arial"/>
                <w:sz w:val="20"/>
                <w:szCs w:val="20"/>
              </w:rPr>
            </w:pPr>
            <w:r w:rsidRPr="00ED38E8">
              <w:rPr>
                <w:rFonts w:ascii="Arial" w:eastAsia="Calibri" w:hAnsi="Arial" w:cs="Arial"/>
                <w:sz w:val="20"/>
                <w:szCs w:val="20"/>
              </w:rPr>
              <w:t xml:space="preserve">Provision for loans and investments </w:t>
            </w:r>
          </w:p>
        </w:tc>
        <w:tc>
          <w:tcPr>
            <w:tcW w:w="1168" w:type="dxa"/>
          </w:tcPr>
          <w:p w:rsidR="009C5AAE" w:rsidRPr="00ED38E8" w:rsidRDefault="009C5AAE" w:rsidP="008C2D73">
            <w:pPr>
              <w:ind w:left="384"/>
              <w:rPr>
                <w:rFonts w:ascii="Arial" w:eastAsia="Calibri" w:hAnsi="Arial" w:cs="Arial"/>
                <w:color w:val="000000"/>
                <w:sz w:val="24"/>
              </w:rPr>
            </w:pPr>
            <w:r w:rsidRPr="00ED38E8">
              <w:rPr>
                <w:rFonts w:ascii="Arial" w:eastAsia="Calibri" w:hAnsi="Arial" w:cs="Arial"/>
                <w:color w:val="000000"/>
              </w:rPr>
              <w:t xml:space="preserve"> </w:t>
            </w:r>
          </w:p>
        </w:tc>
        <w:tc>
          <w:tcPr>
            <w:tcW w:w="1254" w:type="dxa"/>
          </w:tcPr>
          <w:p w:rsidR="009C5AAE" w:rsidRPr="00ED38E8" w:rsidRDefault="009C5AAE" w:rsidP="008C2D73">
            <w:pPr>
              <w:ind w:left="384"/>
              <w:rPr>
                <w:rFonts w:ascii="Arial" w:eastAsia="Calibri" w:hAnsi="Arial" w:cs="Arial"/>
                <w:color w:val="000000"/>
                <w:sz w:val="24"/>
              </w:rPr>
            </w:pPr>
            <w:r w:rsidRPr="00ED38E8">
              <w:rPr>
                <w:rFonts w:ascii="Arial" w:eastAsia="Calibri" w:hAnsi="Arial" w:cs="Arial"/>
                <w:color w:val="000000"/>
              </w:rPr>
              <w:t xml:space="preserve"> </w:t>
            </w:r>
          </w:p>
        </w:tc>
        <w:tc>
          <w:tcPr>
            <w:tcW w:w="1124" w:type="dxa"/>
          </w:tcPr>
          <w:p w:rsidR="009C5AAE" w:rsidRPr="00ED38E8" w:rsidRDefault="009C5AAE" w:rsidP="008C2D73">
            <w:pPr>
              <w:ind w:left="384"/>
              <w:rPr>
                <w:rFonts w:ascii="Arial" w:eastAsia="Calibri" w:hAnsi="Arial" w:cs="Arial"/>
                <w:color w:val="000000"/>
                <w:sz w:val="24"/>
              </w:rPr>
            </w:pPr>
            <w:r w:rsidRPr="00ED38E8">
              <w:rPr>
                <w:rFonts w:ascii="Arial" w:eastAsia="Calibri" w:hAnsi="Arial" w:cs="Arial"/>
                <w:color w:val="000000"/>
              </w:rPr>
              <w:t xml:space="preserve"> </w:t>
            </w:r>
          </w:p>
        </w:tc>
        <w:tc>
          <w:tcPr>
            <w:tcW w:w="1085" w:type="dxa"/>
          </w:tcPr>
          <w:p w:rsidR="009C5AAE" w:rsidRPr="00ED38E8" w:rsidRDefault="009C5AAE" w:rsidP="008C2D73">
            <w:pPr>
              <w:ind w:left="384"/>
              <w:rPr>
                <w:rFonts w:ascii="Arial" w:eastAsia="Calibri" w:hAnsi="Arial" w:cs="Arial"/>
                <w:color w:val="000000"/>
                <w:sz w:val="24"/>
              </w:rPr>
            </w:pPr>
            <w:r w:rsidRPr="00ED38E8">
              <w:rPr>
                <w:rFonts w:ascii="Arial" w:eastAsia="Calibri" w:hAnsi="Arial" w:cs="Arial"/>
                <w:color w:val="000000"/>
              </w:rPr>
              <w:t xml:space="preserve"> </w:t>
            </w:r>
          </w:p>
        </w:tc>
        <w:tc>
          <w:tcPr>
            <w:tcW w:w="1085" w:type="dxa"/>
          </w:tcPr>
          <w:p w:rsidR="009C5AAE" w:rsidRPr="00ED38E8" w:rsidRDefault="009C5AAE" w:rsidP="008C2D73">
            <w:pPr>
              <w:ind w:right="9"/>
              <w:jc w:val="center"/>
              <w:rPr>
                <w:rFonts w:ascii="Arial" w:eastAsia="Calibri" w:hAnsi="Arial" w:cs="Arial"/>
                <w:color w:val="000000"/>
                <w:sz w:val="24"/>
              </w:rPr>
            </w:pPr>
            <w:r w:rsidRPr="00ED38E8">
              <w:rPr>
                <w:rFonts w:ascii="Arial" w:eastAsia="Calibri" w:hAnsi="Arial" w:cs="Arial"/>
                <w:color w:val="000000"/>
              </w:rPr>
              <w:t xml:space="preserve"> </w:t>
            </w:r>
          </w:p>
        </w:tc>
      </w:tr>
      <w:tr w:rsidR="009C5AAE" w:rsidRPr="00ED38E8" w:rsidTr="008C2D73">
        <w:trPr>
          <w:trHeight w:val="345"/>
        </w:trPr>
        <w:tc>
          <w:tcPr>
            <w:tcW w:w="4199" w:type="dxa"/>
          </w:tcPr>
          <w:p w:rsidR="009C5AAE" w:rsidRPr="00ED38E8" w:rsidRDefault="009C5AAE" w:rsidP="008C2D73">
            <w:pPr>
              <w:ind w:right="73"/>
              <w:rPr>
                <w:rFonts w:ascii="Arial" w:eastAsia="Calibri" w:hAnsi="Arial" w:cs="Arial"/>
                <w:sz w:val="20"/>
                <w:szCs w:val="20"/>
              </w:rPr>
            </w:pPr>
            <w:r w:rsidRPr="00ED38E8">
              <w:rPr>
                <w:rFonts w:ascii="Arial" w:eastAsia="Calibri" w:hAnsi="Arial" w:cs="Arial"/>
                <w:sz w:val="20"/>
                <w:szCs w:val="20"/>
              </w:rPr>
              <w:t xml:space="preserve">General provision </w:t>
            </w:r>
          </w:p>
        </w:tc>
        <w:tc>
          <w:tcPr>
            <w:tcW w:w="1168" w:type="dxa"/>
          </w:tcPr>
          <w:p w:rsidR="009C5AAE" w:rsidRPr="00ED38E8" w:rsidRDefault="009C5AAE" w:rsidP="008C2D73">
            <w:pPr>
              <w:ind w:left="24"/>
              <w:rPr>
                <w:rFonts w:ascii="Arial" w:eastAsia="Calibri" w:hAnsi="Arial" w:cs="Arial"/>
                <w:color w:val="000000"/>
                <w:sz w:val="24"/>
              </w:rPr>
            </w:pPr>
            <w:r w:rsidRPr="00ED38E8">
              <w:rPr>
                <w:rFonts w:ascii="Arial" w:eastAsia="Calibri" w:hAnsi="Arial" w:cs="Arial"/>
                <w:color w:val="000000"/>
              </w:rPr>
              <w:t xml:space="preserve">-498.6% </w:t>
            </w:r>
          </w:p>
        </w:tc>
        <w:tc>
          <w:tcPr>
            <w:tcW w:w="1254" w:type="dxa"/>
          </w:tcPr>
          <w:p w:rsidR="009C5AAE" w:rsidRPr="00ED38E8" w:rsidRDefault="009C5AAE" w:rsidP="008C2D73">
            <w:pPr>
              <w:ind w:left="24"/>
              <w:rPr>
                <w:rFonts w:ascii="Arial" w:eastAsia="Calibri" w:hAnsi="Arial" w:cs="Arial"/>
                <w:color w:val="000000"/>
                <w:sz w:val="24"/>
              </w:rPr>
            </w:pPr>
            <w:r w:rsidRPr="00ED38E8">
              <w:rPr>
                <w:rFonts w:ascii="Arial" w:eastAsia="Calibri" w:hAnsi="Arial" w:cs="Arial"/>
                <w:color w:val="000000"/>
              </w:rPr>
              <w:t xml:space="preserve">-392.2% </w:t>
            </w:r>
          </w:p>
        </w:tc>
        <w:tc>
          <w:tcPr>
            <w:tcW w:w="1124" w:type="dxa"/>
          </w:tcPr>
          <w:p w:rsidR="009C5AAE" w:rsidRPr="00ED38E8" w:rsidRDefault="009C5AAE" w:rsidP="008C2D73">
            <w:pPr>
              <w:ind w:left="24"/>
              <w:rPr>
                <w:rFonts w:ascii="Arial" w:eastAsia="Calibri" w:hAnsi="Arial" w:cs="Arial"/>
                <w:color w:val="000000"/>
                <w:sz w:val="24"/>
              </w:rPr>
            </w:pPr>
            <w:r w:rsidRPr="00ED38E8">
              <w:rPr>
                <w:rFonts w:ascii="Arial" w:eastAsia="Calibri" w:hAnsi="Arial" w:cs="Arial"/>
                <w:color w:val="000000"/>
              </w:rPr>
              <w:t xml:space="preserve">-396.2% </w:t>
            </w:r>
          </w:p>
        </w:tc>
        <w:tc>
          <w:tcPr>
            <w:tcW w:w="1085" w:type="dxa"/>
          </w:tcPr>
          <w:p w:rsidR="009C5AAE" w:rsidRPr="00ED38E8" w:rsidRDefault="009C5AAE" w:rsidP="008C2D73">
            <w:pPr>
              <w:ind w:left="24"/>
              <w:rPr>
                <w:rFonts w:ascii="Arial" w:eastAsia="Calibri" w:hAnsi="Arial" w:cs="Arial"/>
                <w:color w:val="000000"/>
                <w:sz w:val="24"/>
              </w:rPr>
            </w:pPr>
            <w:r w:rsidRPr="00ED38E8">
              <w:rPr>
                <w:rFonts w:ascii="Arial" w:eastAsia="Calibri" w:hAnsi="Arial" w:cs="Arial"/>
                <w:color w:val="000000"/>
              </w:rPr>
              <w:t xml:space="preserve">-362.8%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345"/>
        </w:trPr>
        <w:tc>
          <w:tcPr>
            <w:tcW w:w="4199" w:type="dxa"/>
          </w:tcPr>
          <w:p w:rsidR="009C5AAE" w:rsidRPr="00ED38E8" w:rsidRDefault="009C5AAE" w:rsidP="008C2D73">
            <w:pPr>
              <w:ind w:right="69"/>
              <w:rPr>
                <w:rFonts w:ascii="Arial" w:eastAsia="Calibri" w:hAnsi="Arial" w:cs="Arial"/>
                <w:sz w:val="20"/>
                <w:szCs w:val="20"/>
              </w:rPr>
            </w:pPr>
            <w:r w:rsidRPr="00ED38E8">
              <w:rPr>
                <w:rFonts w:ascii="Arial" w:eastAsia="Calibri" w:hAnsi="Arial" w:cs="Arial"/>
                <w:sz w:val="20"/>
                <w:szCs w:val="20"/>
              </w:rPr>
              <w:t xml:space="preserve">Specific provision </w:t>
            </w:r>
          </w:p>
        </w:tc>
        <w:tc>
          <w:tcPr>
            <w:tcW w:w="1168"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86.31% </w:t>
            </w:r>
          </w:p>
        </w:tc>
        <w:tc>
          <w:tcPr>
            <w:tcW w:w="1254"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85.00%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139.98% </w:t>
            </w:r>
          </w:p>
        </w:tc>
        <w:tc>
          <w:tcPr>
            <w:tcW w:w="1085" w:type="dxa"/>
          </w:tcPr>
          <w:p w:rsidR="009C5AAE" w:rsidRPr="00ED38E8" w:rsidRDefault="009C5AAE" w:rsidP="008C2D73">
            <w:pPr>
              <w:ind w:left="77"/>
              <w:rPr>
                <w:rFonts w:ascii="Arial" w:eastAsia="Calibri" w:hAnsi="Arial" w:cs="Arial"/>
                <w:color w:val="000000"/>
                <w:sz w:val="24"/>
              </w:rPr>
            </w:pPr>
            <w:r w:rsidRPr="00ED38E8">
              <w:rPr>
                <w:rFonts w:ascii="Arial" w:eastAsia="Calibri" w:hAnsi="Arial" w:cs="Arial"/>
                <w:color w:val="000000"/>
              </w:rPr>
              <w:t xml:space="preserve">-28.0%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360"/>
        </w:trPr>
        <w:tc>
          <w:tcPr>
            <w:tcW w:w="4199" w:type="dxa"/>
          </w:tcPr>
          <w:p w:rsidR="009C5AAE" w:rsidRPr="00ED38E8" w:rsidRDefault="009C5AAE" w:rsidP="008C2D73">
            <w:pPr>
              <w:rPr>
                <w:rFonts w:ascii="Arial" w:eastAsia="Calibri" w:hAnsi="Arial" w:cs="Arial"/>
                <w:sz w:val="20"/>
                <w:szCs w:val="20"/>
              </w:rPr>
            </w:pPr>
            <w:r w:rsidRPr="00ED38E8">
              <w:rPr>
                <w:rFonts w:ascii="Arial" w:eastAsia="Calibri" w:hAnsi="Arial" w:cs="Arial"/>
                <w:sz w:val="20"/>
                <w:szCs w:val="20"/>
              </w:rPr>
              <w:t xml:space="preserve">provision for diminution in value of investments </w:t>
            </w:r>
          </w:p>
        </w:tc>
        <w:tc>
          <w:tcPr>
            <w:tcW w:w="1168" w:type="dxa"/>
          </w:tcPr>
          <w:p w:rsidR="009C5AAE" w:rsidRPr="00ED38E8" w:rsidRDefault="009C5AAE" w:rsidP="008C2D73">
            <w:pPr>
              <w:ind w:left="250"/>
              <w:rPr>
                <w:rFonts w:ascii="Arial" w:eastAsia="Calibri" w:hAnsi="Arial" w:cs="Arial"/>
                <w:color w:val="000000"/>
                <w:sz w:val="24"/>
              </w:rPr>
            </w:pPr>
            <w:r w:rsidRPr="00ED38E8">
              <w:rPr>
                <w:rFonts w:ascii="Arial" w:eastAsia="Calibri" w:hAnsi="Arial" w:cs="Arial"/>
                <w:color w:val="000000"/>
              </w:rPr>
              <w:t xml:space="preserve">0% </w:t>
            </w:r>
          </w:p>
        </w:tc>
        <w:tc>
          <w:tcPr>
            <w:tcW w:w="1254" w:type="dxa"/>
          </w:tcPr>
          <w:p w:rsidR="009C5AAE" w:rsidRPr="00ED38E8" w:rsidRDefault="009C5AAE" w:rsidP="008C2D73">
            <w:pPr>
              <w:ind w:left="24"/>
              <w:rPr>
                <w:rFonts w:ascii="Arial" w:eastAsia="Calibri" w:hAnsi="Arial" w:cs="Arial"/>
                <w:color w:val="000000"/>
                <w:sz w:val="24"/>
              </w:rPr>
            </w:pPr>
            <w:r w:rsidRPr="00ED38E8">
              <w:rPr>
                <w:rFonts w:ascii="Arial" w:eastAsia="Calibri" w:hAnsi="Arial" w:cs="Arial"/>
                <w:color w:val="000000"/>
              </w:rPr>
              <w:t xml:space="preserve">-748.6% </w:t>
            </w:r>
          </w:p>
        </w:tc>
        <w:tc>
          <w:tcPr>
            <w:tcW w:w="1124" w:type="dxa"/>
          </w:tcPr>
          <w:p w:rsidR="009C5AAE" w:rsidRPr="00ED38E8" w:rsidRDefault="009C5AAE" w:rsidP="008C2D73">
            <w:pPr>
              <w:ind w:left="24"/>
              <w:rPr>
                <w:rFonts w:ascii="Arial" w:eastAsia="Calibri" w:hAnsi="Arial" w:cs="Arial"/>
                <w:color w:val="000000"/>
                <w:sz w:val="24"/>
              </w:rPr>
            </w:pPr>
            <w:r w:rsidRPr="00ED38E8">
              <w:rPr>
                <w:rFonts w:ascii="Arial" w:eastAsia="Calibri" w:hAnsi="Arial" w:cs="Arial"/>
                <w:color w:val="000000"/>
              </w:rPr>
              <w:t xml:space="preserve">-168.0%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221.0% </w:t>
            </w:r>
          </w:p>
        </w:tc>
        <w:tc>
          <w:tcPr>
            <w:tcW w:w="1085"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360"/>
        </w:trPr>
        <w:tc>
          <w:tcPr>
            <w:tcW w:w="4199" w:type="dxa"/>
          </w:tcPr>
          <w:p w:rsidR="009C5AAE" w:rsidRPr="00ED38E8" w:rsidRDefault="009C5AAE" w:rsidP="008C2D73">
            <w:pPr>
              <w:ind w:right="3"/>
              <w:rPr>
                <w:rFonts w:ascii="Arial" w:eastAsia="Calibri" w:hAnsi="Arial" w:cs="Arial"/>
                <w:sz w:val="20"/>
                <w:szCs w:val="20"/>
              </w:rPr>
            </w:pPr>
            <w:r w:rsidRPr="00ED38E8">
              <w:rPr>
                <w:rFonts w:ascii="Arial" w:eastAsia="Calibri" w:hAnsi="Arial" w:cs="Arial"/>
                <w:sz w:val="20"/>
                <w:szCs w:val="20"/>
              </w:rPr>
              <w:t xml:space="preserve">Other provisions </w:t>
            </w:r>
          </w:p>
        </w:tc>
        <w:tc>
          <w:tcPr>
            <w:tcW w:w="1168"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254" w:type="dxa"/>
          </w:tcPr>
          <w:p w:rsidR="009C5AAE" w:rsidRPr="00ED38E8" w:rsidRDefault="009C5AAE" w:rsidP="008C2D73">
            <w:pPr>
              <w:ind w:left="111"/>
              <w:rPr>
                <w:rFonts w:ascii="Arial" w:eastAsia="Calibri" w:hAnsi="Arial" w:cs="Arial"/>
                <w:color w:val="000000"/>
                <w:sz w:val="24"/>
              </w:rPr>
            </w:pPr>
            <w:r w:rsidRPr="00ED38E8">
              <w:rPr>
                <w:rFonts w:ascii="Arial" w:eastAsia="Calibri" w:hAnsi="Arial" w:cs="Arial"/>
                <w:color w:val="000000"/>
              </w:rPr>
              <w:t xml:space="preserve">0.00% </w:t>
            </w:r>
          </w:p>
        </w:tc>
        <w:tc>
          <w:tcPr>
            <w:tcW w:w="1124"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085"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0.00% </w:t>
            </w:r>
          </w:p>
        </w:tc>
        <w:tc>
          <w:tcPr>
            <w:tcW w:w="1085" w:type="dxa"/>
          </w:tcPr>
          <w:p w:rsidR="009C5AAE" w:rsidRPr="00ED38E8" w:rsidRDefault="009C5AAE" w:rsidP="008C2D73">
            <w:pPr>
              <w:ind w:left="53"/>
              <w:rPr>
                <w:rFonts w:ascii="Arial" w:eastAsia="Calibri" w:hAnsi="Arial" w:cs="Arial"/>
                <w:color w:val="000000"/>
                <w:sz w:val="24"/>
              </w:rPr>
            </w:pPr>
            <w:r w:rsidRPr="00ED38E8">
              <w:rPr>
                <w:rFonts w:ascii="Arial" w:eastAsia="Calibri" w:hAnsi="Arial" w:cs="Arial"/>
                <w:color w:val="000000"/>
              </w:rPr>
              <w:t xml:space="preserve">0.00% </w:t>
            </w:r>
          </w:p>
        </w:tc>
      </w:tr>
      <w:tr w:rsidR="009C5AAE" w:rsidRPr="00ED38E8" w:rsidTr="008C2D73">
        <w:trPr>
          <w:trHeight w:val="345"/>
        </w:trPr>
        <w:tc>
          <w:tcPr>
            <w:tcW w:w="4199" w:type="dxa"/>
          </w:tcPr>
          <w:p w:rsidR="009C5AAE" w:rsidRPr="00ED38E8" w:rsidRDefault="009C5AAE" w:rsidP="008C2D73">
            <w:pPr>
              <w:rPr>
                <w:rFonts w:ascii="Arial" w:eastAsia="Calibri" w:hAnsi="Arial" w:cs="Arial"/>
                <w:sz w:val="20"/>
                <w:szCs w:val="20"/>
              </w:rPr>
            </w:pPr>
            <w:r w:rsidRPr="00ED38E8">
              <w:rPr>
                <w:rFonts w:ascii="Arial" w:eastAsia="Calibri" w:hAnsi="Arial" w:cs="Arial"/>
                <w:sz w:val="20"/>
                <w:szCs w:val="20"/>
              </w:rPr>
              <w:t xml:space="preserve">Total provision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120.73% </w:t>
            </w:r>
          </w:p>
        </w:tc>
        <w:tc>
          <w:tcPr>
            <w:tcW w:w="1254"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81.22%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161.59% </w:t>
            </w:r>
          </w:p>
        </w:tc>
        <w:tc>
          <w:tcPr>
            <w:tcW w:w="1085"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4.09%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345"/>
        </w:trPr>
        <w:tc>
          <w:tcPr>
            <w:tcW w:w="4199" w:type="dxa"/>
          </w:tcPr>
          <w:p w:rsidR="009C5AAE" w:rsidRPr="00ED38E8" w:rsidRDefault="009C5AAE" w:rsidP="008C2D73">
            <w:pPr>
              <w:ind w:right="7"/>
              <w:rPr>
                <w:rFonts w:ascii="Arial" w:eastAsia="Calibri" w:hAnsi="Arial" w:cs="Arial"/>
                <w:sz w:val="20"/>
                <w:szCs w:val="20"/>
              </w:rPr>
            </w:pPr>
            <w:r w:rsidRPr="00ED38E8">
              <w:rPr>
                <w:rFonts w:ascii="Arial" w:eastAsia="Calibri" w:hAnsi="Arial" w:cs="Arial"/>
                <w:sz w:val="20"/>
                <w:szCs w:val="20"/>
              </w:rPr>
              <w:lastRenderedPageBreak/>
              <w:t xml:space="preserve">Total profit  before taxation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280.10% </w:t>
            </w:r>
          </w:p>
        </w:tc>
        <w:tc>
          <w:tcPr>
            <w:tcW w:w="1254" w:type="dxa"/>
          </w:tcPr>
          <w:p w:rsidR="009C5AAE" w:rsidRPr="00ED38E8" w:rsidRDefault="009C5AAE" w:rsidP="008C2D73">
            <w:pPr>
              <w:ind w:left="58"/>
              <w:rPr>
                <w:rFonts w:ascii="Arial" w:eastAsia="Calibri" w:hAnsi="Arial" w:cs="Arial"/>
                <w:color w:val="000000"/>
                <w:sz w:val="24"/>
              </w:rPr>
            </w:pPr>
            <w:r w:rsidRPr="00ED38E8">
              <w:rPr>
                <w:rFonts w:ascii="Arial" w:eastAsia="Calibri" w:hAnsi="Arial" w:cs="Arial"/>
                <w:color w:val="000000"/>
              </w:rPr>
              <w:t xml:space="preserve">230.0%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198.35%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165.00%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360"/>
        </w:trPr>
        <w:tc>
          <w:tcPr>
            <w:tcW w:w="4199" w:type="dxa"/>
          </w:tcPr>
          <w:p w:rsidR="009C5AAE" w:rsidRPr="00ED38E8" w:rsidRDefault="009C5AAE" w:rsidP="008C2D73">
            <w:pPr>
              <w:ind w:right="7"/>
              <w:rPr>
                <w:rFonts w:ascii="Arial" w:eastAsia="Calibri" w:hAnsi="Arial" w:cs="Arial"/>
                <w:sz w:val="20"/>
                <w:szCs w:val="20"/>
              </w:rPr>
            </w:pPr>
            <w:r w:rsidRPr="00ED38E8">
              <w:rPr>
                <w:rFonts w:ascii="Arial" w:eastAsia="Calibri" w:hAnsi="Arial" w:cs="Arial"/>
                <w:sz w:val="20"/>
                <w:szCs w:val="20"/>
              </w:rPr>
              <w:t xml:space="preserve">Provision for taxation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218.79%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193.48%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178.32%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143.51%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100.0% </w:t>
            </w:r>
          </w:p>
        </w:tc>
      </w:tr>
      <w:tr w:rsidR="009C5AAE" w:rsidRPr="00ED38E8" w:rsidTr="008C2D73">
        <w:trPr>
          <w:trHeight w:val="360"/>
        </w:trPr>
        <w:tc>
          <w:tcPr>
            <w:tcW w:w="4199" w:type="dxa"/>
          </w:tcPr>
          <w:p w:rsidR="009C5AAE" w:rsidRPr="00ED38E8" w:rsidRDefault="009C5AAE" w:rsidP="008C2D73">
            <w:pPr>
              <w:ind w:right="3"/>
              <w:rPr>
                <w:rFonts w:ascii="Arial" w:eastAsia="Calibri" w:hAnsi="Arial" w:cs="Arial"/>
                <w:sz w:val="20"/>
                <w:szCs w:val="20"/>
              </w:rPr>
            </w:pPr>
            <w:r w:rsidRPr="00ED38E8">
              <w:rPr>
                <w:rFonts w:ascii="Arial" w:eastAsia="Calibri" w:hAnsi="Arial" w:cs="Arial"/>
                <w:sz w:val="20"/>
                <w:szCs w:val="20"/>
              </w:rPr>
              <w:t xml:space="preserve">Current tax expense </w:t>
            </w:r>
          </w:p>
        </w:tc>
        <w:tc>
          <w:tcPr>
            <w:tcW w:w="1168"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227.33% </w:t>
            </w:r>
          </w:p>
        </w:tc>
        <w:tc>
          <w:tcPr>
            <w:tcW w:w="125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199.32% </w:t>
            </w:r>
          </w:p>
        </w:tc>
        <w:tc>
          <w:tcPr>
            <w:tcW w:w="112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183.92%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150.63%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100.0% </w:t>
            </w:r>
          </w:p>
        </w:tc>
      </w:tr>
    </w:tbl>
    <w:p w:rsidR="009C5AAE" w:rsidRPr="00934F24" w:rsidRDefault="009C5AAE" w:rsidP="009C5AAE">
      <w:pPr>
        <w:tabs>
          <w:tab w:val="left" w:pos="1296"/>
        </w:tabs>
        <w:rPr>
          <w:rFonts w:ascii="Arial" w:hAnsi="Arial" w:cs="Arial"/>
        </w:rPr>
      </w:pPr>
    </w:p>
    <w:p w:rsidR="009C5AAE" w:rsidRPr="00934F24" w:rsidRDefault="00003A48" w:rsidP="009C5AAE">
      <w:pPr>
        <w:spacing w:after="31" w:line="270" w:lineRule="auto"/>
        <w:ind w:right="5"/>
        <w:jc w:val="both"/>
        <w:rPr>
          <w:rFonts w:ascii="Arial" w:eastAsia="Calibri" w:hAnsi="Arial" w:cs="Arial"/>
          <w:color w:val="000000"/>
        </w:rPr>
      </w:pPr>
      <w:proofErr w:type="gramStart"/>
      <w:r>
        <w:rPr>
          <w:rFonts w:ascii="Arial" w:eastAsia="Calibri" w:hAnsi="Arial" w:cs="Arial"/>
          <w:color w:val="000000"/>
        </w:rPr>
        <w:t>Any other way</w:t>
      </w:r>
      <w:r w:rsidR="009C5AAE" w:rsidRPr="00934F24">
        <w:rPr>
          <w:rFonts w:ascii="Arial" w:eastAsia="Calibri" w:hAnsi="Arial" w:cs="Arial"/>
          <w:color w:val="000000"/>
        </w:rPr>
        <w:t xml:space="preserve">, the interest income also </w:t>
      </w:r>
      <w:r w:rsidR="009C5AAE">
        <w:rPr>
          <w:rFonts w:ascii="Arial" w:eastAsia="Calibri" w:hAnsi="Arial" w:cs="Arial"/>
          <w:color w:val="000000"/>
        </w:rPr>
        <w:t>grown</w:t>
      </w:r>
      <w:r w:rsidR="009C5AAE" w:rsidRPr="00934F24">
        <w:rPr>
          <w:rFonts w:ascii="Arial" w:eastAsia="Calibri" w:hAnsi="Arial" w:cs="Arial"/>
          <w:color w:val="000000"/>
        </w:rPr>
        <w:t xml:space="preserve"> during 2014 to 2018.Total operating income </w:t>
      </w:r>
      <w:r w:rsidR="009C5AAE">
        <w:rPr>
          <w:rFonts w:ascii="Arial" w:eastAsia="Calibri" w:hAnsi="Arial" w:cs="Arial"/>
          <w:color w:val="000000"/>
        </w:rPr>
        <w:t>grown</w:t>
      </w:r>
      <w:r w:rsidR="009C5AAE" w:rsidRPr="00934F24">
        <w:rPr>
          <w:rFonts w:ascii="Arial" w:eastAsia="Calibri" w:hAnsi="Arial" w:cs="Arial"/>
          <w:color w:val="000000"/>
        </w:rPr>
        <w:t xml:space="preserve"> which is composed of the investment incomes, commission income and other operating incomes.</w:t>
      </w:r>
      <w:proofErr w:type="gramEnd"/>
      <w:r w:rsidR="009C5AAE" w:rsidRPr="00934F24">
        <w:rPr>
          <w:rFonts w:ascii="Arial" w:eastAsia="Calibri" w:hAnsi="Arial" w:cs="Arial"/>
          <w:color w:val="000000"/>
        </w:rPr>
        <w:t xml:space="preserve"> </w:t>
      </w:r>
    </w:p>
    <w:p w:rsidR="009C5AAE" w:rsidRPr="00934F24" w:rsidRDefault="009C5AAE" w:rsidP="009C5AAE">
      <w:pPr>
        <w:spacing w:after="31" w:line="270" w:lineRule="auto"/>
        <w:ind w:right="5"/>
        <w:jc w:val="both"/>
        <w:rPr>
          <w:rFonts w:ascii="Arial" w:eastAsia="Calibri" w:hAnsi="Arial" w:cs="Arial"/>
          <w:color w:val="000000"/>
        </w:rPr>
      </w:pPr>
    </w:p>
    <w:p w:rsidR="009C5AAE" w:rsidRPr="00934F24" w:rsidRDefault="008D3161" w:rsidP="009C5AAE">
      <w:pPr>
        <w:spacing w:after="31" w:line="270" w:lineRule="auto"/>
        <w:ind w:right="5"/>
        <w:jc w:val="both"/>
        <w:rPr>
          <w:rFonts w:ascii="Arial" w:eastAsia="Calibri" w:hAnsi="Arial" w:cs="Arial"/>
          <w:color w:val="000000"/>
        </w:rPr>
      </w:pPr>
      <w:proofErr w:type="gramStart"/>
      <w:r>
        <w:rPr>
          <w:rFonts w:ascii="Arial" w:eastAsia="Calibri" w:hAnsi="Arial" w:cs="Arial"/>
          <w:color w:val="000000"/>
        </w:rPr>
        <w:t>Any other way</w:t>
      </w:r>
      <w:r w:rsidR="009C5AAE" w:rsidRPr="00934F24">
        <w:rPr>
          <w:rFonts w:ascii="Arial" w:eastAsia="Calibri" w:hAnsi="Arial" w:cs="Arial"/>
          <w:color w:val="000000"/>
        </w:rPr>
        <w:t xml:space="preserve">, the total operating expenses </w:t>
      </w:r>
      <w:r w:rsidR="009C5AAE">
        <w:rPr>
          <w:rFonts w:ascii="Arial" w:eastAsia="Calibri" w:hAnsi="Arial" w:cs="Arial"/>
          <w:color w:val="000000"/>
        </w:rPr>
        <w:t>grown</w:t>
      </w:r>
      <w:r w:rsidR="009C5AAE" w:rsidRPr="00934F24">
        <w:rPr>
          <w:rFonts w:ascii="Arial" w:eastAsia="Calibri" w:hAnsi="Arial" w:cs="Arial"/>
          <w:color w:val="000000"/>
        </w:rPr>
        <w:t xml:space="preserve"> which included the Interest expenses, provisions against non-performing loans, bad debts that were written off directly and administrative expenses also </w:t>
      </w:r>
      <w:r w:rsidR="009C5AAE">
        <w:rPr>
          <w:rFonts w:ascii="Arial" w:eastAsia="Calibri" w:hAnsi="Arial" w:cs="Arial"/>
          <w:color w:val="000000"/>
        </w:rPr>
        <w:t>grown</w:t>
      </w:r>
      <w:r w:rsidR="009C5AAE" w:rsidRPr="00934F24">
        <w:rPr>
          <w:rFonts w:ascii="Arial" w:eastAsia="Calibri" w:hAnsi="Arial" w:cs="Arial"/>
          <w:color w:val="000000"/>
        </w:rPr>
        <w:t xml:space="preserve"> simultaneously.</w:t>
      </w:r>
      <w:proofErr w:type="gramEnd"/>
      <w:r w:rsidR="009C5AAE" w:rsidRPr="00934F24">
        <w:rPr>
          <w:rFonts w:ascii="Arial" w:eastAsia="Calibri" w:hAnsi="Arial" w:cs="Arial"/>
          <w:color w:val="000000"/>
        </w:rPr>
        <w:t xml:space="preserve"> But the rise in income was more than that of the increase in expenses. </w:t>
      </w:r>
    </w:p>
    <w:p w:rsidR="009C5AAE" w:rsidRPr="00934F24" w:rsidRDefault="009C5AAE" w:rsidP="009C5AAE">
      <w:pPr>
        <w:spacing w:after="6" w:line="270" w:lineRule="auto"/>
        <w:ind w:right="5"/>
        <w:jc w:val="both"/>
        <w:rPr>
          <w:rFonts w:ascii="Arial" w:eastAsia="Calibri" w:hAnsi="Arial" w:cs="Arial"/>
          <w:color w:val="000000"/>
        </w:rPr>
      </w:pPr>
      <w:proofErr w:type="gramStart"/>
      <w:r w:rsidRPr="00934F24">
        <w:rPr>
          <w:rFonts w:ascii="Arial" w:eastAsia="Calibri" w:hAnsi="Arial" w:cs="Arial"/>
          <w:color w:val="000000"/>
        </w:rPr>
        <w:t xml:space="preserve">Total profit before taxations and net profit after taxations also </w:t>
      </w:r>
      <w:r>
        <w:rPr>
          <w:rFonts w:ascii="Arial" w:eastAsia="Calibri" w:hAnsi="Arial" w:cs="Arial"/>
          <w:color w:val="000000"/>
        </w:rPr>
        <w:t>grown</w:t>
      </w:r>
      <w:r w:rsidRPr="00934F24">
        <w:rPr>
          <w:rFonts w:ascii="Arial" w:eastAsia="Calibri" w:hAnsi="Arial" w:cs="Arial"/>
          <w:color w:val="000000"/>
        </w:rPr>
        <w:t xml:space="preserve"> significantly from 2014 to 2018</w:t>
      </w:r>
      <w:bookmarkStart w:id="31" w:name="_Toc18330025"/>
      <w:r w:rsidRPr="00934F24">
        <w:rPr>
          <w:rFonts w:ascii="Arial" w:eastAsia="Calibri" w:hAnsi="Arial" w:cs="Arial"/>
          <w:color w:val="000000"/>
        </w:rPr>
        <w:t>.</w:t>
      </w:r>
      <w:proofErr w:type="gramEnd"/>
      <w:r w:rsidRPr="00934F24">
        <w:rPr>
          <w:rFonts w:ascii="Arial" w:eastAsia="Calibri" w:hAnsi="Arial" w:cs="Arial"/>
          <w:color w:val="000000"/>
        </w:rPr>
        <w:t xml:space="preserve"> </w:t>
      </w: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spacing w:after="6" w:line="270" w:lineRule="auto"/>
        <w:ind w:right="5"/>
        <w:jc w:val="both"/>
        <w:rPr>
          <w:rFonts w:ascii="Arial" w:eastAsia="Calibri" w:hAnsi="Arial" w:cs="Arial"/>
          <w:color w:val="000000"/>
          <w:sz w:val="24"/>
        </w:rPr>
      </w:pPr>
    </w:p>
    <w:p w:rsidR="009C5AAE" w:rsidRPr="00ED38E8" w:rsidRDefault="009C5AAE" w:rsidP="009C5AAE">
      <w:pPr>
        <w:pStyle w:val="Heading2"/>
        <w:rPr>
          <w:rFonts w:ascii="Arial" w:eastAsia="Calibri" w:hAnsi="Arial" w:cs="Arial"/>
          <w:b/>
          <w:bCs/>
          <w:sz w:val="32"/>
          <w:szCs w:val="32"/>
        </w:rPr>
      </w:pPr>
      <w:r>
        <w:rPr>
          <w:rFonts w:ascii="Arial" w:eastAsia="Calibri" w:hAnsi="Arial" w:cs="Arial"/>
          <w:b/>
          <w:bCs/>
          <w:sz w:val="32"/>
          <w:szCs w:val="32"/>
        </w:rPr>
        <w:lastRenderedPageBreak/>
        <w:t>3.2</w:t>
      </w:r>
      <w:r w:rsidRPr="00ED38E8">
        <w:rPr>
          <w:rFonts w:ascii="Arial" w:eastAsia="Calibri" w:hAnsi="Arial" w:cs="Arial"/>
          <w:b/>
          <w:bCs/>
          <w:sz w:val="32"/>
          <w:szCs w:val="32"/>
        </w:rPr>
        <w:t xml:space="preserve"> Vertical Analysis (IDLC)</w:t>
      </w:r>
      <w:bookmarkEnd w:id="31"/>
      <w:r w:rsidRPr="00ED38E8">
        <w:rPr>
          <w:rFonts w:ascii="Arial" w:eastAsia="Calibri" w:hAnsi="Arial" w:cs="Arial"/>
          <w:b/>
          <w:bCs/>
          <w:sz w:val="32"/>
          <w:szCs w:val="32"/>
        </w:rPr>
        <w:t xml:space="preserve"> </w:t>
      </w:r>
    </w:p>
    <w:p w:rsidR="009C5AAE" w:rsidRPr="00ED38E8" w:rsidRDefault="009C5AAE" w:rsidP="009C5AAE">
      <w:pPr>
        <w:pStyle w:val="Heading3"/>
        <w:rPr>
          <w:rFonts w:ascii="Arial" w:eastAsia="Calibri" w:hAnsi="Arial" w:cs="Arial"/>
          <w:b/>
          <w:bCs/>
          <w:color w:val="984806" w:themeColor="accent6" w:themeShade="80"/>
          <w:sz w:val="28"/>
          <w:szCs w:val="28"/>
        </w:rPr>
      </w:pPr>
      <w:bookmarkStart w:id="32" w:name="_Toc18330026"/>
      <w:r>
        <w:rPr>
          <w:rFonts w:ascii="Arial" w:eastAsia="Calibri" w:hAnsi="Arial" w:cs="Arial"/>
          <w:b/>
          <w:bCs/>
          <w:color w:val="984806" w:themeColor="accent6" w:themeShade="80"/>
          <w:sz w:val="28"/>
          <w:szCs w:val="28"/>
        </w:rPr>
        <w:t>3.2</w:t>
      </w:r>
      <w:r w:rsidRPr="00ED38E8">
        <w:rPr>
          <w:rFonts w:ascii="Arial" w:eastAsia="Calibri" w:hAnsi="Arial" w:cs="Arial"/>
          <w:b/>
          <w:bCs/>
          <w:color w:val="984806" w:themeColor="accent6" w:themeShade="80"/>
          <w:sz w:val="28"/>
          <w:szCs w:val="28"/>
        </w:rPr>
        <w:t>.1 Vertical Analysis of Balance Sheet (IDLC)</w:t>
      </w:r>
      <w:bookmarkEnd w:id="32"/>
      <w:r w:rsidRPr="00ED38E8">
        <w:rPr>
          <w:rFonts w:ascii="Arial" w:eastAsia="Calibri" w:hAnsi="Arial" w:cs="Arial"/>
          <w:b/>
          <w:bCs/>
          <w:color w:val="984806" w:themeColor="accent6" w:themeShade="80"/>
          <w:sz w:val="28"/>
          <w:szCs w:val="28"/>
        </w:rPr>
        <w:t xml:space="preserve"> </w:t>
      </w:r>
    </w:p>
    <w:tbl>
      <w:tblPr>
        <w:tblW w:w="10140"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17"/>
        <w:gridCol w:w="1208"/>
        <w:gridCol w:w="1252"/>
        <w:gridCol w:w="1252"/>
        <w:gridCol w:w="1165"/>
        <w:gridCol w:w="1246"/>
      </w:tblGrid>
      <w:tr w:rsidR="009C5AAE" w:rsidRPr="00ED38E8" w:rsidTr="008C2D73">
        <w:trPr>
          <w:trHeight w:val="467"/>
        </w:trPr>
        <w:tc>
          <w:tcPr>
            <w:tcW w:w="4017" w:type="dxa"/>
          </w:tcPr>
          <w:p w:rsidR="009C5AAE" w:rsidRPr="00ED38E8" w:rsidRDefault="009C5AAE" w:rsidP="008C2D73">
            <w:pPr>
              <w:rPr>
                <w:rFonts w:ascii="Arial" w:hAnsi="Arial" w:cs="Arial"/>
                <w:b/>
                <w:bCs/>
              </w:rPr>
            </w:pPr>
            <w:r w:rsidRPr="00ED38E8">
              <w:rPr>
                <w:rFonts w:ascii="Arial" w:hAnsi="Arial" w:cs="Arial"/>
                <w:b/>
                <w:bCs/>
              </w:rPr>
              <w:t>Particulars</w:t>
            </w:r>
          </w:p>
        </w:tc>
        <w:tc>
          <w:tcPr>
            <w:tcW w:w="1208" w:type="dxa"/>
          </w:tcPr>
          <w:p w:rsidR="009C5AAE" w:rsidRPr="00ED38E8" w:rsidRDefault="009C5AAE" w:rsidP="008C2D73">
            <w:pPr>
              <w:rPr>
                <w:rFonts w:ascii="Arial" w:hAnsi="Arial" w:cs="Arial"/>
              </w:rPr>
            </w:pPr>
            <w:r w:rsidRPr="00ED38E8">
              <w:rPr>
                <w:rFonts w:ascii="Arial" w:hAnsi="Arial" w:cs="Arial"/>
              </w:rPr>
              <w:t xml:space="preserve">2018 </w:t>
            </w:r>
          </w:p>
        </w:tc>
        <w:tc>
          <w:tcPr>
            <w:tcW w:w="1252" w:type="dxa"/>
          </w:tcPr>
          <w:p w:rsidR="009C5AAE" w:rsidRPr="00ED38E8" w:rsidRDefault="009C5AAE" w:rsidP="008C2D73">
            <w:pPr>
              <w:rPr>
                <w:rFonts w:ascii="Arial" w:hAnsi="Arial" w:cs="Arial"/>
              </w:rPr>
            </w:pPr>
            <w:r w:rsidRPr="00ED38E8">
              <w:rPr>
                <w:rFonts w:ascii="Arial" w:hAnsi="Arial" w:cs="Arial"/>
              </w:rPr>
              <w:t>2017</w:t>
            </w:r>
          </w:p>
        </w:tc>
        <w:tc>
          <w:tcPr>
            <w:tcW w:w="1252" w:type="dxa"/>
          </w:tcPr>
          <w:p w:rsidR="009C5AAE" w:rsidRPr="00ED38E8" w:rsidRDefault="009C5AAE" w:rsidP="008C2D73">
            <w:pPr>
              <w:rPr>
                <w:rFonts w:ascii="Arial" w:hAnsi="Arial" w:cs="Arial"/>
              </w:rPr>
            </w:pPr>
            <w:r w:rsidRPr="00ED38E8">
              <w:rPr>
                <w:rFonts w:ascii="Arial" w:hAnsi="Arial" w:cs="Arial"/>
              </w:rPr>
              <w:t xml:space="preserve">2016 </w:t>
            </w:r>
          </w:p>
        </w:tc>
        <w:tc>
          <w:tcPr>
            <w:tcW w:w="1165" w:type="dxa"/>
          </w:tcPr>
          <w:p w:rsidR="009C5AAE" w:rsidRPr="00ED38E8" w:rsidRDefault="009C5AAE" w:rsidP="008C2D73">
            <w:pPr>
              <w:rPr>
                <w:rFonts w:ascii="Arial" w:hAnsi="Arial" w:cs="Arial"/>
              </w:rPr>
            </w:pPr>
            <w:r w:rsidRPr="00ED38E8">
              <w:rPr>
                <w:rFonts w:ascii="Arial" w:hAnsi="Arial" w:cs="Arial"/>
              </w:rPr>
              <w:t xml:space="preserve">2015 </w:t>
            </w:r>
          </w:p>
        </w:tc>
        <w:tc>
          <w:tcPr>
            <w:tcW w:w="1246" w:type="dxa"/>
          </w:tcPr>
          <w:p w:rsidR="009C5AAE" w:rsidRPr="00ED38E8" w:rsidRDefault="009C5AAE" w:rsidP="008C2D73">
            <w:pPr>
              <w:rPr>
                <w:rFonts w:ascii="Arial" w:hAnsi="Arial" w:cs="Arial"/>
              </w:rPr>
            </w:pPr>
            <w:r w:rsidRPr="00ED38E8">
              <w:rPr>
                <w:rFonts w:ascii="Arial" w:hAnsi="Arial" w:cs="Arial"/>
              </w:rPr>
              <w:t xml:space="preserve">2014 </w:t>
            </w:r>
          </w:p>
        </w:tc>
      </w:tr>
      <w:tr w:rsidR="009C5AAE" w:rsidRPr="00ED38E8" w:rsidTr="008C2D73">
        <w:trPr>
          <w:trHeight w:val="370"/>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Cash </w:t>
            </w:r>
          </w:p>
        </w:tc>
        <w:tc>
          <w:tcPr>
            <w:tcW w:w="1208"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1.15% </w:t>
            </w:r>
          </w:p>
        </w:tc>
        <w:tc>
          <w:tcPr>
            <w:tcW w:w="1252"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1.23% </w:t>
            </w:r>
          </w:p>
        </w:tc>
        <w:tc>
          <w:tcPr>
            <w:tcW w:w="1252"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1.21% </w:t>
            </w:r>
          </w:p>
        </w:tc>
        <w:tc>
          <w:tcPr>
            <w:tcW w:w="116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1.24% </w:t>
            </w:r>
          </w:p>
        </w:tc>
        <w:tc>
          <w:tcPr>
            <w:tcW w:w="1246"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1.48% </w:t>
            </w:r>
          </w:p>
        </w:tc>
      </w:tr>
      <w:tr w:rsidR="009C5AAE" w:rsidRPr="00ED38E8" w:rsidTr="008C2D73">
        <w:trPr>
          <w:trHeight w:val="390"/>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In hand  </w:t>
            </w:r>
          </w:p>
        </w:tc>
        <w:tc>
          <w:tcPr>
            <w:tcW w:w="1208"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0.00% </w:t>
            </w:r>
          </w:p>
        </w:tc>
        <w:tc>
          <w:tcPr>
            <w:tcW w:w="116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46"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0.00% </w:t>
            </w:r>
          </w:p>
        </w:tc>
      </w:tr>
      <w:tr w:rsidR="009C5AAE" w:rsidRPr="00ED38E8" w:rsidTr="008C2D73">
        <w:trPr>
          <w:trHeight w:val="458"/>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Balance with Bangladesh Bank and its agent  </w:t>
            </w:r>
          </w:p>
        </w:tc>
        <w:tc>
          <w:tcPr>
            <w:tcW w:w="1208"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1.15% </w:t>
            </w:r>
          </w:p>
        </w:tc>
        <w:tc>
          <w:tcPr>
            <w:tcW w:w="1252"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1.23% </w:t>
            </w:r>
          </w:p>
        </w:tc>
        <w:tc>
          <w:tcPr>
            <w:tcW w:w="1252"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1.21% </w:t>
            </w:r>
          </w:p>
        </w:tc>
        <w:tc>
          <w:tcPr>
            <w:tcW w:w="116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1.24% </w:t>
            </w:r>
          </w:p>
        </w:tc>
        <w:tc>
          <w:tcPr>
            <w:tcW w:w="1246"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1.48% </w:t>
            </w:r>
          </w:p>
        </w:tc>
      </w:tr>
      <w:tr w:rsidR="009C5AAE" w:rsidRPr="00ED38E8" w:rsidTr="008C2D73">
        <w:trPr>
          <w:trHeight w:val="385"/>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Balance with other banks and financial institutions </w:t>
            </w:r>
          </w:p>
        </w:tc>
        <w:tc>
          <w:tcPr>
            <w:tcW w:w="1208"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14.25% </w:t>
            </w:r>
          </w:p>
        </w:tc>
        <w:tc>
          <w:tcPr>
            <w:tcW w:w="1252"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13.08% </w:t>
            </w:r>
          </w:p>
        </w:tc>
        <w:tc>
          <w:tcPr>
            <w:tcW w:w="1252"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17.08% </w:t>
            </w:r>
          </w:p>
        </w:tc>
        <w:tc>
          <w:tcPr>
            <w:tcW w:w="1165"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12.31% </w:t>
            </w:r>
          </w:p>
        </w:tc>
        <w:tc>
          <w:tcPr>
            <w:tcW w:w="1246"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14.10% </w:t>
            </w:r>
          </w:p>
        </w:tc>
      </w:tr>
      <w:tr w:rsidR="009C5AAE" w:rsidRPr="00ED38E8" w:rsidTr="008C2D73">
        <w:trPr>
          <w:trHeight w:val="368"/>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Inside Bangladesh  </w:t>
            </w:r>
          </w:p>
        </w:tc>
        <w:tc>
          <w:tcPr>
            <w:tcW w:w="1208"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14.25% </w:t>
            </w:r>
          </w:p>
        </w:tc>
        <w:tc>
          <w:tcPr>
            <w:tcW w:w="1252"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13.08% </w:t>
            </w:r>
          </w:p>
        </w:tc>
        <w:tc>
          <w:tcPr>
            <w:tcW w:w="1252"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17.08% </w:t>
            </w:r>
          </w:p>
        </w:tc>
        <w:tc>
          <w:tcPr>
            <w:tcW w:w="1165"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12.31% </w:t>
            </w:r>
          </w:p>
        </w:tc>
        <w:tc>
          <w:tcPr>
            <w:tcW w:w="1246"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14.10% </w:t>
            </w:r>
          </w:p>
        </w:tc>
      </w:tr>
      <w:tr w:rsidR="009C5AAE" w:rsidRPr="00ED38E8" w:rsidTr="008C2D73">
        <w:trPr>
          <w:trHeight w:val="375"/>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Outside Bangladesh  </w:t>
            </w:r>
          </w:p>
        </w:tc>
        <w:tc>
          <w:tcPr>
            <w:tcW w:w="1208"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0.00% </w:t>
            </w:r>
          </w:p>
        </w:tc>
        <w:tc>
          <w:tcPr>
            <w:tcW w:w="116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46"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0.00% </w:t>
            </w:r>
          </w:p>
        </w:tc>
      </w:tr>
      <w:tr w:rsidR="009C5AAE" w:rsidRPr="00ED38E8" w:rsidTr="008C2D73">
        <w:trPr>
          <w:trHeight w:val="355"/>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Money at call and short notice  </w:t>
            </w:r>
          </w:p>
        </w:tc>
        <w:tc>
          <w:tcPr>
            <w:tcW w:w="1208"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0.00% </w:t>
            </w:r>
          </w:p>
        </w:tc>
        <w:tc>
          <w:tcPr>
            <w:tcW w:w="116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46"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0.00% </w:t>
            </w:r>
          </w:p>
        </w:tc>
      </w:tr>
      <w:tr w:rsidR="009C5AAE" w:rsidRPr="00ED38E8" w:rsidTr="008C2D73">
        <w:trPr>
          <w:trHeight w:val="377"/>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Investments </w:t>
            </w:r>
          </w:p>
        </w:tc>
        <w:tc>
          <w:tcPr>
            <w:tcW w:w="1208"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8.28% </w:t>
            </w:r>
          </w:p>
        </w:tc>
        <w:tc>
          <w:tcPr>
            <w:tcW w:w="1252"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5.48% </w:t>
            </w:r>
          </w:p>
        </w:tc>
        <w:tc>
          <w:tcPr>
            <w:tcW w:w="1252"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4.62% </w:t>
            </w:r>
          </w:p>
        </w:tc>
        <w:tc>
          <w:tcPr>
            <w:tcW w:w="116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4.47% </w:t>
            </w:r>
          </w:p>
        </w:tc>
        <w:tc>
          <w:tcPr>
            <w:tcW w:w="1246"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1.56% </w:t>
            </w:r>
          </w:p>
        </w:tc>
      </w:tr>
      <w:tr w:rsidR="009C5AAE" w:rsidRPr="00ED38E8" w:rsidTr="008C2D73">
        <w:trPr>
          <w:trHeight w:val="360"/>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Government </w:t>
            </w:r>
          </w:p>
        </w:tc>
        <w:tc>
          <w:tcPr>
            <w:tcW w:w="1208"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0.41% </w:t>
            </w:r>
          </w:p>
        </w:tc>
        <w:tc>
          <w:tcPr>
            <w:tcW w:w="116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0.51% </w:t>
            </w:r>
          </w:p>
        </w:tc>
        <w:tc>
          <w:tcPr>
            <w:tcW w:w="1246"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0.00% </w:t>
            </w:r>
          </w:p>
        </w:tc>
      </w:tr>
      <w:tr w:rsidR="009C5AAE" w:rsidRPr="00ED38E8" w:rsidTr="008C2D73">
        <w:trPr>
          <w:trHeight w:val="370"/>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Others </w:t>
            </w:r>
          </w:p>
        </w:tc>
        <w:tc>
          <w:tcPr>
            <w:tcW w:w="1208"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8.28% </w:t>
            </w:r>
          </w:p>
        </w:tc>
        <w:tc>
          <w:tcPr>
            <w:tcW w:w="1252"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5.48% </w:t>
            </w:r>
          </w:p>
        </w:tc>
        <w:tc>
          <w:tcPr>
            <w:tcW w:w="1252"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4.21% </w:t>
            </w:r>
          </w:p>
        </w:tc>
        <w:tc>
          <w:tcPr>
            <w:tcW w:w="116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3.96% </w:t>
            </w:r>
          </w:p>
        </w:tc>
        <w:tc>
          <w:tcPr>
            <w:tcW w:w="1246"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1.56% </w:t>
            </w:r>
          </w:p>
        </w:tc>
      </w:tr>
      <w:tr w:rsidR="009C5AAE" w:rsidRPr="00ED38E8" w:rsidTr="008C2D73">
        <w:trPr>
          <w:trHeight w:val="390"/>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Loans and advances  </w:t>
            </w:r>
          </w:p>
        </w:tc>
        <w:tc>
          <w:tcPr>
            <w:tcW w:w="1208"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74.72% </w:t>
            </w:r>
          </w:p>
        </w:tc>
        <w:tc>
          <w:tcPr>
            <w:tcW w:w="1252"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78.45% </w:t>
            </w:r>
          </w:p>
        </w:tc>
        <w:tc>
          <w:tcPr>
            <w:tcW w:w="1252"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75.19% </w:t>
            </w:r>
          </w:p>
        </w:tc>
        <w:tc>
          <w:tcPr>
            <w:tcW w:w="1165"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79.88% </w:t>
            </w:r>
          </w:p>
        </w:tc>
        <w:tc>
          <w:tcPr>
            <w:tcW w:w="1246"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81.19% </w:t>
            </w:r>
          </w:p>
        </w:tc>
      </w:tr>
      <w:tr w:rsidR="009C5AAE" w:rsidRPr="00ED38E8" w:rsidTr="008C2D73">
        <w:trPr>
          <w:trHeight w:val="345"/>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Loans, cash credit, overdraft etc. </w:t>
            </w:r>
          </w:p>
        </w:tc>
        <w:tc>
          <w:tcPr>
            <w:tcW w:w="1208"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74.72% </w:t>
            </w:r>
          </w:p>
        </w:tc>
        <w:tc>
          <w:tcPr>
            <w:tcW w:w="1252"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78.45% </w:t>
            </w:r>
          </w:p>
        </w:tc>
        <w:tc>
          <w:tcPr>
            <w:tcW w:w="1252"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75.19% </w:t>
            </w:r>
          </w:p>
        </w:tc>
        <w:tc>
          <w:tcPr>
            <w:tcW w:w="1165"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79.88% </w:t>
            </w:r>
          </w:p>
        </w:tc>
        <w:tc>
          <w:tcPr>
            <w:tcW w:w="1246"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81.19% </w:t>
            </w:r>
          </w:p>
        </w:tc>
      </w:tr>
      <w:tr w:rsidR="009C5AAE" w:rsidRPr="00ED38E8" w:rsidTr="008C2D73">
        <w:trPr>
          <w:trHeight w:val="345"/>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Bills purchased and discounted  </w:t>
            </w:r>
          </w:p>
        </w:tc>
        <w:tc>
          <w:tcPr>
            <w:tcW w:w="1208"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0.00% </w:t>
            </w:r>
          </w:p>
        </w:tc>
        <w:tc>
          <w:tcPr>
            <w:tcW w:w="116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46"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0.00% </w:t>
            </w:r>
          </w:p>
        </w:tc>
      </w:tr>
      <w:tr w:rsidR="009C5AAE" w:rsidRPr="00ED38E8" w:rsidTr="008C2D73">
        <w:trPr>
          <w:trHeight w:val="390"/>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Fixed assets including land, building, furniture  </w:t>
            </w:r>
          </w:p>
        </w:tc>
        <w:tc>
          <w:tcPr>
            <w:tcW w:w="1208"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0.69% </w:t>
            </w:r>
          </w:p>
        </w:tc>
        <w:tc>
          <w:tcPr>
            <w:tcW w:w="1252"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0.82% </w:t>
            </w:r>
          </w:p>
        </w:tc>
        <w:tc>
          <w:tcPr>
            <w:tcW w:w="1252"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0.73% </w:t>
            </w:r>
          </w:p>
        </w:tc>
        <w:tc>
          <w:tcPr>
            <w:tcW w:w="116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0.65% </w:t>
            </w:r>
          </w:p>
        </w:tc>
        <w:tc>
          <w:tcPr>
            <w:tcW w:w="1246"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0.78% </w:t>
            </w:r>
          </w:p>
        </w:tc>
      </w:tr>
      <w:tr w:rsidR="009C5AAE" w:rsidRPr="00ED38E8" w:rsidTr="008C2D73">
        <w:trPr>
          <w:trHeight w:val="435"/>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Other assets  </w:t>
            </w:r>
          </w:p>
        </w:tc>
        <w:tc>
          <w:tcPr>
            <w:tcW w:w="1208"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0.91% </w:t>
            </w:r>
          </w:p>
        </w:tc>
        <w:tc>
          <w:tcPr>
            <w:tcW w:w="1252"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0.93% </w:t>
            </w:r>
          </w:p>
        </w:tc>
        <w:tc>
          <w:tcPr>
            <w:tcW w:w="1252"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1.17% </w:t>
            </w:r>
          </w:p>
        </w:tc>
        <w:tc>
          <w:tcPr>
            <w:tcW w:w="116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1.45% </w:t>
            </w:r>
          </w:p>
        </w:tc>
        <w:tc>
          <w:tcPr>
            <w:tcW w:w="1246"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0.89% </w:t>
            </w:r>
          </w:p>
        </w:tc>
      </w:tr>
      <w:tr w:rsidR="009C5AAE" w:rsidRPr="00ED38E8" w:rsidTr="008C2D73">
        <w:trPr>
          <w:trHeight w:val="465"/>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Non-banking assets  </w:t>
            </w:r>
          </w:p>
        </w:tc>
        <w:tc>
          <w:tcPr>
            <w:tcW w:w="1208"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52"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0.00% </w:t>
            </w:r>
          </w:p>
        </w:tc>
        <w:tc>
          <w:tcPr>
            <w:tcW w:w="116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46"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0.00% </w:t>
            </w:r>
          </w:p>
        </w:tc>
      </w:tr>
      <w:tr w:rsidR="009C5AAE" w:rsidRPr="00ED38E8" w:rsidTr="008C2D73">
        <w:trPr>
          <w:trHeight w:val="323"/>
        </w:trPr>
        <w:tc>
          <w:tcPr>
            <w:tcW w:w="4017" w:type="dxa"/>
          </w:tcPr>
          <w:p w:rsidR="009C5AAE" w:rsidRPr="00ED38E8" w:rsidRDefault="009C5AAE" w:rsidP="008C2D73">
            <w:pPr>
              <w:rPr>
                <w:rFonts w:ascii="Arial" w:hAnsi="Arial" w:cs="Arial"/>
                <w:sz w:val="20"/>
                <w:szCs w:val="20"/>
              </w:rPr>
            </w:pPr>
            <w:r w:rsidRPr="00ED38E8">
              <w:rPr>
                <w:rFonts w:ascii="Arial" w:hAnsi="Arial" w:cs="Arial"/>
                <w:sz w:val="20"/>
                <w:szCs w:val="20"/>
              </w:rPr>
              <w:t xml:space="preserve">Total Assets  </w:t>
            </w:r>
          </w:p>
        </w:tc>
        <w:tc>
          <w:tcPr>
            <w:tcW w:w="1208" w:type="dxa"/>
          </w:tcPr>
          <w:p w:rsidR="009C5AAE" w:rsidRPr="00ED38E8" w:rsidRDefault="009C5AAE" w:rsidP="008C2D73">
            <w:pPr>
              <w:ind w:left="5"/>
              <w:rPr>
                <w:rFonts w:ascii="Arial" w:eastAsia="Calibri" w:hAnsi="Arial" w:cs="Arial"/>
                <w:color w:val="000000"/>
                <w:sz w:val="24"/>
              </w:rPr>
            </w:pPr>
            <w:r w:rsidRPr="00ED38E8">
              <w:rPr>
                <w:rFonts w:ascii="Arial" w:eastAsia="Calibri" w:hAnsi="Arial" w:cs="Arial"/>
                <w:color w:val="000000"/>
              </w:rPr>
              <w:t xml:space="preserve">100.00% </w:t>
            </w:r>
          </w:p>
        </w:tc>
        <w:tc>
          <w:tcPr>
            <w:tcW w:w="1252" w:type="dxa"/>
          </w:tcPr>
          <w:p w:rsidR="009C5AAE" w:rsidRPr="00ED38E8" w:rsidRDefault="009C5AAE" w:rsidP="008C2D73">
            <w:pPr>
              <w:ind w:left="5"/>
              <w:rPr>
                <w:rFonts w:ascii="Arial" w:eastAsia="Calibri" w:hAnsi="Arial" w:cs="Arial"/>
                <w:color w:val="000000"/>
                <w:sz w:val="24"/>
              </w:rPr>
            </w:pPr>
            <w:r w:rsidRPr="00ED38E8">
              <w:rPr>
                <w:rFonts w:ascii="Arial" w:eastAsia="Calibri" w:hAnsi="Arial" w:cs="Arial"/>
                <w:color w:val="000000"/>
              </w:rPr>
              <w:t xml:space="preserve">100.00% </w:t>
            </w:r>
          </w:p>
        </w:tc>
        <w:tc>
          <w:tcPr>
            <w:tcW w:w="1252" w:type="dxa"/>
          </w:tcPr>
          <w:p w:rsidR="009C5AAE" w:rsidRPr="00ED38E8" w:rsidRDefault="009C5AAE" w:rsidP="008C2D73">
            <w:pPr>
              <w:ind w:left="5"/>
              <w:rPr>
                <w:rFonts w:ascii="Arial" w:eastAsia="Calibri" w:hAnsi="Arial" w:cs="Arial"/>
                <w:color w:val="000000"/>
                <w:sz w:val="24"/>
              </w:rPr>
            </w:pPr>
            <w:r w:rsidRPr="00ED38E8">
              <w:rPr>
                <w:rFonts w:ascii="Arial" w:eastAsia="Calibri" w:hAnsi="Arial" w:cs="Arial"/>
                <w:color w:val="000000"/>
              </w:rPr>
              <w:t xml:space="preserve">100.00% </w:t>
            </w:r>
          </w:p>
        </w:tc>
        <w:tc>
          <w:tcPr>
            <w:tcW w:w="1165" w:type="dxa"/>
          </w:tcPr>
          <w:p w:rsidR="009C5AAE" w:rsidRPr="00ED38E8" w:rsidRDefault="009C5AAE" w:rsidP="008C2D73">
            <w:pPr>
              <w:ind w:left="5"/>
              <w:rPr>
                <w:rFonts w:ascii="Arial" w:eastAsia="Calibri" w:hAnsi="Arial" w:cs="Arial"/>
                <w:color w:val="000000"/>
                <w:sz w:val="24"/>
              </w:rPr>
            </w:pPr>
            <w:r w:rsidRPr="00ED38E8">
              <w:rPr>
                <w:rFonts w:ascii="Arial" w:eastAsia="Calibri" w:hAnsi="Arial" w:cs="Arial"/>
                <w:color w:val="000000"/>
              </w:rPr>
              <w:t xml:space="preserve">100.00% </w:t>
            </w:r>
          </w:p>
        </w:tc>
        <w:tc>
          <w:tcPr>
            <w:tcW w:w="1246" w:type="dxa"/>
          </w:tcPr>
          <w:p w:rsidR="009C5AAE" w:rsidRPr="00ED38E8" w:rsidRDefault="009C5AAE" w:rsidP="008C2D73">
            <w:pPr>
              <w:ind w:left="5"/>
              <w:jc w:val="both"/>
              <w:rPr>
                <w:rFonts w:ascii="Arial" w:eastAsia="Calibri" w:hAnsi="Arial" w:cs="Arial"/>
                <w:color w:val="000000"/>
                <w:sz w:val="24"/>
              </w:rPr>
            </w:pPr>
            <w:r w:rsidRPr="00ED38E8">
              <w:rPr>
                <w:rFonts w:ascii="Arial" w:eastAsia="Calibri" w:hAnsi="Arial" w:cs="Arial"/>
                <w:color w:val="000000"/>
              </w:rPr>
              <w:t xml:space="preserve">100.00% </w:t>
            </w:r>
          </w:p>
        </w:tc>
      </w:tr>
    </w:tbl>
    <w:p w:rsidR="009C5AAE" w:rsidRPr="00ED38E8" w:rsidRDefault="009C5AAE" w:rsidP="009C5AAE">
      <w:pPr>
        <w:rPr>
          <w:rFonts w:ascii="Arial" w:hAnsi="Arial" w:cs="Arial"/>
        </w:rPr>
      </w:pPr>
    </w:p>
    <w:p w:rsidR="009C5AAE" w:rsidRPr="00ED38E8" w:rsidRDefault="009C5AAE" w:rsidP="008C2D73">
      <w:pPr>
        <w:jc w:val="both"/>
        <w:rPr>
          <w:rFonts w:ascii="Arial" w:hAnsi="Arial" w:cs="Arial"/>
        </w:rPr>
      </w:pPr>
      <w:r w:rsidRPr="00ED38E8">
        <w:rPr>
          <w:rFonts w:ascii="Arial" w:hAnsi="Arial" w:cs="Arial"/>
        </w:rPr>
        <w:t xml:space="preserve">The percentage changes in the investments </w:t>
      </w:r>
      <w:r>
        <w:rPr>
          <w:rFonts w:ascii="Arial" w:hAnsi="Arial" w:cs="Arial"/>
        </w:rPr>
        <w:t>grown</w:t>
      </w:r>
      <w:r w:rsidRPr="00ED38E8">
        <w:rPr>
          <w:rFonts w:ascii="Arial" w:hAnsi="Arial" w:cs="Arial"/>
        </w:rPr>
        <w:t xml:space="preserve"> from 2014 to 2018 and the percentage changes in the loans and advances decreased from 2014 to 2018. </w:t>
      </w: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tbl>
      <w:tblPr>
        <w:tblW w:w="9915" w:type="dxa"/>
        <w:tblInd w:w="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4"/>
        <w:gridCol w:w="1326"/>
        <w:gridCol w:w="1244"/>
        <w:gridCol w:w="1121"/>
        <w:gridCol w:w="1085"/>
        <w:gridCol w:w="1085"/>
      </w:tblGrid>
      <w:tr w:rsidR="009C5AAE" w:rsidRPr="00ED38E8" w:rsidTr="008C2D73">
        <w:trPr>
          <w:trHeight w:val="502"/>
        </w:trPr>
        <w:tc>
          <w:tcPr>
            <w:tcW w:w="4054" w:type="dxa"/>
          </w:tcPr>
          <w:p w:rsidR="009C5AAE" w:rsidRPr="00ED38E8" w:rsidRDefault="009C5AAE" w:rsidP="008C2D73">
            <w:pPr>
              <w:pStyle w:val="Heading3"/>
              <w:jc w:val="both"/>
              <w:rPr>
                <w:rFonts w:ascii="Arial" w:eastAsia="Calibri" w:hAnsi="Arial" w:cs="Arial"/>
                <w:b/>
                <w:bCs/>
                <w:color w:val="auto"/>
                <w:sz w:val="28"/>
                <w:szCs w:val="28"/>
              </w:rPr>
            </w:pPr>
            <w:r w:rsidRPr="00ED38E8">
              <w:rPr>
                <w:rFonts w:ascii="Arial" w:eastAsia="Calibri" w:hAnsi="Arial" w:cs="Arial"/>
                <w:b/>
                <w:bCs/>
                <w:color w:val="auto"/>
                <w:sz w:val="28"/>
                <w:szCs w:val="28"/>
              </w:rPr>
              <w:t>Particulars</w:t>
            </w:r>
          </w:p>
        </w:tc>
        <w:tc>
          <w:tcPr>
            <w:tcW w:w="1326" w:type="dxa"/>
          </w:tcPr>
          <w:p w:rsidR="009C5AAE" w:rsidRPr="00ED38E8" w:rsidRDefault="009C5AAE" w:rsidP="008C2D73">
            <w:pPr>
              <w:ind w:left="221"/>
              <w:rPr>
                <w:rFonts w:ascii="Arial" w:eastAsia="Calibri" w:hAnsi="Arial" w:cs="Arial"/>
                <w:sz w:val="24"/>
              </w:rPr>
            </w:pPr>
            <w:r w:rsidRPr="00ED38E8">
              <w:rPr>
                <w:rFonts w:ascii="Arial" w:eastAsia="Calibri" w:hAnsi="Arial" w:cs="Arial"/>
              </w:rPr>
              <w:t xml:space="preserve">2018 </w:t>
            </w:r>
          </w:p>
        </w:tc>
        <w:tc>
          <w:tcPr>
            <w:tcW w:w="1244" w:type="dxa"/>
          </w:tcPr>
          <w:p w:rsidR="009C5AAE" w:rsidRPr="00ED38E8" w:rsidRDefault="009C5AAE" w:rsidP="008C2D73">
            <w:pPr>
              <w:ind w:left="163"/>
              <w:rPr>
                <w:rFonts w:ascii="Arial" w:eastAsia="Calibri" w:hAnsi="Arial" w:cs="Arial"/>
                <w:sz w:val="24"/>
              </w:rPr>
            </w:pPr>
            <w:r w:rsidRPr="00ED38E8">
              <w:rPr>
                <w:rFonts w:ascii="Arial" w:eastAsia="Calibri" w:hAnsi="Arial" w:cs="Arial"/>
              </w:rPr>
              <w:t>2017</w:t>
            </w:r>
          </w:p>
        </w:tc>
        <w:tc>
          <w:tcPr>
            <w:tcW w:w="1121" w:type="dxa"/>
          </w:tcPr>
          <w:p w:rsidR="009C5AAE" w:rsidRPr="00ED38E8" w:rsidRDefault="009C5AAE" w:rsidP="008C2D73">
            <w:pPr>
              <w:ind w:left="164"/>
              <w:rPr>
                <w:rFonts w:ascii="Arial" w:eastAsia="Calibri" w:hAnsi="Arial" w:cs="Arial"/>
                <w:sz w:val="24"/>
              </w:rPr>
            </w:pPr>
            <w:r w:rsidRPr="00ED38E8">
              <w:rPr>
                <w:rFonts w:ascii="Arial" w:eastAsia="Calibri" w:hAnsi="Arial" w:cs="Arial"/>
              </w:rPr>
              <w:t xml:space="preserve">2016 </w:t>
            </w:r>
          </w:p>
        </w:tc>
        <w:tc>
          <w:tcPr>
            <w:tcW w:w="1085" w:type="dxa"/>
          </w:tcPr>
          <w:p w:rsidR="009C5AAE" w:rsidRPr="00ED38E8" w:rsidRDefault="009C5AAE" w:rsidP="008C2D73">
            <w:pPr>
              <w:ind w:left="163"/>
              <w:rPr>
                <w:rFonts w:ascii="Arial" w:eastAsia="Calibri" w:hAnsi="Arial" w:cs="Arial"/>
                <w:sz w:val="24"/>
              </w:rPr>
            </w:pPr>
            <w:r w:rsidRPr="00ED38E8">
              <w:rPr>
                <w:rFonts w:ascii="Arial" w:eastAsia="Calibri" w:hAnsi="Arial" w:cs="Arial"/>
              </w:rPr>
              <w:t xml:space="preserve">2015 </w:t>
            </w:r>
          </w:p>
        </w:tc>
        <w:tc>
          <w:tcPr>
            <w:tcW w:w="1085" w:type="dxa"/>
          </w:tcPr>
          <w:p w:rsidR="009C5AAE" w:rsidRPr="00ED38E8" w:rsidRDefault="009C5AAE" w:rsidP="008C2D73">
            <w:pPr>
              <w:ind w:left="19"/>
              <w:rPr>
                <w:rFonts w:ascii="Arial" w:eastAsia="Calibri" w:hAnsi="Arial" w:cs="Arial"/>
                <w:sz w:val="24"/>
              </w:rPr>
            </w:pPr>
            <w:r w:rsidRPr="00ED38E8">
              <w:rPr>
                <w:rFonts w:ascii="Arial" w:eastAsia="Calibri" w:hAnsi="Arial" w:cs="Arial"/>
              </w:rPr>
              <w:t xml:space="preserve">2014 </w:t>
            </w:r>
          </w:p>
        </w:tc>
      </w:tr>
      <w:tr w:rsidR="009C5AAE" w:rsidRPr="00ED38E8" w:rsidTr="008C2D73">
        <w:trPr>
          <w:trHeight w:val="462"/>
        </w:trPr>
        <w:tc>
          <w:tcPr>
            <w:tcW w:w="4054" w:type="dxa"/>
          </w:tcPr>
          <w:p w:rsidR="009C5AAE" w:rsidRPr="00ED38E8" w:rsidRDefault="009C5AAE" w:rsidP="008C2D73">
            <w:pPr>
              <w:ind w:right="50"/>
              <w:rPr>
                <w:rFonts w:ascii="Arial" w:eastAsia="Calibri" w:hAnsi="Arial" w:cs="Arial"/>
                <w:sz w:val="20"/>
                <w:szCs w:val="20"/>
              </w:rPr>
            </w:pPr>
            <w:r w:rsidRPr="00ED38E8">
              <w:rPr>
                <w:rFonts w:ascii="Arial" w:eastAsia="Calibri" w:hAnsi="Arial" w:cs="Arial"/>
                <w:sz w:val="20"/>
                <w:szCs w:val="20"/>
              </w:rPr>
              <w:t xml:space="preserve">Liabilities </w:t>
            </w:r>
          </w:p>
        </w:tc>
        <w:tc>
          <w:tcPr>
            <w:tcW w:w="1326" w:type="dxa"/>
          </w:tcPr>
          <w:p w:rsidR="009C5AAE" w:rsidRPr="00ED38E8" w:rsidRDefault="009C5AAE" w:rsidP="008C2D73">
            <w:pPr>
              <w:ind w:left="442"/>
              <w:rPr>
                <w:rFonts w:ascii="Arial" w:eastAsia="Calibri" w:hAnsi="Arial" w:cs="Arial"/>
                <w:sz w:val="24"/>
              </w:rPr>
            </w:pPr>
          </w:p>
        </w:tc>
        <w:tc>
          <w:tcPr>
            <w:tcW w:w="1244" w:type="dxa"/>
          </w:tcPr>
          <w:p w:rsidR="009C5AAE" w:rsidRPr="00ED38E8" w:rsidRDefault="009C5AAE" w:rsidP="008C2D73">
            <w:pPr>
              <w:ind w:left="384"/>
              <w:rPr>
                <w:rFonts w:ascii="Arial" w:eastAsia="Calibri" w:hAnsi="Arial" w:cs="Arial"/>
                <w:sz w:val="24"/>
              </w:rPr>
            </w:pPr>
          </w:p>
        </w:tc>
        <w:tc>
          <w:tcPr>
            <w:tcW w:w="1121" w:type="dxa"/>
          </w:tcPr>
          <w:p w:rsidR="009C5AAE" w:rsidRPr="00ED38E8" w:rsidRDefault="009C5AAE" w:rsidP="008C2D73">
            <w:pPr>
              <w:ind w:left="385"/>
              <w:rPr>
                <w:rFonts w:ascii="Arial" w:eastAsia="Calibri" w:hAnsi="Arial" w:cs="Arial"/>
                <w:sz w:val="24"/>
              </w:rPr>
            </w:pPr>
          </w:p>
        </w:tc>
        <w:tc>
          <w:tcPr>
            <w:tcW w:w="1085" w:type="dxa"/>
          </w:tcPr>
          <w:p w:rsidR="009C5AAE" w:rsidRPr="00ED38E8" w:rsidRDefault="009C5AAE" w:rsidP="008C2D73">
            <w:pPr>
              <w:ind w:left="384"/>
              <w:rPr>
                <w:rFonts w:ascii="Arial" w:eastAsia="Calibri" w:hAnsi="Arial" w:cs="Arial"/>
                <w:sz w:val="24"/>
              </w:rPr>
            </w:pPr>
          </w:p>
        </w:tc>
        <w:tc>
          <w:tcPr>
            <w:tcW w:w="1085" w:type="dxa"/>
          </w:tcPr>
          <w:p w:rsidR="009C5AAE" w:rsidRPr="00ED38E8" w:rsidRDefault="009C5AAE" w:rsidP="008C2D73">
            <w:pPr>
              <w:ind w:left="245"/>
              <w:rPr>
                <w:rFonts w:ascii="Arial" w:eastAsia="Calibri" w:hAnsi="Arial" w:cs="Arial"/>
                <w:sz w:val="24"/>
              </w:rPr>
            </w:pPr>
          </w:p>
        </w:tc>
      </w:tr>
      <w:tr w:rsidR="009C5AAE" w:rsidRPr="00ED38E8" w:rsidTr="008C2D73">
        <w:trPr>
          <w:trHeight w:val="395"/>
        </w:trPr>
        <w:tc>
          <w:tcPr>
            <w:tcW w:w="4054" w:type="dxa"/>
          </w:tcPr>
          <w:p w:rsidR="009C5AAE" w:rsidRPr="00ED38E8" w:rsidRDefault="009C5AAE" w:rsidP="008C2D73">
            <w:pPr>
              <w:ind w:left="108"/>
              <w:rPr>
                <w:rFonts w:ascii="Arial" w:eastAsia="Calibri" w:hAnsi="Arial" w:cs="Arial"/>
                <w:sz w:val="20"/>
                <w:szCs w:val="20"/>
              </w:rPr>
            </w:pPr>
            <w:r w:rsidRPr="00ED38E8">
              <w:rPr>
                <w:rFonts w:ascii="Arial" w:eastAsia="Calibri" w:hAnsi="Arial" w:cs="Arial"/>
                <w:sz w:val="20"/>
                <w:szCs w:val="20"/>
              </w:rPr>
              <w:t xml:space="preserve">Borrowings from other banks,  financial institutions   </w:t>
            </w:r>
          </w:p>
        </w:tc>
        <w:tc>
          <w:tcPr>
            <w:tcW w:w="1326"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11.91% </w:t>
            </w:r>
          </w:p>
        </w:tc>
        <w:tc>
          <w:tcPr>
            <w:tcW w:w="1244"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15.84% </w:t>
            </w:r>
          </w:p>
        </w:tc>
        <w:tc>
          <w:tcPr>
            <w:tcW w:w="1121"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14.42% </w:t>
            </w:r>
          </w:p>
        </w:tc>
        <w:tc>
          <w:tcPr>
            <w:tcW w:w="1085"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15.61% </w:t>
            </w:r>
          </w:p>
        </w:tc>
        <w:tc>
          <w:tcPr>
            <w:tcW w:w="1085"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17.51% </w:t>
            </w:r>
          </w:p>
        </w:tc>
      </w:tr>
      <w:tr w:rsidR="009C5AAE" w:rsidRPr="00ED38E8" w:rsidTr="008C2D73">
        <w:trPr>
          <w:trHeight w:val="395"/>
        </w:trPr>
        <w:tc>
          <w:tcPr>
            <w:tcW w:w="4054" w:type="dxa"/>
          </w:tcPr>
          <w:p w:rsidR="009C5AAE" w:rsidRPr="00ED38E8" w:rsidRDefault="009C5AAE" w:rsidP="008C2D73">
            <w:pPr>
              <w:ind w:right="48"/>
              <w:rPr>
                <w:rFonts w:ascii="Arial" w:eastAsia="Calibri" w:hAnsi="Arial" w:cs="Arial"/>
                <w:sz w:val="20"/>
                <w:szCs w:val="20"/>
              </w:rPr>
            </w:pPr>
            <w:r w:rsidRPr="00ED38E8">
              <w:rPr>
                <w:rFonts w:ascii="Arial" w:eastAsia="Calibri" w:hAnsi="Arial" w:cs="Arial"/>
                <w:sz w:val="20"/>
                <w:szCs w:val="20"/>
              </w:rPr>
              <w:t xml:space="preserve">Deposits and other accounts  </w:t>
            </w:r>
          </w:p>
        </w:tc>
        <w:tc>
          <w:tcPr>
            <w:tcW w:w="1326"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64.89% </w:t>
            </w:r>
          </w:p>
        </w:tc>
        <w:tc>
          <w:tcPr>
            <w:tcW w:w="1244"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62.19% </w:t>
            </w:r>
          </w:p>
        </w:tc>
        <w:tc>
          <w:tcPr>
            <w:tcW w:w="1121"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64.85% </w:t>
            </w:r>
          </w:p>
        </w:tc>
        <w:tc>
          <w:tcPr>
            <w:tcW w:w="1085"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62.10% </w:t>
            </w:r>
          </w:p>
        </w:tc>
        <w:tc>
          <w:tcPr>
            <w:tcW w:w="1085"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59.86% </w:t>
            </w:r>
          </w:p>
        </w:tc>
      </w:tr>
      <w:tr w:rsidR="009C5AAE" w:rsidRPr="00ED38E8" w:rsidTr="008C2D73">
        <w:trPr>
          <w:trHeight w:val="467"/>
        </w:trPr>
        <w:tc>
          <w:tcPr>
            <w:tcW w:w="4054" w:type="dxa"/>
          </w:tcPr>
          <w:p w:rsidR="009C5AAE" w:rsidRPr="00ED38E8" w:rsidRDefault="009C5AAE" w:rsidP="008C2D73">
            <w:pPr>
              <w:ind w:left="108"/>
              <w:rPr>
                <w:rFonts w:ascii="Arial" w:eastAsia="Calibri" w:hAnsi="Arial" w:cs="Arial"/>
                <w:sz w:val="20"/>
                <w:szCs w:val="20"/>
              </w:rPr>
            </w:pPr>
            <w:r w:rsidRPr="00ED38E8">
              <w:rPr>
                <w:rFonts w:ascii="Arial" w:eastAsia="Calibri" w:hAnsi="Arial" w:cs="Arial"/>
                <w:sz w:val="20"/>
                <w:szCs w:val="20"/>
              </w:rPr>
              <w:t xml:space="preserve">Current accounts and other accounts etc. </w:t>
            </w:r>
          </w:p>
        </w:tc>
        <w:tc>
          <w:tcPr>
            <w:tcW w:w="1326"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44"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121"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0.00% </w:t>
            </w:r>
          </w:p>
        </w:tc>
        <w:tc>
          <w:tcPr>
            <w:tcW w:w="108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085"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0.00% </w:t>
            </w:r>
          </w:p>
        </w:tc>
      </w:tr>
      <w:tr w:rsidR="009C5AAE" w:rsidRPr="00ED38E8" w:rsidTr="008C2D73">
        <w:trPr>
          <w:trHeight w:val="413"/>
        </w:trPr>
        <w:tc>
          <w:tcPr>
            <w:tcW w:w="4054" w:type="dxa"/>
          </w:tcPr>
          <w:p w:rsidR="009C5AAE" w:rsidRPr="00ED38E8" w:rsidRDefault="009C5AAE" w:rsidP="008C2D73">
            <w:pPr>
              <w:ind w:left="108"/>
              <w:rPr>
                <w:rFonts w:ascii="Arial" w:eastAsia="Calibri" w:hAnsi="Arial" w:cs="Arial"/>
                <w:sz w:val="20"/>
                <w:szCs w:val="20"/>
              </w:rPr>
            </w:pPr>
            <w:r w:rsidRPr="00ED38E8">
              <w:rPr>
                <w:rFonts w:ascii="Arial" w:eastAsia="Calibri" w:hAnsi="Arial" w:cs="Arial"/>
                <w:sz w:val="20"/>
                <w:szCs w:val="20"/>
              </w:rPr>
              <w:t xml:space="preserve">Bills payable  </w:t>
            </w:r>
          </w:p>
        </w:tc>
        <w:tc>
          <w:tcPr>
            <w:tcW w:w="1326"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44"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121"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0.00% </w:t>
            </w:r>
          </w:p>
        </w:tc>
        <w:tc>
          <w:tcPr>
            <w:tcW w:w="108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085"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0.00% </w:t>
            </w:r>
          </w:p>
        </w:tc>
      </w:tr>
      <w:tr w:rsidR="009C5AAE" w:rsidRPr="00ED38E8" w:rsidTr="008C2D73">
        <w:trPr>
          <w:trHeight w:val="485"/>
        </w:trPr>
        <w:tc>
          <w:tcPr>
            <w:tcW w:w="4054" w:type="dxa"/>
          </w:tcPr>
          <w:p w:rsidR="009C5AAE" w:rsidRPr="00ED38E8" w:rsidRDefault="009C5AAE" w:rsidP="008C2D73">
            <w:pPr>
              <w:ind w:left="108"/>
              <w:rPr>
                <w:rFonts w:ascii="Arial" w:eastAsia="Calibri" w:hAnsi="Arial" w:cs="Arial"/>
                <w:sz w:val="20"/>
                <w:szCs w:val="20"/>
              </w:rPr>
            </w:pPr>
            <w:r w:rsidRPr="00ED38E8">
              <w:rPr>
                <w:rFonts w:ascii="Arial" w:eastAsia="Calibri" w:hAnsi="Arial" w:cs="Arial"/>
                <w:sz w:val="20"/>
                <w:szCs w:val="20"/>
              </w:rPr>
              <w:t xml:space="preserve">Savings bank deposits  </w:t>
            </w:r>
          </w:p>
        </w:tc>
        <w:tc>
          <w:tcPr>
            <w:tcW w:w="1326"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44"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121"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0.00% </w:t>
            </w:r>
          </w:p>
        </w:tc>
        <w:tc>
          <w:tcPr>
            <w:tcW w:w="108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085"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0.00% </w:t>
            </w:r>
          </w:p>
        </w:tc>
      </w:tr>
      <w:tr w:rsidR="009C5AAE" w:rsidRPr="00ED38E8" w:rsidTr="008C2D73">
        <w:trPr>
          <w:trHeight w:val="413"/>
        </w:trPr>
        <w:tc>
          <w:tcPr>
            <w:tcW w:w="4054" w:type="dxa"/>
          </w:tcPr>
          <w:p w:rsidR="009C5AAE" w:rsidRPr="00ED38E8" w:rsidRDefault="009C5AAE" w:rsidP="008C2D73">
            <w:pPr>
              <w:ind w:left="108"/>
              <w:rPr>
                <w:rFonts w:ascii="Arial" w:eastAsia="Calibri" w:hAnsi="Arial" w:cs="Arial"/>
                <w:sz w:val="20"/>
                <w:szCs w:val="20"/>
              </w:rPr>
            </w:pPr>
            <w:r w:rsidRPr="00ED38E8">
              <w:rPr>
                <w:rFonts w:ascii="Arial" w:eastAsia="Calibri" w:hAnsi="Arial" w:cs="Arial"/>
                <w:sz w:val="20"/>
                <w:szCs w:val="20"/>
              </w:rPr>
              <w:t xml:space="preserve">Term deposits  </w:t>
            </w:r>
          </w:p>
        </w:tc>
        <w:tc>
          <w:tcPr>
            <w:tcW w:w="1326"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62.55% </w:t>
            </w:r>
          </w:p>
        </w:tc>
        <w:tc>
          <w:tcPr>
            <w:tcW w:w="1244"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59.86% </w:t>
            </w:r>
          </w:p>
        </w:tc>
        <w:tc>
          <w:tcPr>
            <w:tcW w:w="1121"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62.69% </w:t>
            </w:r>
          </w:p>
        </w:tc>
        <w:tc>
          <w:tcPr>
            <w:tcW w:w="1085"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59.80% </w:t>
            </w:r>
          </w:p>
        </w:tc>
        <w:tc>
          <w:tcPr>
            <w:tcW w:w="1085"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57.63% </w:t>
            </w:r>
          </w:p>
        </w:tc>
      </w:tr>
      <w:tr w:rsidR="009C5AAE" w:rsidRPr="00ED38E8" w:rsidTr="008C2D73">
        <w:trPr>
          <w:trHeight w:val="431"/>
        </w:trPr>
        <w:tc>
          <w:tcPr>
            <w:tcW w:w="4054" w:type="dxa"/>
          </w:tcPr>
          <w:p w:rsidR="009C5AAE" w:rsidRPr="00ED38E8" w:rsidRDefault="009C5AAE" w:rsidP="008C2D73">
            <w:pPr>
              <w:ind w:left="108"/>
              <w:rPr>
                <w:rFonts w:ascii="Arial" w:eastAsia="Calibri" w:hAnsi="Arial" w:cs="Arial"/>
                <w:sz w:val="20"/>
                <w:szCs w:val="20"/>
              </w:rPr>
            </w:pPr>
            <w:r w:rsidRPr="00ED38E8">
              <w:rPr>
                <w:rFonts w:ascii="Arial" w:eastAsia="Calibri" w:hAnsi="Arial" w:cs="Arial"/>
                <w:sz w:val="20"/>
                <w:szCs w:val="20"/>
              </w:rPr>
              <w:t xml:space="preserve">Bearer certificate of deposits  </w:t>
            </w:r>
          </w:p>
        </w:tc>
        <w:tc>
          <w:tcPr>
            <w:tcW w:w="1326"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44"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121"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0.00% </w:t>
            </w:r>
          </w:p>
        </w:tc>
        <w:tc>
          <w:tcPr>
            <w:tcW w:w="108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0.00% </w:t>
            </w:r>
          </w:p>
        </w:tc>
        <w:tc>
          <w:tcPr>
            <w:tcW w:w="1085"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0.00% </w:t>
            </w:r>
          </w:p>
        </w:tc>
      </w:tr>
      <w:tr w:rsidR="009C5AAE" w:rsidRPr="00ED38E8" w:rsidTr="008C2D73">
        <w:trPr>
          <w:trHeight w:val="431"/>
        </w:trPr>
        <w:tc>
          <w:tcPr>
            <w:tcW w:w="4054" w:type="dxa"/>
          </w:tcPr>
          <w:p w:rsidR="009C5AAE" w:rsidRPr="00ED38E8" w:rsidRDefault="009C5AAE" w:rsidP="008C2D73">
            <w:pPr>
              <w:ind w:left="108"/>
              <w:rPr>
                <w:rFonts w:ascii="Arial" w:eastAsia="Calibri" w:hAnsi="Arial" w:cs="Arial"/>
                <w:sz w:val="20"/>
                <w:szCs w:val="20"/>
              </w:rPr>
            </w:pPr>
            <w:r w:rsidRPr="00ED38E8">
              <w:rPr>
                <w:rFonts w:ascii="Arial" w:eastAsia="Calibri" w:hAnsi="Arial" w:cs="Arial"/>
                <w:sz w:val="20"/>
                <w:szCs w:val="20"/>
              </w:rPr>
              <w:t xml:space="preserve">Other deposits  </w:t>
            </w:r>
          </w:p>
        </w:tc>
        <w:tc>
          <w:tcPr>
            <w:tcW w:w="1326"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2.34% </w:t>
            </w:r>
          </w:p>
        </w:tc>
        <w:tc>
          <w:tcPr>
            <w:tcW w:w="1244"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2.33% </w:t>
            </w:r>
          </w:p>
        </w:tc>
        <w:tc>
          <w:tcPr>
            <w:tcW w:w="1121"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2.16% </w:t>
            </w:r>
          </w:p>
        </w:tc>
        <w:tc>
          <w:tcPr>
            <w:tcW w:w="108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2.30% </w:t>
            </w:r>
          </w:p>
        </w:tc>
        <w:tc>
          <w:tcPr>
            <w:tcW w:w="1085"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2.23% </w:t>
            </w:r>
          </w:p>
        </w:tc>
      </w:tr>
      <w:tr w:rsidR="009C5AAE" w:rsidRPr="00ED38E8" w:rsidTr="008C2D73">
        <w:trPr>
          <w:trHeight w:val="413"/>
        </w:trPr>
        <w:tc>
          <w:tcPr>
            <w:tcW w:w="4054" w:type="dxa"/>
          </w:tcPr>
          <w:p w:rsidR="009C5AAE" w:rsidRPr="00ED38E8" w:rsidRDefault="009C5AAE" w:rsidP="008C2D73">
            <w:pPr>
              <w:ind w:right="55"/>
              <w:rPr>
                <w:rFonts w:ascii="Arial" w:eastAsia="Calibri" w:hAnsi="Arial" w:cs="Arial"/>
                <w:sz w:val="20"/>
                <w:szCs w:val="20"/>
              </w:rPr>
            </w:pPr>
            <w:r w:rsidRPr="00ED38E8">
              <w:rPr>
                <w:rFonts w:ascii="Arial" w:eastAsia="Calibri" w:hAnsi="Arial" w:cs="Arial"/>
                <w:sz w:val="20"/>
                <w:szCs w:val="20"/>
              </w:rPr>
              <w:t xml:space="preserve">Other liabilities  </w:t>
            </w:r>
          </w:p>
        </w:tc>
        <w:tc>
          <w:tcPr>
            <w:tcW w:w="1326"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10.03% </w:t>
            </w:r>
          </w:p>
        </w:tc>
        <w:tc>
          <w:tcPr>
            <w:tcW w:w="1244"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10.70% </w:t>
            </w:r>
          </w:p>
        </w:tc>
        <w:tc>
          <w:tcPr>
            <w:tcW w:w="1121"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10.13% </w:t>
            </w:r>
          </w:p>
        </w:tc>
        <w:tc>
          <w:tcPr>
            <w:tcW w:w="1085"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11.21% </w:t>
            </w:r>
          </w:p>
        </w:tc>
        <w:tc>
          <w:tcPr>
            <w:tcW w:w="1085"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12.00% </w:t>
            </w:r>
          </w:p>
        </w:tc>
      </w:tr>
      <w:tr w:rsidR="009C5AAE" w:rsidRPr="00ED38E8" w:rsidTr="008C2D73">
        <w:trPr>
          <w:trHeight w:val="413"/>
        </w:trPr>
        <w:tc>
          <w:tcPr>
            <w:tcW w:w="4054" w:type="dxa"/>
          </w:tcPr>
          <w:p w:rsidR="009C5AAE" w:rsidRPr="00ED38E8" w:rsidRDefault="009C5AAE" w:rsidP="008C2D73">
            <w:pPr>
              <w:ind w:right="53"/>
              <w:rPr>
                <w:rFonts w:ascii="Arial" w:eastAsia="Calibri" w:hAnsi="Arial" w:cs="Arial"/>
                <w:sz w:val="20"/>
                <w:szCs w:val="20"/>
              </w:rPr>
            </w:pPr>
            <w:r w:rsidRPr="00ED38E8">
              <w:rPr>
                <w:rFonts w:ascii="Arial" w:eastAsia="Calibri" w:hAnsi="Arial" w:cs="Arial"/>
                <w:sz w:val="20"/>
                <w:szCs w:val="20"/>
              </w:rPr>
              <w:t xml:space="preserve">Total Liabilities  </w:t>
            </w:r>
          </w:p>
        </w:tc>
        <w:tc>
          <w:tcPr>
            <w:tcW w:w="1326"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86.83% </w:t>
            </w:r>
          </w:p>
        </w:tc>
        <w:tc>
          <w:tcPr>
            <w:tcW w:w="1244"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88.73% </w:t>
            </w:r>
          </w:p>
        </w:tc>
        <w:tc>
          <w:tcPr>
            <w:tcW w:w="1121"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89.40% </w:t>
            </w:r>
          </w:p>
        </w:tc>
        <w:tc>
          <w:tcPr>
            <w:tcW w:w="1085"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88.92% </w:t>
            </w:r>
          </w:p>
        </w:tc>
        <w:tc>
          <w:tcPr>
            <w:tcW w:w="1085" w:type="dxa"/>
          </w:tcPr>
          <w:p w:rsidR="009C5AAE" w:rsidRPr="00ED38E8" w:rsidRDefault="009C5AAE" w:rsidP="008C2D73">
            <w:pPr>
              <w:ind w:left="115"/>
              <w:rPr>
                <w:rFonts w:ascii="Arial" w:eastAsia="Calibri" w:hAnsi="Arial" w:cs="Arial"/>
                <w:color w:val="000000"/>
                <w:sz w:val="24"/>
              </w:rPr>
            </w:pPr>
            <w:r w:rsidRPr="00ED38E8">
              <w:rPr>
                <w:rFonts w:ascii="Arial" w:eastAsia="Calibri" w:hAnsi="Arial" w:cs="Arial"/>
                <w:color w:val="000000"/>
              </w:rPr>
              <w:t xml:space="preserve">89.37% </w:t>
            </w:r>
          </w:p>
        </w:tc>
      </w:tr>
      <w:tr w:rsidR="009C5AAE" w:rsidRPr="00ED38E8" w:rsidTr="008C2D73">
        <w:trPr>
          <w:trHeight w:val="413"/>
        </w:trPr>
        <w:tc>
          <w:tcPr>
            <w:tcW w:w="4054" w:type="dxa"/>
          </w:tcPr>
          <w:p w:rsidR="009C5AAE" w:rsidRPr="00ED38E8" w:rsidRDefault="009C5AAE" w:rsidP="008C2D73">
            <w:pPr>
              <w:ind w:right="48"/>
              <w:rPr>
                <w:rFonts w:ascii="Arial" w:eastAsia="Calibri" w:hAnsi="Arial" w:cs="Arial"/>
                <w:sz w:val="20"/>
                <w:szCs w:val="20"/>
              </w:rPr>
            </w:pPr>
            <w:r w:rsidRPr="00ED38E8">
              <w:rPr>
                <w:rFonts w:ascii="Arial" w:eastAsia="Calibri" w:hAnsi="Arial" w:cs="Arial"/>
                <w:sz w:val="20"/>
                <w:szCs w:val="20"/>
              </w:rPr>
              <w:t xml:space="preserve">Capital / Shareholders’ equity  </w:t>
            </w:r>
          </w:p>
        </w:tc>
        <w:tc>
          <w:tcPr>
            <w:tcW w:w="132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  </w:t>
            </w:r>
          </w:p>
        </w:tc>
        <w:tc>
          <w:tcPr>
            <w:tcW w:w="124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  </w:t>
            </w:r>
          </w:p>
        </w:tc>
        <w:tc>
          <w:tcPr>
            <w:tcW w:w="1121"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  </w:t>
            </w:r>
          </w:p>
        </w:tc>
      </w:tr>
      <w:tr w:rsidR="009C5AAE" w:rsidRPr="00ED38E8" w:rsidTr="008C2D73">
        <w:trPr>
          <w:trHeight w:val="435"/>
        </w:trPr>
        <w:tc>
          <w:tcPr>
            <w:tcW w:w="4054"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Paid-up capital  </w:t>
            </w:r>
          </w:p>
        </w:tc>
        <w:tc>
          <w:tcPr>
            <w:tcW w:w="1326"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3.94% </w:t>
            </w:r>
          </w:p>
        </w:tc>
        <w:tc>
          <w:tcPr>
            <w:tcW w:w="1244"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3.17% </w:t>
            </w:r>
          </w:p>
        </w:tc>
        <w:tc>
          <w:tcPr>
            <w:tcW w:w="1121" w:type="dxa"/>
          </w:tcPr>
          <w:p w:rsidR="009C5AAE" w:rsidRPr="00ED38E8" w:rsidRDefault="009C5AAE" w:rsidP="008C2D73">
            <w:pPr>
              <w:ind w:left="66"/>
              <w:jc w:val="center"/>
              <w:rPr>
                <w:rFonts w:ascii="Arial" w:eastAsia="Calibri" w:hAnsi="Arial" w:cs="Arial"/>
                <w:color w:val="000000"/>
                <w:sz w:val="24"/>
              </w:rPr>
            </w:pPr>
            <w:r w:rsidRPr="00ED38E8">
              <w:rPr>
                <w:rFonts w:ascii="Arial" w:eastAsia="Calibri" w:hAnsi="Arial" w:cs="Arial"/>
                <w:color w:val="000000"/>
              </w:rPr>
              <w:t xml:space="preserve">3.42% </w:t>
            </w:r>
          </w:p>
        </w:tc>
        <w:tc>
          <w:tcPr>
            <w:tcW w:w="1085" w:type="dxa"/>
          </w:tcPr>
          <w:p w:rsidR="009C5AAE" w:rsidRPr="00ED38E8" w:rsidRDefault="009C5AAE" w:rsidP="008C2D73">
            <w:pPr>
              <w:ind w:left="62"/>
              <w:jc w:val="center"/>
              <w:rPr>
                <w:rFonts w:ascii="Arial" w:eastAsia="Calibri" w:hAnsi="Arial" w:cs="Arial"/>
                <w:color w:val="000000"/>
                <w:sz w:val="24"/>
              </w:rPr>
            </w:pPr>
            <w:r w:rsidRPr="00ED38E8">
              <w:rPr>
                <w:rFonts w:ascii="Arial" w:eastAsia="Calibri" w:hAnsi="Arial" w:cs="Arial"/>
                <w:color w:val="000000"/>
              </w:rPr>
              <w:t xml:space="preserve">3.41% </w:t>
            </w:r>
          </w:p>
        </w:tc>
        <w:tc>
          <w:tcPr>
            <w:tcW w:w="1085"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3.19% </w:t>
            </w:r>
          </w:p>
        </w:tc>
      </w:tr>
      <w:tr w:rsidR="009C5AAE" w:rsidRPr="00ED38E8" w:rsidTr="008C2D73">
        <w:trPr>
          <w:trHeight w:val="420"/>
        </w:trPr>
        <w:tc>
          <w:tcPr>
            <w:tcW w:w="4054"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Share premium  </w:t>
            </w:r>
          </w:p>
        </w:tc>
        <w:tc>
          <w:tcPr>
            <w:tcW w:w="1326" w:type="dxa"/>
          </w:tcPr>
          <w:p w:rsidR="009C5AAE" w:rsidRPr="00ED38E8" w:rsidRDefault="009C5AAE" w:rsidP="008C2D73">
            <w:pPr>
              <w:ind w:left="52"/>
              <w:jc w:val="center"/>
              <w:rPr>
                <w:rFonts w:ascii="Arial" w:eastAsia="Calibri" w:hAnsi="Arial" w:cs="Arial"/>
                <w:color w:val="000000"/>
                <w:sz w:val="24"/>
              </w:rPr>
            </w:pPr>
            <w:r w:rsidRPr="00ED38E8">
              <w:rPr>
                <w:rFonts w:ascii="Arial" w:eastAsia="Calibri" w:hAnsi="Arial" w:cs="Arial"/>
                <w:color w:val="000000"/>
              </w:rPr>
              <w:t xml:space="preserve">1.32% </w:t>
            </w:r>
          </w:p>
        </w:tc>
        <w:tc>
          <w:tcPr>
            <w:tcW w:w="1244" w:type="dxa"/>
          </w:tcPr>
          <w:p w:rsidR="009C5AAE" w:rsidRPr="00ED38E8" w:rsidRDefault="009C5AAE" w:rsidP="008C2D73">
            <w:pPr>
              <w:ind w:left="53"/>
              <w:jc w:val="center"/>
              <w:rPr>
                <w:rFonts w:ascii="Arial" w:eastAsia="Calibri" w:hAnsi="Arial" w:cs="Arial"/>
                <w:color w:val="000000"/>
                <w:sz w:val="24"/>
              </w:rPr>
            </w:pPr>
            <w:r w:rsidRPr="00ED38E8">
              <w:rPr>
                <w:rFonts w:ascii="Arial" w:eastAsia="Calibri" w:hAnsi="Arial" w:cs="Arial"/>
                <w:color w:val="000000"/>
              </w:rPr>
              <w:t xml:space="preserve">0.00% </w:t>
            </w:r>
          </w:p>
        </w:tc>
        <w:tc>
          <w:tcPr>
            <w:tcW w:w="1121" w:type="dxa"/>
          </w:tcPr>
          <w:p w:rsidR="009C5AAE" w:rsidRPr="00ED38E8" w:rsidRDefault="009C5AAE" w:rsidP="008C2D73">
            <w:pPr>
              <w:ind w:left="57"/>
              <w:jc w:val="center"/>
              <w:rPr>
                <w:rFonts w:ascii="Arial" w:eastAsia="Calibri" w:hAnsi="Arial" w:cs="Arial"/>
                <w:color w:val="000000"/>
                <w:sz w:val="24"/>
              </w:rPr>
            </w:pPr>
            <w:r w:rsidRPr="00ED38E8">
              <w:rPr>
                <w:rFonts w:ascii="Arial" w:eastAsia="Calibri" w:hAnsi="Arial" w:cs="Arial"/>
                <w:color w:val="000000"/>
              </w:rPr>
              <w:t xml:space="preserve">0.01% </w:t>
            </w:r>
          </w:p>
        </w:tc>
        <w:tc>
          <w:tcPr>
            <w:tcW w:w="1085" w:type="dxa"/>
          </w:tcPr>
          <w:p w:rsidR="009C5AAE" w:rsidRPr="00ED38E8" w:rsidRDefault="009C5AAE" w:rsidP="008C2D73">
            <w:pPr>
              <w:ind w:left="52"/>
              <w:jc w:val="center"/>
              <w:rPr>
                <w:rFonts w:ascii="Arial" w:eastAsia="Calibri" w:hAnsi="Arial" w:cs="Arial"/>
                <w:color w:val="000000"/>
                <w:sz w:val="24"/>
              </w:rPr>
            </w:pPr>
            <w:r w:rsidRPr="00ED38E8">
              <w:rPr>
                <w:rFonts w:ascii="Arial" w:eastAsia="Calibri" w:hAnsi="Arial" w:cs="Arial"/>
                <w:color w:val="000000"/>
              </w:rPr>
              <w:t xml:space="preserve">0.01% </w:t>
            </w:r>
          </w:p>
        </w:tc>
        <w:tc>
          <w:tcPr>
            <w:tcW w:w="1085"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0.01% </w:t>
            </w:r>
          </w:p>
        </w:tc>
      </w:tr>
      <w:tr w:rsidR="009C5AAE" w:rsidRPr="00ED38E8" w:rsidTr="008C2D73">
        <w:trPr>
          <w:trHeight w:val="480"/>
        </w:trPr>
        <w:tc>
          <w:tcPr>
            <w:tcW w:w="4054"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Statutory reserves  </w:t>
            </w:r>
          </w:p>
        </w:tc>
        <w:tc>
          <w:tcPr>
            <w:tcW w:w="1326" w:type="dxa"/>
          </w:tcPr>
          <w:p w:rsidR="009C5AAE" w:rsidRPr="00ED38E8" w:rsidRDefault="009C5AAE" w:rsidP="008C2D73">
            <w:pPr>
              <w:ind w:left="52"/>
              <w:jc w:val="center"/>
              <w:rPr>
                <w:rFonts w:ascii="Arial" w:eastAsia="Calibri" w:hAnsi="Arial" w:cs="Arial"/>
                <w:color w:val="000000"/>
                <w:sz w:val="24"/>
              </w:rPr>
            </w:pPr>
            <w:r w:rsidRPr="00ED38E8">
              <w:rPr>
                <w:rFonts w:ascii="Arial" w:eastAsia="Calibri" w:hAnsi="Arial" w:cs="Arial"/>
                <w:color w:val="000000"/>
              </w:rPr>
              <w:t xml:space="preserve">2.19% </w:t>
            </w:r>
          </w:p>
        </w:tc>
        <w:tc>
          <w:tcPr>
            <w:tcW w:w="1244" w:type="dxa"/>
          </w:tcPr>
          <w:p w:rsidR="009C5AAE" w:rsidRPr="00ED38E8" w:rsidRDefault="009C5AAE" w:rsidP="008C2D73">
            <w:pPr>
              <w:ind w:left="53"/>
              <w:jc w:val="center"/>
              <w:rPr>
                <w:rFonts w:ascii="Arial" w:eastAsia="Calibri" w:hAnsi="Arial" w:cs="Arial"/>
                <w:color w:val="000000"/>
                <w:sz w:val="24"/>
              </w:rPr>
            </w:pPr>
            <w:r w:rsidRPr="00ED38E8">
              <w:rPr>
                <w:rFonts w:ascii="Arial" w:eastAsia="Calibri" w:hAnsi="Arial" w:cs="Arial"/>
                <w:color w:val="000000"/>
              </w:rPr>
              <w:t xml:space="preserve">2.25% </w:t>
            </w:r>
          </w:p>
        </w:tc>
        <w:tc>
          <w:tcPr>
            <w:tcW w:w="1121" w:type="dxa"/>
          </w:tcPr>
          <w:p w:rsidR="009C5AAE" w:rsidRPr="00ED38E8" w:rsidRDefault="009C5AAE" w:rsidP="008C2D73">
            <w:pPr>
              <w:ind w:left="57"/>
              <w:jc w:val="center"/>
              <w:rPr>
                <w:rFonts w:ascii="Arial" w:eastAsia="Calibri" w:hAnsi="Arial" w:cs="Arial"/>
                <w:color w:val="000000"/>
                <w:sz w:val="24"/>
              </w:rPr>
            </w:pPr>
            <w:r w:rsidRPr="00ED38E8">
              <w:rPr>
                <w:rFonts w:ascii="Arial" w:eastAsia="Calibri" w:hAnsi="Arial" w:cs="Arial"/>
                <w:color w:val="000000"/>
              </w:rPr>
              <w:t xml:space="preserve">2.02% </w:t>
            </w:r>
          </w:p>
        </w:tc>
        <w:tc>
          <w:tcPr>
            <w:tcW w:w="1085" w:type="dxa"/>
          </w:tcPr>
          <w:p w:rsidR="009C5AAE" w:rsidRPr="00ED38E8" w:rsidRDefault="009C5AAE" w:rsidP="008C2D73">
            <w:pPr>
              <w:ind w:left="52"/>
              <w:jc w:val="center"/>
              <w:rPr>
                <w:rFonts w:ascii="Arial" w:eastAsia="Calibri" w:hAnsi="Arial" w:cs="Arial"/>
                <w:color w:val="000000"/>
                <w:sz w:val="24"/>
              </w:rPr>
            </w:pPr>
            <w:r w:rsidRPr="00ED38E8">
              <w:rPr>
                <w:rFonts w:ascii="Arial" w:eastAsia="Calibri" w:hAnsi="Arial" w:cs="Arial"/>
                <w:color w:val="000000"/>
              </w:rPr>
              <w:t xml:space="preserve">2.09% </w:t>
            </w:r>
          </w:p>
        </w:tc>
        <w:tc>
          <w:tcPr>
            <w:tcW w:w="1085"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1.99% </w:t>
            </w:r>
          </w:p>
        </w:tc>
      </w:tr>
      <w:tr w:rsidR="009C5AAE" w:rsidRPr="00ED38E8" w:rsidTr="008C2D73">
        <w:trPr>
          <w:trHeight w:val="435"/>
        </w:trPr>
        <w:tc>
          <w:tcPr>
            <w:tcW w:w="4054"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General reserves  </w:t>
            </w:r>
          </w:p>
        </w:tc>
        <w:tc>
          <w:tcPr>
            <w:tcW w:w="1326" w:type="dxa"/>
          </w:tcPr>
          <w:p w:rsidR="009C5AAE" w:rsidRPr="00ED38E8" w:rsidRDefault="009C5AAE" w:rsidP="008C2D73">
            <w:pPr>
              <w:ind w:left="52"/>
              <w:jc w:val="center"/>
              <w:rPr>
                <w:rFonts w:ascii="Arial" w:eastAsia="Calibri" w:hAnsi="Arial" w:cs="Arial"/>
                <w:color w:val="000000"/>
                <w:sz w:val="24"/>
              </w:rPr>
            </w:pPr>
            <w:r w:rsidRPr="00ED38E8">
              <w:rPr>
                <w:rFonts w:ascii="Arial" w:eastAsia="Calibri" w:hAnsi="Arial" w:cs="Arial"/>
                <w:color w:val="000000"/>
              </w:rPr>
              <w:t xml:space="preserve">1.05% </w:t>
            </w:r>
          </w:p>
        </w:tc>
        <w:tc>
          <w:tcPr>
            <w:tcW w:w="1244" w:type="dxa"/>
          </w:tcPr>
          <w:p w:rsidR="009C5AAE" w:rsidRPr="00ED38E8" w:rsidRDefault="009C5AAE" w:rsidP="008C2D73">
            <w:pPr>
              <w:ind w:left="53"/>
              <w:jc w:val="center"/>
              <w:rPr>
                <w:rFonts w:ascii="Arial" w:eastAsia="Calibri" w:hAnsi="Arial" w:cs="Arial"/>
                <w:color w:val="000000"/>
                <w:sz w:val="24"/>
              </w:rPr>
            </w:pPr>
            <w:r w:rsidRPr="00ED38E8">
              <w:rPr>
                <w:rFonts w:ascii="Arial" w:eastAsia="Calibri" w:hAnsi="Arial" w:cs="Arial"/>
                <w:color w:val="000000"/>
              </w:rPr>
              <w:t xml:space="preserve">1.26% </w:t>
            </w:r>
          </w:p>
        </w:tc>
        <w:tc>
          <w:tcPr>
            <w:tcW w:w="1121" w:type="dxa"/>
          </w:tcPr>
          <w:p w:rsidR="009C5AAE" w:rsidRPr="00ED38E8" w:rsidRDefault="009C5AAE" w:rsidP="008C2D73">
            <w:pPr>
              <w:ind w:left="57"/>
              <w:jc w:val="center"/>
              <w:rPr>
                <w:rFonts w:ascii="Arial" w:eastAsia="Calibri" w:hAnsi="Arial" w:cs="Arial"/>
                <w:color w:val="000000"/>
                <w:sz w:val="24"/>
              </w:rPr>
            </w:pPr>
            <w:r w:rsidRPr="00ED38E8">
              <w:rPr>
                <w:rFonts w:ascii="Arial" w:eastAsia="Calibri" w:hAnsi="Arial" w:cs="Arial"/>
                <w:color w:val="000000"/>
              </w:rPr>
              <w:t xml:space="preserve">1.36% </w:t>
            </w:r>
          </w:p>
        </w:tc>
        <w:tc>
          <w:tcPr>
            <w:tcW w:w="1085" w:type="dxa"/>
          </w:tcPr>
          <w:p w:rsidR="009C5AAE" w:rsidRPr="00ED38E8" w:rsidRDefault="009C5AAE" w:rsidP="008C2D73">
            <w:pPr>
              <w:ind w:left="52"/>
              <w:jc w:val="center"/>
              <w:rPr>
                <w:rFonts w:ascii="Arial" w:eastAsia="Calibri" w:hAnsi="Arial" w:cs="Arial"/>
                <w:color w:val="000000"/>
                <w:sz w:val="24"/>
              </w:rPr>
            </w:pPr>
            <w:r w:rsidRPr="00ED38E8">
              <w:rPr>
                <w:rFonts w:ascii="Arial" w:eastAsia="Calibri" w:hAnsi="Arial" w:cs="Arial"/>
                <w:color w:val="000000"/>
              </w:rPr>
              <w:t xml:space="preserve">1.70% </w:t>
            </w:r>
          </w:p>
        </w:tc>
        <w:tc>
          <w:tcPr>
            <w:tcW w:w="1085"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1.61% </w:t>
            </w:r>
          </w:p>
        </w:tc>
      </w:tr>
      <w:tr w:rsidR="009C5AAE" w:rsidRPr="00ED38E8" w:rsidTr="008C2D73">
        <w:trPr>
          <w:trHeight w:val="435"/>
        </w:trPr>
        <w:tc>
          <w:tcPr>
            <w:tcW w:w="4054"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Dividend equalization reserves  </w:t>
            </w:r>
          </w:p>
        </w:tc>
        <w:tc>
          <w:tcPr>
            <w:tcW w:w="1326" w:type="dxa"/>
          </w:tcPr>
          <w:p w:rsidR="009C5AAE" w:rsidRPr="00ED38E8" w:rsidRDefault="009C5AAE" w:rsidP="008C2D73">
            <w:pPr>
              <w:ind w:left="52"/>
              <w:jc w:val="center"/>
              <w:rPr>
                <w:rFonts w:ascii="Arial" w:eastAsia="Calibri" w:hAnsi="Arial" w:cs="Arial"/>
                <w:color w:val="000000"/>
                <w:sz w:val="24"/>
              </w:rPr>
            </w:pPr>
            <w:r w:rsidRPr="00ED38E8">
              <w:rPr>
                <w:rFonts w:ascii="Arial" w:eastAsia="Calibri" w:hAnsi="Arial" w:cs="Arial"/>
                <w:color w:val="000000"/>
              </w:rPr>
              <w:t xml:space="preserve">0.05% </w:t>
            </w:r>
          </w:p>
        </w:tc>
        <w:tc>
          <w:tcPr>
            <w:tcW w:w="1244" w:type="dxa"/>
          </w:tcPr>
          <w:p w:rsidR="009C5AAE" w:rsidRPr="00ED38E8" w:rsidRDefault="009C5AAE" w:rsidP="008C2D73">
            <w:pPr>
              <w:ind w:left="53"/>
              <w:jc w:val="center"/>
              <w:rPr>
                <w:rFonts w:ascii="Arial" w:eastAsia="Calibri" w:hAnsi="Arial" w:cs="Arial"/>
                <w:color w:val="000000"/>
                <w:sz w:val="24"/>
              </w:rPr>
            </w:pPr>
            <w:r w:rsidRPr="00ED38E8">
              <w:rPr>
                <w:rFonts w:ascii="Arial" w:eastAsia="Calibri" w:hAnsi="Arial" w:cs="Arial"/>
                <w:color w:val="000000"/>
              </w:rPr>
              <w:t xml:space="preserve">0.06% </w:t>
            </w:r>
          </w:p>
        </w:tc>
        <w:tc>
          <w:tcPr>
            <w:tcW w:w="1121" w:type="dxa"/>
          </w:tcPr>
          <w:p w:rsidR="009C5AAE" w:rsidRPr="00ED38E8" w:rsidRDefault="009C5AAE" w:rsidP="008C2D73">
            <w:pPr>
              <w:ind w:left="57"/>
              <w:jc w:val="center"/>
              <w:rPr>
                <w:rFonts w:ascii="Arial" w:eastAsia="Calibri" w:hAnsi="Arial" w:cs="Arial"/>
                <w:color w:val="000000"/>
                <w:sz w:val="24"/>
              </w:rPr>
            </w:pPr>
            <w:r w:rsidRPr="00ED38E8">
              <w:rPr>
                <w:rFonts w:ascii="Arial" w:eastAsia="Calibri" w:hAnsi="Arial" w:cs="Arial"/>
                <w:color w:val="000000"/>
              </w:rPr>
              <w:t xml:space="preserve">0.06% </w:t>
            </w:r>
          </w:p>
        </w:tc>
        <w:tc>
          <w:tcPr>
            <w:tcW w:w="1085" w:type="dxa"/>
          </w:tcPr>
          <w:p w:rsidR="009C5AAE" w:rsidRPr="00ED38E8" w:rsidRDefault="009C5AAE" w:rsidP="008C2D73">
            <w:pPr>
              <w:ind w:left="52"/>
              <w:jc w:val="center"/>
              <w:rPr>
                <w:rFonts w:ascii="Arial" w:eastAsia="Calibri" w:hAnsi="Arial" w:cs="Arial"/>
                <w:color w:val="000000"/>
                <w:sz w:val="24"/>
              </w:rPr>
            </w:pPr>
            <w:r w:rsidRPr="00ED38E8">
              <w:rPr>
                <w:rFonts w:ascii="Arial" w:eastAsia="Calibri" w:hAnsi="Arial" w:cs="Arial"/>
                <w:color w:val="000000"/>
              </w:rPr>
              <w:t xml:space="preserve">0.08% </w:t>
            </w:r>
          </w:p>
        </w:tc>
        <w:tc>
          <w:tcPr>
            <w:tcW w:w="1085"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0.09% </w:t>
            </w:r>
          </w:p>
        </w:tc>
      </w:tr>
      <w:tr w:rsidR="009C5AAE" w:rsidRPr="00ED38E8" w:rsidTr="008C2D73">
        <w:trPr>
          <w:trHeight w:val="450"/>
        </w:trPr>
        <w:tc>
          <w:tcPr>
            <w:tcW w:w="4054"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Retained earnings  </w:t>
            </w:r>
          </w:p>
        </w:tc>
        <w:tc>
          <w:tcPr>
            <w:tcW w:w="1326" w:type="dxa"/>
          </w:tcPr>
          <w:p w:rsidR="009C5AAE" w:rsidRPr="00ED38E8" w:rsidRDefault="009C5AAE" w:rsidP="008C2D73">
            <w:pPr>
              <w:ind w:left="52"/>
              <w:jc w:val="center"/>
              <w:rPr>
                <w:rFonts w:ascii="Arial" w:eastAsia="Calibri" w:hAnsi="Arial" w:cs="Arial"/>
                <w:color w:val="000000"/>
                <w:sz w:val="24"/>
              </w:rPr>
            </w:pPr>
            <w:r w:rsidRPr="00ED38E8">
              <w:rPr>
                <w:rFonts w:ascii="Arial" w:eastAsia="Calibri" w:hAnsi="Arial" w:cs="Arial"/>
                <w:color w:val="000000"/>
              </w:rPr>
              <w:t xml:space="preserve">4.62% </w:t>
            </w:r>
          </w:p>
        </w:tc>
        <w:tc>
          <w:tcPr>
            <w:tcW w:w="1244" w:type="dxa"/>
          </w:tcPr>
          <w:p w:rsidR="009C5AAE" w:rsidRPr="00ED38E8" w:rsidRDefault="009C5AAE" w:rsidP="008C2D73">
            <w:pPr>
              <w:ind w:left="53"/>
              <w:jc w:val="center"/>
              <w:rPr>
                <w:rFonts w:ascii="Arial" w:eastAsia="Calibri" w:hAnsi="Arial" w:cs="Arial"/>
                <w:color w:val="000000"/>
                <w:sz w:val="24"/>
              </w:rPr>
            </w:pPr>
            <w:r w:rsidRPr="00ED38E8">
              <w:rPr>
                <w:rFonts w:ascii="Arial" w:eastAsia="Calibri" w:hAnsi="Arial" w:cs="Arial"/>
                <w:color w:val="000000"/>
              </w:rPr>
              <w:t xml:space="preserve">4.53% </w:t>
            </w:r>
          </w:p>
        </w:tc>
        <w:tc>
          <w:tcPr>
            <w:tcW w:w="1121" w:type="dxa"/>
          </w:tcPr>
          <w:p w:rsidR="009C5AAE" w:rsidRPr="00ED38E8" w:rsidRDefault="009C5AAE" w:rsidP="008C2D73">
            <w:pPr>
              <w:ind w:left="57"/>
              <w:jc w:val="center"/>
              <w:rPr>
                <w:rFonts w:ascii="Arial" w:eastAsia="Calibri" w:hAnsi="Arial" w:cs="Arial"/>
                <w:color w:val="000000"/>
                <w:sz w:val="24"/>
              </w:rPr>
            </w:pPr>
            <w:r w:rsidRPr="00ED38E8">
              <w:rPr>
                <w:rFonts w:ascii="Arial" w:eastAsia="Calibri" w:hAnsi="Arial" w:cs="Arial"/>
                <w:color w:val="000000"/>
              </w:rPr>
              <w:t xml:space="preserve">3.73% </w:t>
            </w:r>
          </w:p>
        </w:tc>
        <w:tc>
          <w:tcPr>
            <w:tcW w:w="1085" w:type="dxa"/>
          </w:tcPr>
          <w:p w:rsidR="009C5AAE" w:rsidRPr="00ED38E8" w:rsidRDefault="009C5AAE" w:rsidP="008C2D73">
            <w:pPr>
              <w:ind w:left="52"/>
              <w:jc w:val="center"/>
              <w:rPr>
                <w:rFonts w:ascii="Arial" w:eastAsia="Calibri" w:hAnsi="Arial" w:cs="Arial"/>
                <w:color w:val="000000"/>
                <w:sz w:val="24"/>
              </w:rPr>
            </w:pPr>
            <w:r w:rsidRPr="00ED38E8">
              <w:rPr>
                <w:rFonts w:ascii="Arial" w:eastAsia="Calibri" w:hAnsi="Arial" w:cs="Arial"/>
                <w:color w:val="000000"/>
              </w:rPr>
              <w:t xml:space="preserve">3.79% </w:t>
            </w:r>
          </w:p>
        </w:tc>
        <w:tc>
          <w:tcPr>
            <w:tcW w:w="1085"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3.75% </w:t>
            </w:r>
          </w:p>
        </w:tc>
      </w:tr>
      <w:tr w:rsidR="009C5AAE" w:rsidRPr="00ED38E8" w:rsidTr="008C2D73">
        <w:trPr>
          <w:trHeight w:val="435"/>
        </w:trPr>
        <w:tc>
          <w:tcPr>
            <w:tcW w:w="4054"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Total equity attributable to equity holders of  com. </w:t>
            </w:r>
          </w:p>
        </w:tc>
        <w:tc>
          <w:tcPr>
            <w:tcW w:w="1326"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13.17% </w:t>
            </w:r>
          </w:p>
        </w:tc>
        <w:tc>
          <w:tcPr>
            <w:tcW w:w="1244"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11.27% </w:t>
            </w:r>
          </w:p>
        </w:tc>
        <w:tc>
          <w:tcPr>
            <w:tcW w:w="1121"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10.60% </w:t>
            </w:r>
          </w:p>
        </w:tc>
        <w:tc>
          <w:tcPr>
            <w:tcW w:w="1085"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11.08% </w:t>
            </w:r>
          </w:p>
        </w:tc>
        <w:tc>
          <w:tcPr>
            <w:tcW w:w="1085" w:type="dxa"/>
          </w:tcPr>
          <w:p w:rsidR="009C5AAE" w:rsidRPr="00ED38E8" w:rsidRDefault="009C5AAE" w:rsidP="008C2D73">
            <w:pPr>
              <w:ind w:left="110"/>
              <w:rPr>
                <w:rFonts w:ascii="Arial" w:eastAsia="Calibri" w:hAnsi="Arial" w:cs="Arial"/>
                <w:color w:val="000000"/>
                <w:sz w:val="24"/>
              </w:rPr>
            </w:pPr>
            <w:r w:rsidRPr="00ED38E8">
              <w:rPr>
                <w:rFonts w:ascii="Arial" w:eastAsia="Calibri" w:hAnsi="Arial" w:cs="Arial"/>
                <w:color w:val="000000"/>
              </w:rPr>
              <w:t xml:space="preserve">10.63% </w:t>
            </w:r>
          </w:p>
        </w:tc>
      </w:tr>
      <w:tr w:rsidR="009C5AAE" w:rsidRPr="00ED38E8" w:rsidTr="008C2D73">
        <w:trPr>
          <w:trHeight w:val="435"/>
        </w:trPr>
        <w:tc>
          <w:tcPr>
            <w:tcW w:w="4054"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Non-controlling interest  </w:t>
            </w:r>
          </w:p>
        </w:tc>
        <w:tc>
          <w:tcPr>
            <w:tcW w:w="1326" w:type="dxa"/>
          </w:tcPr>
          <w:p w:rsidR="009C5AAE" w:rsidRPr="00ED38E8" w:rsidRDefault="009C5AAE" w:rsidP="008C2D73">
            <w:pPr>
              <w:ind w:left="52"/>
              <w:jc w:val="center"/>
              <w:rPr>
                <w:rFonts w:ascii="Arial" w:eastAsia="Calibri" w:hAnsi="Arial" w:cs="Arial"/>
                <w:color w:val="000000"/>
                <w:sz w:val="24"/>
              </w:rPr>
            </w:pPr>
            <w:r w:rsidRPr="00ED38E8">
              <w:rPr>
                <w:rFonts w:ascii="Arial" w:eastAsia="Calibri" w:hAnsi="Arial" w:cs="Arial"/>
                <w:color w:val="000000"/>
              </w:rPr>
              <w:t xml:space="preserve">0.00% </w:t>
            </w:r>
          </w:p>
        </w:tc>
        <w:tc>
          <w:tcPr>
            <w:tcW w:w="1244" w:type="dxa"/>
          </w:tcPr>
          <w:p w:rsidR="009C5AAE" w:rsidRPr="00ED38E8" w:rsidRDefault="009C5AAE" w:rsidP="008C2D73">
            <w:pPr>
              <w:ind w:left="53"/>
              <w:jc w:val="center"/>
              <w:rPr>
                <w:rFonts w:ascii="Arial" w:eastAsia="Calibri" w:hAnsi="Arial" w:cs="Arial"/>
                <w:color w:val="000000"/>
                <w:sz w:val="24"/>
              </w:rPr>
            </w:pPr>
            <w:r w:rsidRPr="00ED38E8">
              <w:rPr>
                <w:rFonts w:ascii="Arial" w:eastAsia="Calibri" w:hAnsi="Arial" w:cs="Arial"/>
                <w:color w:val="000000"/>
              </w:rPr>
              <w:t xml:space="preserve">0.00% </w:t>
            </w:r>
          </w:p>
        </w:tc>
        <w:tc>
          <w:tcPr>
            <w:tcW w:w="1121" w:type="dxa"/>
          </w:tcPr>
          <w:p w:rsidR="009C5AAE" w:rsidRPr="00ED38E8" w:rsidRDefault="009C5AAE" w:rsidP="008C2D73">
            <w:pPr>
              <w:ind w:left="57"/>
              <w:jc w:val="center"/>
              <w:rPr>
                <w:rFonts w:ascii="Arial" w:eastAsia="Calibri" w:hAnsi="Arial" w:cs="Arial"/>
                <w:color w:val="000000"/>
                <w:sz w:val="24"/>
              </w:rPr>
            </w:pPr>
            <w:r w:rsidRPr="00ED38E8">
              <w:rPr>
                <w:rFonts w:ascii="Arial" w:eastAsia="Calibri" w:hAnsi="Arial" w:cs="Arial"/>
                <w:color w:val="000000"/>
              </w:rPr>
              <w:t xml:space="preserve">0.00% </w:t>
            </w:r>
          </w:p>
        </w:tc>
        <w:tc>
          <w:tcPr>
            <w:tcW w:w="1085" w:type="dxa"/>
          </w:tcPr>
          <w:p w:rsidR="009C5AAE" w:rsidRPr="00ED38E8" w:rsidRDefault="009C5AAE" w:rsidP="008C2D73">
            <w:pPr>
              <w:ind w:left="52"/>
              <w:jc w:val="center"/>
              <w:rPr>
                <w:rFonts w:ascii="Arial" w:eastAsia="Calibri" w:hAnsi="Arial" w:cs="Arial"/>
                <w:color w:val="000000"/>
                <w:sz w:val="24"/>
              </w:rPr>
            </w:pPr>
            <w:r w:rsidRPr="00ED38E8">
              <w:rPr>
                <w:rFonts w:ascii="Arial" w:eastAsia="Calibri" w:hAnsi="Arial" w:cs="Arial"/>
                <w:color w:val="000000"/>
              </w:rPr>
              <w:t xml:space="preserve">0.00% </w:t>
            </w:r>
          </w:p>
        </w:tc>
        <w:tc>
          <w:tcPr>
            <w:tcW w:w="1085" w:type="dxa"/>
          </w:tcPr>
          <w:p w:rsidR="009C5AAE" w:rsidRPr="00ED38E8" w:rsidRDefault="009C5AAE" w:rsidP="008C2D73">
            <w:pPr>
              <w:ind w:right="51"/>
              <w:jc w:val="right"/>
              <w:rPr>
                <w:rFonts w:ascii="Arial" w:eastAsia="Calibri" w:hAnsi="Arial" w:cs="Arial"/>
                <w:color w:val="000000"/>
                <w:sz w:val="24"/>
              </w:rPr>
            </w:pPr>
            <w:r w:rsidRPr="00ED38E8">
              <w:rPr>
                <w:rFonts w:ascii="Arial" w:eastAsia="Calibri" w:hAnsi="Arial" w:cs="Arial"/>
                <w:color w:val="000000"/>
              </w:rPr>
              <w:t xml:space="preserve">0.00% </w:t>
            </w:r>
          </w:p>
        </w:tc>
      </w:tr>
      <w:tr w:rsidR="009C5AAE" w:rsidRPr="00ED38E8" w:rsidTr="008C2D73">
        <w:trPr>
          <w:trHeight w:val="450"/>
        </w:trPr>
        <w:tc>
          <w:tcPr>
            <w:tcW w:w="4054" w:type="dxa"/>
          </w:tcPr>
          <w:p w:rsidR="009C5AAE" w:rsidRPr="00ED38E8" w:rsidRDefault="009C5AAE" w:rsidP="008C2D73">
            <w:pPr>
              <w:pStyle w:val="NoSpacing"/>
              <w:rPr>
                <w:rFonts w:ascii="Arial" w:hAnsi="Arial" w:cs="Arial"/>
                <w:sz w:val="20"/>
                <w:szCs w:val="20"/>
              </w:rPr>
            </w:pPr>
            <w:r w:rsidRPr="00ED38E8">
              <w:rPr>
                <w:rFonts w:ascii="Arial" w:hAnsi="Arial" w:cs="Arial"/>
                <w:sz w:val="20"/>
                <w:szCs w:val="20"/>
              </w:rPr>
              <w:t xml:space="preserve">Total liabilities and Shareholders’ equity  </w:t>
            </w:r>
          </w:p>
        </w:tc>
        <w:tc>
          <w:tcPr>
            <w:tcW w:w="1326"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100.00% </w:t>
            </w:r>
          </w:p>
        </w:tc>
        <w:tc>
          <w:tcPr>
            <w:tcW w:w="1244"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100.00% </w:t>
            </w:r>
          </w:p>
        </w:tc>
        <w:tc>
          <w:tcPr>
            <w:tcW w:w="1121"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100.00% </w:t>
            </w:r>
          </w:p>
        </w:tc>
        <w:tc>
          <w:tcPr>
            <w:tcW w:w="1085" w:type="dxa"/>
          </w:tcPr>
          <w:p w:rsidR="009C5AAE" w:rsidRPr="00ED38E8" w:rsidRDefault="009C5AAE" w:rsidP="008C2D73">
            <w:pPr>
              <w:rPr>
                <w:rFonts w:ascii="Arial" w:eastAsia="Calibri" w:hAnsi="Arial" w:cs="Arial"/>
                <w:color w:val="000000"/>
                <w:sz w:val="24"/>
              </w:rPr>
            </w:pPr>
            <w:r w:rsidRPr="00ED38E8">
              <w:rPr>
                <w:rFonts w:ascii="Arial" w:eastAsia="Calibri" w:hAnsi="Arial" w:cs="Arial"/>
                <w:color w:val="000000"/>
              </w:rPr>
              <w:t xml:space="preserve">100.00% </w:t>
            </w:r>
          </w:p>
        </w:tc>
        <w:tc>
          <w:tcPr>
            <w:tcW w:w="1085" w:type="dxa"/>
          </w:tcPr>
          <w:p w:rsidR="009C5AAE" w:rsidRPr="00ED38E8" w:rsidRDefault="009C5AAE" w:rsidP="008C2D73">
            <w:pPr>
              <w:jc w:val="both"/>
              <w:rPr>
                <w:rFonts w:ascii="Arial" w:eastAsia="Calibri" w:hAnsi="Arial" w:cs="Arial"/>
                <w:color w:val="000000"/>
                <w:sz w:val="24"/>
              </w:rPr>
            </w:pPr>
            <w:r w:rsidRPr="00ED38E8">
              <w:rPr>
                <w:rFonts w:ascii="Arial" w:eastAsia="Calibri" w:hAnsi="Arial" w:cs="Arial"/>
                <w:color w:val="000000"/>
              </w:rPr>
              <w:t xml:space="preserve">100.00% </w:t>
            </w:r>
          </w:p>
        </w:tc>
      </w:tr>
    </w:tbl>
    <w:p w:rsidR="009C5AAE" w:rsidRPr="00ED38E8" w:rsidRDefault="009C5AAE" w:rsidP="009C5AAE">
      <w:pPr>
        <w:rPr>
          <w:rFonts w:ascii="Arial" w:eastAsia="Calibri" w:hAnsi="Arial" w:cs="Arial"/>
          <w:color w:val="000000"/>
          <w:sz w:val="24"/>
        </w:rPr>
      </w:pPr>
      <w:r w:rsidRPr="00ED38E8">
        <w:rPr>
          <w:rFonts w:ascii="Arial" w:eastAsia="Calibri" w:hAnsi="Arial" w:cs="Arial"/>
          <w:color w:val="000000"/>
          <w:sz w:val="24"/>
        </w:rPr>
        <w:t xml:space="preserve"> </w:t>
      </w:r>
    </w:p>
    <w:p w:rsidR="009C5AAE" w:rsidRPr="00934F24" w:rsidRDefault="009C5AAE" w:rsidP="009C5AAE">
      <w:pPr>
        <w:jc w:val="both"/>
        <w:rPr>
          <w:rFonts w:ascii="Arial" w:eastAsia="Calibri" w:hAnsi="Arial" w:cs="Arial"/>
          <w:color w:val="000000"/>
        </w:rPr>
      </w:pPr>
      <w:r w:rsidRPr="00934F24">
        <w:rPr>
          <w:rFonts w:ascii="Arial" w:eastAsia="Calibri" w:hAnsi="Arial" w:cs="Arial"/>
          <w:color w:val="000000"/>
        </w:rPr>
        <w:t>The borrowing from other financial institutions decreased from 17.51% to 11.92%,</w:t>
      </w:r>
      <w:r>
        <w:rPr>
          <w:rFonts w:ascii="Arial" w:eastAsia="Calibri" w:hAnsi="Arial" w:cs="Arial"/>
          <w:color w:val="000000"/>
        </w:rPr>
        <w:t xml:space="preserve"> </w:t>
      </w:r>
      <w:r w:rsidRPr="00934F24">
        <w:rPr>
          <w:rFonts w:ascii="Arial" w:eastAsia="Calibri" w:hAnsi="Arial" w:cs="Arial"/>
          <w:color w:val="000000"/>
        </w:rPr>
        <w:t xml:space="preserve">which was beneficial for the </w:t>
      </w:r>
      <w:r>
        <w:rPr>
          <w:rFonts w:ascii="Arial" w:eastAsia="Calibri" w:hAnsi="Arial" w:cs="Arial"/>
          <w:color w:val="000000"/>
        </w:rPr>
        <w:t>activities</w:t>
      </w:r>
      <w:r w:rsidRPr="00934F24">
        <w:rPr>
          <w:rFonts w:ascii="Arial" w:eastAsia="Calibri" w:hAnsi="Arial" w:cs="Arial"/>
          <w:color w:val="000000"/>
        </w:rPr>
        <w:t xml:space="preserve"> of the company.</w:t>
      </w:r>
    </w:p>
    <w:p w:rsidR="009C5AAE" w:rsidRPr="00ED38E8" w:rsidRDefault="009C5AAE" w:rsidP="009C5AAE">
      <w:pPr>
        <w:jc w:val="both"/>
        <w:rPr>
          <w:rFonts w:ascii="Arial" w:hAnsi="Arial" w:cs="Arial"/>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33" w:name="_Toc18330027"/>
      <w:r>
        <w:rPr>
          <w:rFonts w:ascii="Arial" w:eastAsia="Calibri" w:hAnsi="Arial" w:cs="Arial"/>
          <w:b/>
          <w:bCs/>
          <w:color w:val="984806" w:themeColor="accent6" w:themeShade="80"/>
          <w:sz w:val="28"/>
          <w:szCs w:val="28"/>
        </w:rPr>
        <w:lastRenderedPageBreak/>
        <w:t>3.2</w:t>
      </w:r>
      <w:r w:rsidRPr="00ED38E8">
        <w:rPr>
          <w:rFonts w:ascii="Arial" w:eastAsia="Calibri" w:hAnsi="Arial" w:cs="Arial"/>
          <w:b/>
          <w:bCs/>
          <w:color w:val="984806" w:themeColor="accent6" w:themeShade="80"/>
          <w:sz w:val="28"/>
          <w:szCs w:val="28"/>
        </w:rPr>
        <w:t>.2 Vertical Analysis of Profit and Loss Account</w:t>
      </w:r>
      <w:bookmarkEnd w:id="33"/>
    </w:p>
    <w:tbl>
      <w:tblPr>
        <w:tblW w:w="9915" w:type="dxa"/>
        <w:tblInd w:w="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4"/>
        <w:gridCol w:w="1160"/>
        <w:gridCol w:w="1238"/>
        <w:gridCol w:w="1171"/>
        <w:gridCol w:w="1176"/>
        <w:gridCol w:w="1176"/>
      </w:tblGrid>
      <w:tr w:rsidR="009C5AAE" w:rsidRPr="00ED38E8" w:rsidTr="008C2D73">
        <w:trPr>
          <w:trHeight w:val="278"/>
        </w:trPr>
        <w:tc>
          <w:tcPr>
            <w:tcW w:w="3994" w:type="dxa"/>
          </w:tcPr>
          <w:p w:rsidR="009C5AAE" w:rsidRPr="00ED38E8" w:rsidRDefault="009C5AAE" w:rsidP="008C2D73">
            <w:pPr>
              <w:ind w:right="62"/>
              <w:rPr>
                <w:rFonts w:ascii="Arial" w:eastAsia="Calibri" w:hAnsi="Arial" w:cs="Arial"/>
                <w:sz w:val="20"/>
                <w:szCs w:val="20"/>
              </w:rPr>
            </w:pPr>
            <w:r w:rsidRPr="00ED38E8">
              <w:rPr>
                <w:rFonts w:ascii="Arial" w:eastAsia="Calibri" w:hAnsi="Arial" w:cs="Arial"/>
                <w:sz w:val="20"/>
                <w:szCs w:val="20"/>
              </w:rPr>
              <w:t xml:space="preserve">Particulars </w:t>
            </w:r>
          </w:p>
        </w:tc>
        <w:tc>
          <w:tcPr>
            <w:tcW w:w="1160" w:type="dxa"/>
          </w:tcPr>
          <w:p w:rsidR="009C5AAE" w:rsidRPr="00ED38E8" w:rsidRDefault="009C5AAE" w:rsidP="008C2D73">
            <w:pPr>
              <w:ind w:left="118"/>
              <w:jc w:val="center"/>
              <w:rPr>
                <w:rFonts w:ascii="Arial" w:eastAsia="Calibri" w:hAnsi="Arial" w:cs="Arial"/>
                <w:color w:val="000000"/>
                <w:sz w:val="24"/>
              </w:rPr>
            </w:pPr>
            <w:r w:rsidRPr="00ED38E8">
              <w:rPr>
                <w:rFonts w:ascii="Arial" w:eastAsia="Calibri" w:hAnsi="Arial" w:cs="Arial"/>
                <w:color w:val="000000"/>
                <w:sz w:val="24"/>
              </w:rPr>
              <w:t xml:space="preserve">2018 </w:t>
            </w:r>
          </w:p>
        </w:tc>
        <w:tc>
          <w:tcPr>
            <w:tcW w:w="1238" w:type="dxa"/>
          </w:tcPr>
          <w:p w:rsidR="009C5AAE" w:rsidRPr="00ED38E8" w:rsidRDefault="009C5AAE" w:rsidP="008C2D73">
            <w:pPr>
              <w:ind w:left="118"/>
              <w:jc w:val="center"/>
              <w:rPr>
                <w:rFonts w:ascii="Arial" w:eastAsia="Calibri" w:hAnsi="Arial" w:cs="Arial"/>
                <w:color w:val="000000"/>
                <w:sz w:val="24"/>
              </w:rPr>
            </w:pPr>
            <w:r w:rsidRPr="00ED38E8">
              <w:rPr>
                <w:rFonts w:ascii="Arial" w:eastAsia="Calibri" w:hAnsi="Arial" w:cs="Arial"/>
                <w:color w:val="000000"/>
                <w:sz w:val="24"/>
              </w:rPr>
              <w:t xml:space="preserve">2017 </w:t>
            </w:r>
          </w:p>
        </w:tc>
        <w:tc>
          <w:tcPr>
            <w:tcW w:w="1171" w:type="dxa"/>
          </w:tcPr>
          <w:p w:rsidR="009C5AAE" w:rsidRPr="00ED38E8" w:rsidRDefault="009C5AAE" w:rsidP="008C2D73">
            <w:pPr>
              <w:ind w:left="122"/>
              <w:jc w:val="center"/>
              <w:rPr>
                <w:rFonts w:ascii="Arial" w:eastAsia="Calibri" w:hAnsi="Arial" w:cs="Arial"/>
                <w:color w:val="000000"/>
                <w:sz w:val="24"/>
              </w:rPr>
            </w:pPr>
            <w:r w:rsidRPr="00ED38E8">
              <w:rPr>
                <w:rFonts w:ascii="Arial" w:eastAsia="Calibri" w:hAnsi="Arial" w:cs="Arial"/>
                <w:color w:val="000000"/>
                <w:sz w:val="24"/>
              </w:rPr>
              <w:t xml:space="preserve">2016 </w:t>
            </w:r>
          </w:p>
        </w:tc>
        <w:tc>
          <w:tcPr>
            <w:tcW w:w="1176" w:type="dxa"/>
          </w:tcPr>
          <w:p w:rsidR="009C5AAE" w:rsidRPr="00ED38E8" w:rsidRDefault="009C5AAE" w:rsidP="008C2D73">
            <w:pPr>
              <w:ind w:left="117"/>
              <w:jc w:val="center"/>
              <w:rPr>
                <w:rFonts w:ascii="Arial" w:eastAsia="Calibri" w:hAnsi="Arial" w:cs="Arial"/>
                <w:color w:val="000000"/>
                <w:sz w:val="24"/>
              </w:rPr>
            </w:pPr>
            <w:r w:rsidRPr="00ED38E8">
              <w:rPr>
                <w:rFonts w:ascii="Arial" w:eastAsia="Calibri" w:hAnsi="Arial" w:cs="Arial"/>
                <w:color w:val="000000"/>
                <w:sz w:val="24"/>
              </w:rPr>
              <w:t xml:space="preserve">2015 </w:t>
            </w:r>
          </w:p>
        </w:tc>
        <w:tc>
          <w:tcPr>
            <w:tcW w:w="1176" w:type="dxa"/>
          </w:tcPr>
          <w:p w:rsidR="009C5AAE" w:rsidRPr="00ED38E8" w:rsidRDefault="009C5AAE" w:rsidP="008C2D73">
            <w:pPr>
              <w:ind w:right="57"/>
              <w:jc w:val="right"/>
              <w:rPr>
                <w:rFonts w:ascii="Arial" w:eastAsia="Calibri" w:hAnsi="Arial" w:cs="Arial"/>
                <w:color w:val="000000"/>
                <w:sz w:val="24"/>
              </w:rPr>
            </w:pPr>
            <w:r w:rsidRPr="00ED38E8">
              <w:rPr>
                <w:rFonts w:ascii="Arial" w:eastAsia="Calibri" w:hAnsi="Arial" w:cs="Arial"/>
                <w:color w:val="000000"/>
                <w:sz w:val="24"/>
              </w:rPr>
              <w:t xml:space="preserve">2014 </w:t>
            </w:r>
          </w:p>
        </w:tc>
      </w:tr>
      <w:tr w:rsidR="009C5AAE" w:rsidRPr="00ED38E8" w:rsidTr="008C2D73">
        <w:trPr>
          <w:trHeight w:val="350"/>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Interest income  </w:t>
            </w:r>
          </w:p>
        </w:tc>
        <w:tc>
          <w:tcPr>
            <w:tcW w:w="1160"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100.00% </w:t>
            </w:r>
          </w:p>
        </w:tc>
        <w:tc>
          <w:tcPr>
            <w:tcW w:w="1238" w:type="dxa"/>
          </w:tcPr>
          <w:p w:rsidR="009C5AAE" w:rsidRPr="00ED38E8" w:rsidRDefault="009C5AAE" w:rsidP="008C2D73">
            <w:pPr>
              <w:spacing w:after="0" w:line="240" w:lineRule="auto"/>
              <w:jc w:val="both"/>
              <w:rPr>
                <w:rFonts w:ascii="Arial" w:eastAsia="Calibri" w:hAnsi="Arial" w:cs="Arial"/>
                <w:sz w:val="24"/>
              </w:rPr>
            </w:pPr>
            <w:r w:rsidRPr="00ED38E8">
              <w:rPr>
                <w:rFonts w:ascii="Arial" w:eastAsia="Calibri" w:hAnsi="Arial" w:cs="Arial"/>
              </w:rPr>
              <w:t xml:space="preserve">100.00% </w:t>
            </w:r>
          </w:p>
        </w:tc>
        <w:tc>
          <w:tcPr>
            <w:tcW w:w="1171" w:type="dxa"/>
          </w:tcPr>
          <w:p w:rsidR="009C5AAE" w:rsidRPr="00ED38E8" w:rsidRDefault="009C5AAE" w:rsidP="008C2D73">
            <w:pPr>
              <w:spacing w:after="0" w:line="240" w:lineRule="auto"/>
              <w:ind w:left="86"/>
              <w:jc w:val="both"/>
              <w:rPr>
                <w:rFonts w:ascii="Arial" w:eastAsia="Calibri" w:hAnsi="Arial" w:cs="Arial"/>
                <w:sz w:val="24"/>
              </w:rPr>
            </w:pPr>
            <w:r w:rsidRPr="00ED38E8">
              <w:rPr>
                <w:rFonts w:ascii="Arial" w:eastAsia="Calibri" w:hAnsi="Arial" w:cs="Arial"/>
              </w:rPr>
              <w:t xml:space="preserve">100.00% </w:t>
            </w:r>
          </w:p>
        </w:tc>
        <w:tc>
          <w:tcPr>
            <w:tcW w:w="1176" w:type="dxa"/>
          </w:tcPr>
          <w:p w:rsidR="009C5AAE" w:rsidRPr="00ED38E8" w:rsidRDefault="009C5AAE" w:rsidP="008C2D73">
            <w:pPr>
              <w:spacing w:after="0" w:line="240" w:lineRule="auto"/>
              <w:ind w:left="91"/>
              <w:jc w:val="both"/>
              <w:rPr>
                <w:rFonts w:ascii="Arial" w:eastAsia="Calibri" w:hAnsi="Arial" w:cs="Arial"/>
                <w:sz w:val="24"/>
              </w:rPr>
            </w:pPr>
            <w:r w:rsidRPr="00ED38E8">
              <w:rPr>
                <w:rFonts w:ascii="Arial" w:eastAsia="Calibri" w:hAnsi="Arial" w:cs="Arial"/>
              </w:rPr>
              <w:t xml:space="preserve">100.00% </w:t>
            </w:r>
          </w:p>
        </w:tc>
        <w:tc>
          <w:tcPr>
            <w:tcW w:w="1176" w:type="dxa"/>
          </w:tcPr>
          <w:p w:rsidR="009C5AAE" w:rsidRPr="00ED38E8" w:rsidRDefault="009C5AAE" w:rsidP="008C2D73">
            <w:pPr>
              <w:spacing w:after="0" w:line="240" w:lineRule="auto"/>
              <w:ind w:left="91"/>
              <w:jc w:val="both"/>
              <w:rPr>
                <w:rFonts w:ascii="Arial" w:eastAsia="Calibri" w:hAnsi="Arial" w:cs="Arial"/>
                <w:sz w:val="24"/>
              </w:rPr>
            </w:pPr>
            <w:r w:rsidRPr="00ED38E8">
              <w:rPr>
                <w:rFonts w:ascii="Arial" w:eastAsia="Calibri" w:hAnsi="Arial" w:cs="Arial"/>
              </w:rPr>
              <w:t xml:space="preserve">100.00% </w:t>
            </w:r>
          </w:p>
        </w:tc>
      </w:tr>
      <w:tr w:rsidR="009C5AAE" w:rsidRPr="00ED38E8" w:rsidTr="008C2D73">
        <w:trPr>
          <w:trHeight w:val="413"/>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Interest on deposits and borrowings etc.  </w:t>
            </w:r>
          </w:p>
        </w:tc>
        <w:tc>
          <w:tcPr>
            <w:tcW w:w="1160" w:type="dxa"/>
          </w:tcPr>
          <w:p w:rsidR="009C5AAE" w:rsidRPr="00ED38E8" w:rsidRDefault="009C5AAE" w:rsidP="008C2D73">
            <w:pPr>
              <w:spacing w:after="0" w:line="240" w:lineRule="auto"/>
              <w:ind w:left="43"/>
              <w:rPr>
                <w:rFonts w:ascii="Arial" w:eastAsia="Calibri" w:hAnsi="Arial" w:cs="Arial"/>
                <w:sz w:val="24"/>
              </w:rPr>
            </w:pPr>
            <w:r w:rsidRPr="00ED38E8">
              <w:rPr>
                <w:rFonts w:ascii="Arial" w:eastAsia="Calibri" w:hAnsi="Arial" w:cs="Arial"/>
              </w:rPr>
              <w:t xml:space="preserve">-55.08% </w:t>
            </w:r>
          </w:p>
        </w:tc>
        <w:tc>
          <w:tcPr>
            <w:tcW w:w="1238" w:type="dxa"/>
          </w:tcPr>
          <w:p w:rsidR="009C5AAE" w:rsidRPr="00ED38E8" w:rsidRDefault="009C5AAE" w:rsidP="008C2D73">
            <w:pPr>
              <w:spacing w:after="0" w:line="240" w:lineRule="auto"/>
              <w:ind w:left="43"/>
              <w:jc w:val="both"/>
              <w:rPr>
                <w:rFonts w:ascii="Arial" w:eastAsia="Calibri" w:hAnsi="Arial" w:cs="Arial"/>
                <w:sz w:val="24"/>
              </w:rPr>
            </w:pPr>
            <w:r w:rsidRPr="00ED38E8">
              <w:rPr>
                <w:rFonts w:ascii="Arial" w:eastAsia="Calibri" w:hAnsi="Arial" w:cs="Arial"/>
              </w:rPr>
              <w:t xml:space="preserve">-55.33% </w:t>
            </w:r>
          </w:p>
        </w:tc>
        <w:tc>
          <w:tcPr>
            <w:tcW w:w="1171" w:type="dxa"/>
          </w:tcPr>
          <w:p w:rsidR="009C5AAE" w:rsidRPr="00ED38E8" w:rsidRDefault="009C5AAE" w:rsidP="008C2D73">
            <w:pPr>
              <w:spacing w:after="0" w:line="240" w:lineRule="auto"/>
              <w:ind w:left="130"/>
              <w:rPr>
                <w:rFonts w:ascii="Arial" w:eastAsia="Calibri" w:hAnsi="Arial" w:cs="Arial"/>
                <w:sz w:val="24"/>
              </w:rPr>
            </w:pPr>
            <w:r w:rsidRPr="00ED38E8">
              <w:rPr>
                <w:rFonts w:ascii="Arial" w:eastAsia="Calibri" w:hAnsi="Arial" w:cs="Arial"/>
              </w:rPr>
              <w:t xml:space="preserve">-58.58% </w:t>
            </w:r>
          </w:p>
        </w:tc>
        <w:tc>
          <w:tcPr>
            <w:tcW w:w="1176" w:type="dxa"/>
          </w:tcPr>
          <w:p w:rsidR="009C5AAE" w:rsidRPr="00ED38E8" w:rsidRDefault="009C5AAE" w:rsidP="008C2D73">
            <w:pPr>
              <w:spacing w:after="0" w:line="240" w:lineRule="auto"/>
              <w:ind w:left="134"/>
              <w:rPr>
                <w:rFonts w:ascii="Arial" w:eastAsia="Calibri" w:hAnsi="Arial" w:cs="Arial"/>
                <w:sz w:val="24"/>
              </w:rPr>
            </w:pPr>
            <w:r w:rsidRPr="00ED38E8">
              <w:rPr>
                <w:rFonts w:ascii="Arial" w:eastAsia="Calibri" w:hAnsi="Arial" w:cs="Arial"/>
              </w:rPr>
              <w:t xml:space="preserve">-61.13% </w:t>
            </w:r>
          </w:p>
        </w:tc>
        <w:tc>
          <w:tcPr>
            <w:tcW w:w="1176" w:type="dxa"/>
          </w:tcPr>
          <w:p w:rsidR="009C5AAE" w:rsidRPr="00ED38E8" w:rsidRDefault="009C5AAE" w:rsidP="008C2D73">
            <w:pPr>
              <w:spacing w:after="0" w:line="240" w:lineRule="auto"/>
              <w:ind w:left="134"/>
              <w:rPr>
                <w:rFonts w:ascii="Arial" w:eastAsia="Calibri" w:hAnsi="Arial" w:cs="Arial"/>
                <w:sz w:val="24"/>
              </w:rPr>
            </w:pPr>
            <w:r w:rsidRPr="00ED38E8">
              <w:rPr>
                <w:rFonts w:ascii="Arial" w:eastAsia="Calibri" w:hAnsi="Arial" w:cs="Arial"/>
              </w:rPr>
              <w:t xml:space="preserve">-66.58% </w:t>
            </w:r>
          </w:p>
        </w:tc>
      </w:tr>
      <w:tr w:rsidR="009C5AAE" w:rsidRPr="00ED38E8" w:rsidTr="008C2D73">
        <w:trPr>
          <w:trHeight w:val="431"/>
        </w:trPr>
        <w:tc>
          <w:tcPr>
            <w:tcW w:w="3994" w:type="dxa"/>
          </w:tcPr>
          <w:p w:rsidR="009C5AAE" w:rsidRPr="00ED38E8" w:rsidRDefault="009C5AAE" w:rsidP="008C2D73">
            <w:pPr>
              <w:spacing w:after="0" w:line="240" w:lineRule="auto"/>
              <w:ind w:right="77"/>
              <w:rPr>
                <w:rFonts w:ascii="Arial" w:eastAsia="Calibri" w:hAnsi="Arial" w:cs="Arial"/>
                <w:sz w:val="20"/>
                <w:szCs w:val="20"/>
              </w:rPr>
            </w:pPr>
            <w:r w:rsidRPr="00ED38E8">
              <w:rPr>
                <w:rFonts w:ascii="Arial" w:eastAsia="Calibri" w:hAnsi="Arial" w:cs="Arial"/>
                <w:sz w:val="20"/>
                <w:szCs w:val="20"/>
              </w:rPr>
              <w:t xml:space="preserve">Net interest income  </w:t>
            </w:r>
          </w:p>
        </w:tc>
        <w:tc>
          <w:tcPr>
            <w:tcW w:w="1160" w:type="dxa"/>
          </w:tcPr>
          <w:p w:rsidR="009C5AAE" w:rsidRPr="00ED38E8" w:rsidRDefault="009C5AAE" w:rsidP="008C2D73">
            <w:pPr>
              <w:spacing w:after="0" w:line="240" w:lineRule="auto"/>
              <w:ind w:left="110"/>
              <w:rPr>
                <w:rFonts w:ascii="Arial" w:eastAsia="Calibri" w:hAnsi="Arial" w:cs="Arial"/>
                <w:sz w:val="24"/>
              </w:rPr>
            </w:pPr>
            <w:r w:rsidRPr="00ED38E8">
              <w:rPr>
                <w:rFonts w:ascii="Arial" w:eastAsia="Calibri" w:hAnsi="Arial" w:cs="Arial"/>
              </w:rPr>
              <w:t xml:space="preserve">44.92% </w:t>
            </w:r>
          </w:p>
        </w:tc>
        <w:tc>
          <w:tcPr>
            <w:tcW w:w="1238" w:type="dxa"/>
          </w:tcPr>
          <w:p w:rsidR="009C5AAE" w:rsidRPr="00ED38E8" w:rsidRDefault="009C5AAE" w:rsidP="008C2D73">
            <w:pPr>
              <w:spacing w:after="0" w:line="240" w:lineRule="auto"/>
              <w:ind w:left="110"/>
              <w:rPr>
                <w:rFonts w:ascii="Arial" w:eastAsia="Calibri" w:hAnsi="Arial" w:cs="Arial"/>
                <w:sz w:val="24"/>
              </w:rPr>
            </w:pPr>
            <w:r w:rsidRPr="00ED38E8">
              <w:rPr>
                <w:rFonts w:ascii="Arial" w:eastAsia="Calibri" w:hAnsi="Arial" w:cs="Arial"/>
              </w:rPr>
              <w:t xml:space="preserve">44.67% </w:t>
            </w:r>
          </w:p>
        </w:tc>
        <w:tc>
          <w:tcPr>
            <w:tcW w:w="1171" w:type="dxa"/>
          </w:tcPr>
          <w:p w:rsidR="009C5AAE" w:rsidRPr="00ED38E8" w:rsidRDefault="009C5AAE" w:rsidP="008C2D73">
            <w:pPr>
              <w:spacing w:after="0" w:line="240" w:lineRule="auto"/>
              <w:ind w:left="197"/>
              <w:rPr>
                <w:rFonts w:ascii="Arial" w:eastAsia="Calibri" w:hAnsi="Arial" w:cs="Arial"/>
                <w:sz w:val="24"/>
              </w:rPr>
            </w:pPr>
            <w:r w:rsidRPr="00ED38E8">
              <w:rPr>
                <w:rFonts w:ascii="Arial" w:eastAsia="Calibri" w:hAnsi="Arial" w:cs="Arial"/>
              </w:rPr>
              <w:t xml:space="preserve">41.42% </w:t>
            </w:r>
          </w:p>
        </w:tc>
        <w:tc>
          <w:tcPr>
            <w:tcW w:w="1176" w:type="dxa"/>
          </w:tcPr>
          <w:p w:rsidR="009C5AAE" w:rsidRPr="00ED38E8" w:rsidRDefault="009C5AAE" w:rsidP="008C2D73">
            <w:pPr>
              <w:spacing w:after="0" w:line="240" w:lineRule="auto"/>
              <w:ind w:left="202"/>
              <w:rPr>
                <w:rFonts w:ascii="Arial" w:eastAsia="Calibri" w:hAnsi="Arial" w:cs="Arial"/>
                <w:sz w:val="24"/>
              </w:rPr>
            </w:pPr>
            <w:r w:rsidRPr="00ED38E8">
              <w:rPr>
                <w:rFonts w:ascii="Arial" w:eastAsia="Calibri" w:hAnsi="Arial" w:cs="Arial"/>
              </w:rPr>
              <w:t xml:space="preserve">38.87% </w:t>
            </w:r>
          </w:p>
        </w:tc>
        <w:tc>
          <w:tcPr>
            <w:tcW w:w="1176" w:type="dxa"/>
          </w:tcPr>
          <w:p w:rsidR="009C5AAE" w:rsidRPr="00ED38E8" w:rsidRDefault="009C5AAE" w:rsidP="008C2D73">
            <w:pPr>
              <w:spacing w:after="0" w:line="240" w:lineRule="auto"/>
              <w:ind w:left="202"/>
              <w:rPr>
                <w:rFonts w:ascii="Arial" w:eastAsia="Calibri" w:hAnsi="Arial" w:cs="Arial"/>
                <w:sz w:val="24"/>
              </w:rPr>
            </w:pPr>
            <w:r w:rsidRPr="00ED38E8">
              <w:rPr>
                <w:rFonts w:ascii="Arial" w:eastAsia="Calibri" w:hAnsi="Arial" w:cs="Arial"/>
              </w:rPr>
              <w:t xml:space="preserve">33.42% </w:t>
            </w:r>
          </w:p>
        </w:tc>
      </w:tr>
      <w:tr w:rsidR="009C5AAE" w:rsidRPr="00ED38E8" w:rsidTr="008C2D73">
        <w:trPr>
          <w:trHeight w:val="431"/>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Investment income  </w:t>
            </w:r>
          </w:p>
        </w:tc>
        <w:tc>
          <w:tcPr>
            <w:tcW w:w="1160" w:type="dxa"/>
          </w:tcPr>
          <w:p w:rsidR="009C5AAE" w:rsidRPr="00ED38E8" w:rsidRDefault="009C5AAE" w:rsidP="008C2D73">
            <w:pPr>
              <w:spacing w:after="0" w:line="240" w:lineRule="auto"/>
              <w:ind w:left="110"/>
              <w:rPr>
                <w:rFonts w:ascii="Arial" w:eastAsia="Calibri" w:hAnsi="Arial" w:cs="Arial"/>
                <w:sz w:val="24"/>
              </w:rPr>
            </w:pPr>
            <w:r w:rsidRPr="00ED38E8">
              <w:rPr>
                <w:rFonts w:ascii="Arial" w:eastAsia="Calibri" w:hAnsi="Arial" w:cs="Arial"/>
              </w:rPr>
              <w:t xml:space="preserve">12.17%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5.69%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4.51%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0.65%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0.86% </w:t>
            </w:r>
          </w:p>
        </w:tc>
      </w:tr>
      <w:tr w:rsidR="009C5AAE" w:rsidRPr="00ED38E8" w:rsidTr="008C2D73">
        <w:trPr>
          <w:trHeight w:val="413"/>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Commission, exchange and brokerage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8.49%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5.28%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4.33%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4.83%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4.66% </w:t>
            </w:r>
          </w:p>
        </w:tc>
      </w:tr>
      <w:tr w:rsidR="009C5AAE" w:rsidRPr="00ED38E8" w:rsidTr="008C2D73">
        <w:trPr>
          <w:trHeight w:val="413"/>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Other operating income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5.04%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6.12%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5.34%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4.86%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5.49% </w:t>
            </w:r>
          </w:p>
        </w:tc>
      </w:tr>
      <w:tr w:rsidR="009C5AAE" w:rsidRPr="00ED38E8" w:rsidTr="008C2D73">
        <w:trPr>
          <w:trHeight w:val="431"/>
        </w:trPr>
        <w:tc>
          <w:tcPr>
            <w:tcW w:w="3994" w:type="dxa"/>
          </w:tcPr>
          <w:p w:rsidR="009C5AAE" w:rsidRPr="00ED38E8" w:rsidRDefault="009C5AAE" w:rsidP="008C2D73">
            <w:pPr>
              <w:spacing w:after="0" w:line="240" w:lineRule="auto"/>
              <w:ind w:right="69"/>
              <w:rPr>
                <w:rFonts w:ascii="Arial" w:eastAsia="Calibri" w:hAnsi="Arial" w:cs="Arial"/>
                <w:sz w:val="20"/>
                <w:szCs w:val="20"/>
              </w:rPr>
            </w:pPr>
            <w:r w:rsidRPr="00ED38E8">
              <w:rPr>
                <w:rFonts w:ascii="Arial" w:eastAsia="Calibri" w:hAnsi="Arial" w:cs="Arial"/>
                <w:sz w:val="20"/>
                <w:szCs w:val="20"/>
              </w:rPr>
              <w:t xml:space="preserve">Total operating income  </w:t>
            </w:r>
          </w:p>
        </w:tc>
        <w:tc>
          <w:tcPr>
            <w:tcW w:w="1160" w:type="dxa"/>
          </w:tcPr>
          <w:p w:rsidR="009C5AAE" w:rsidRPr="00ED38E8" w:rsidRDefault="009C5AAE" w:rsidP="008C2D73">
            <w:pPr>
              <w:spacing w:after="0" w:line="240" w:lineRule="auto"/>
              <w:ind w:left="110"/>
              <w:rPr>
                <w:rFonts w:ascii="Arial" w:eastAsia="Calibri" w:hAnsi="Arial" w:cs="Arial"/>
                <w:sz w:val="24"/>
              </w:rPr>
            </w:pPr>
            <w:r w:rsidRPr="00ED38E8">
              <w:rPr>
                <w:rFonts w:ascii="Arial" w:eastAsia="Calibri" w:hAnsi="Arial" w:cs="Arial"/>
              </w:rPr>
              <w:t xml:space="preserve">70.62% </w:t>
            </w:r>
          </w:p>
        </w:tc>
        <w:tc>
          <w:tcPr>
            <w:tcW w:w="1238" w:type="dxa"/>
          </w:tcPr>
          <w:p w:rsidR="009C5AAE" w:rsidRPr="00ED38E8" w:rsidRDefault="009C5AAE" w:rsidP="008C2D73">
            <w:pPr>
              <w:spacing w:after="0" w:line="240" w:lineRule="auto"/>
              <w:ind w:left="110"/>
              <w:rPr>
                <w:rFonts w:ascii="Arial" w:eastAsia="Calibri" w:hAnsi="Arial" w:cs="Arial"/>
                <w:sz w:val="24"/>
              </w:rPr>
            </w:pPr>
            <w:r w:rsidRPr="00ED38E8">
              <w:rPr>
                <w:rFonts w:ascii="Arial" w:eastAsia="Calibri" w:hAnsi="Arial" w:cs="Arial"/>
              </w:rPr>
              <w:t xml:space="preserve">61.77% </w:t>
            </w:r>
          </w:p>
        </w:tc>
        <w:tc>
          <w:tcPr>
            <w:tcW w:w="1171" w:type="dxa"/>
          </w:tcPr>
          <w:p w:rsidR="009C5AAE" w:rsidRPr="00ED38E8" w:rsidRDefault="009C5AAE" w:rsidP="008C2D73">
            <w:pPr>
              <w:spacing w:after="0" w:line="240" w:lineRule="auto"/>
              <w:ind w:left="197"/>
              <w:rPr>
                <w:rFonts w:ascii="Arial" w:eastAsia="Calibri" w:hAnsi="Arial" w:cs="Arial"/>
                <w:sz w:val="24"/>
              </w:rPr>
            </w:pPr>
            <w:r w:rsidRPr="00ED38E8">
              <w:rPr>
                <w:rFonts w:ascii="Arial" w:eastAsia="Calibri" w:hAnsi="Arial" w:cs="Arial"/>
              </w:rPr>
              <w:t xml:space="preserve">55.60% </w:t>
            </w:r>
          </w:p>
        </w:tc>
        <w:tc>
          <w:tcPr>
            <w:tcW w:w="1176" w:type="dxa"/>
          </w:tcPr>
          <w:p w:rsidR="009C5AAE" w:rsidRPr="00ED38E8" w:rsidRDefault="009C5AAE" w:rsidP="008C2D73">
            <w:pPr>
              <w:spacing w:after="0" w:line="240" w:lineRule="auto"/>
              <w:ind w:left="202"/>
              <w:rPr>
                <w:rFonts w:ascii="Arial" w:eastAsia="Calibri" w:hAnsi="Arial" w:cs="Arial"/>
                <w:sz w:val="24"/>
              </w:rPr>
            </w:pPr>
            <w:r w:rsidRPr="00ED38E8">
              <w:rPr>
                <w:rFonts w:ascii="Arial" w:eastAsia="Calibri" w:hAnsi="Arial" w:cs="Arial"/>
              </w:rPr>
              <w:t xml:space="preserve">49.22% </w:t>
            </w:r>
          </w:p>
        </w:tc>
        <w:tc>
          <w:tcPr>
            <w:tcW w:w="1176" w:type="dxa"/>
          </w:tcPr>
          <w:p w:rsidR="009C5AAE" w:rsidRPr="00ED38E8" w:rsidRDefault="009C5AAE" w:rsidP="008C2D73">
            <w:pPr>
              <w:spacing w:after="0" w:line="240" w:lineRule="auto"/>
              <w:ind w:left="202"/>
              <w:rPr>
                <w:rFonts w:ascii="Arial" w:eastAsia="Calibri" w:hAnsi="Arial" w:cs="Arial"/>
                <w:sz w:val="24"/>
              </w:rPr>
            </w:pPr>
            <w:r w:rsidRPr="00ED38E8">
              <w:rPr>
                <w:rFonts w:ascii="Arial" w:eastAsia="Calibri" w:hAnsi="Arial" w:cs="Arial"/>
              </w:rPr>
              <w:t xml:space="preserve">44.43% </w:t>
            </w:r>
          </w:p>
        </w:tc>
      </w:tr>
      <w:tr w:rsidR="009C5AAE" w:rsidRPr="00ED38E8" w:rsidTr="008C2D73">
        <w:trPr>
          <w:trHeight w:val="465"/>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Salaries and allowances  </w:t>
            </w:r>
          </w:p>
        </w:tc>
        <w:tc>
          <w:tcPr>
            <w:tcW w:w="1160" w:type="dxa"/>
          </w:tcPr>
          <w:p w:rsidR="009C5AAE" w:rsidRPr="00ED38E8" w:rsidRDefault="009C5AAE" w:rsidP="008C2D73">
            <w:pPr>
              <w:spacing w:after="0" w:line="240" w:lineRule="auto"/>
              <w:ind w:left="110"/>
              <w:rPr>
                <w:rFonts w:ascii="Arial" w:eastAsia="Calibri" w:hAnsi="Arial" w:cs="Arial"/>
                <w:sz w:val="24"/>
              </w:rPr>
            </w:pPr>
            <w:r w:rsidRPr="00ED38E8">
              <w:rPr>
                <w:rFonts w:ascii="Arial" w:eastAsia="Calibri" w:hAnsi="Arial" w:cs="Arial"/>
              </w:rPr>
              <w:t xml:space="preserve">14.56% </w:t>
            </w:r>
          </w:p>
        </w:tc>
        <w:tc>
          <w:tcPr>
            <w:tcW w:w="1238" w:type="dxa"/>
          </w:tcPr>
          <w:p w:rsidR="009C5AAE" w:rsidRPr="00ED38E8" w:rsidRDefault="009C5AAE" w:rsidP="008C2D73">
            <w:pPr>
              <w:spacing w:after="0" w:line="240" w:lineRule="auto"/>
              <w:ind w:left="110"/>
              <w:rPr>
                <w:rFonts w:ascii="Arial" w:eastAsia="Calibri" w:hAnsi="Arial" w:cs="Arial"/>
                <w:sz w:val="24"/>
              </w:rPr>
            </w:pPr>
            <w:r w:rsidRPr="00ED38E8">
              <w:rPr>
                <w:rFonts w:ascii="Arial" w:eastAsia="Calibri" w:hAnsi="Arial" w:cs="Arial"/>
              </w:rPr>
              <w:t xml:space="preserve">12.48% </w:t>
            </w:r>
          </w:p>
        </w:tc>
        <w:tc>
          <w:tcPr>
            <w:tcW w:w="1171" w:type="dxa"/>
          </w:tcPr>
          <w:p w:rsidR="009C5AAE" w:rsidRPr="00ED38E8" w:rsidRDefault="009C5AAE" w:rsidP="008C2D73">
            <w:pPr>
              <w:spacing w:after="0" w:line="240" w:lineRule="auto"/>
              <w:ind w:left="197"/>
              <w:rPr>
                <w:rFonts w:ascii="Arial" w:eastAsia="Calibri" w:hAnsi="Arial" w:cs="Arial"/>
                <w:sz w:val="24"/>
              </w:rPr>
            </w:pPr>
            <w:r w:rsidRPr="00ED38E8">
              <w:rPr>
                <w:rFonts w:ascii="Arial" w:eastAsia="Calibri" w:hAnsi="Arial" w:cs="Arial"/>
              </w:rPr>
              <w:t xml:space="preserve">10.90% </w:t>
            </w:r>
          </w:p>
        </w:tc>
        <w:tc>
          <w:tcPr>
            <w:tcW w:w="1176" w:type="dxa"/>
          </w:tcPr>
          <w:p w:rsidR="009C5AAE" w:rsidRPr="00ED38E8" w:rsidRDefault="009C5AAE" w:rsidP="008C2D73">
            <w:pPr>
              <w:spacing w:after="0" w:line="240" w:lineRule="auto"/>
              <w:ind w:left="202"/>
              <w:rPr>
                <w:rFonts w:ascii="Arial" w:eastAsia="Calibri" w:hAnsi="Arial" w:cs="Arial"/>
                <w:sz w:val="24"/>
              </w:rPr>
            </w:pPr>
            <w:r w:rsidRPr="00ED38E8">
              <w:rPr>
                <w:rFonts w:ascii="Arial" w:eastAsia="Calibri" w:hAnsi="Arial" w:cs="Arial"/>
              </w:rPr>
              <w:t xml:space="preserve">10.09%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9.33% </w:t>
            </w:r>
          </w:p>
        </w:tc>
      </w:tr>
      <w:tr w:rsidR="009C5AAE" w:rsidRPr="00ED38E8" w:rsidTr="008C2D73">
        <w:trPr>
          <w:trHeight w:val="360"/>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Rent, taxes, insurance, electricity etc.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2.48%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2.58%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1.64%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1.64%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1.70% </w:t>
            </w:r>
          </w:p>
        </w:tc>
      </w:tr>
      <w:tr w:rsidR="009C5AAE" w:rsidRPr="00ED38E8" w:rsidTr="008C2D73">
        <w:trPr>
          <w:trHeight w:val="345"/>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Legal expenses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0.29%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0.22%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0.20%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0.12%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0.13% </w:t>
            </w:r>
          </w:p>
        </w:tc>
      </w:tr>
      <w:tr w:rsidR="009C5AAE" w:rsidRPr="00ED38E8" w:rsidTr="008C2D73">
        <w:trPr>
          <w:trHeight w:val="345"/>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Postage, stamp, telecommunication etc.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0.42%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0.41%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0.42%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0.46%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0.52% </w:t>
            </w:r>
          </w:p>
        </w:tc>
      </w:tr>
      <w:tr w:rsidR="009C5AAE" w:rsidRPr="00ED38E8" w:rsidTr="008C2D73">
        <w:trPr>
          <w:trHeight w:val="345"/>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Stationery, printing, advertisements etc.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1.57%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1.23%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1.04%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1.55%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1.35% </w:t>
            </w:r>
          </w:p>
        </w:tc>
      </w:tr>
      <w:tr w:rsidR="009C5AAE" w:rsidRPr="00ED38E8" w:rsidTr="008C2D73">
        <w:trPr>
          <w:trHeight w:val="360"/>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Managing Director’s salary and benefits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0.12%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0.11%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0.14%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0.18%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0.21% </w:t>
            </w:r>
          </w:p>
        </w:tc>
      </w:tr>
      <w:tr w:rsidR="009C5AAE" w:rsidRPr="00ED38E8" w:rsidTr="008C2D73">
        <w:trPr>
          <w:trHeight w:val="360"/>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Directors’ fees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0.03%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0.02%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0.02%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0.02%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0.02% </w:t>
            </w:r>
          </w:p>
        </w:tc>
      </w:tr>
      <w:tr w:rsidR="009C5AAE" w:rsidRPr="00ED38E8" w:rsidTr="008C2D73">
        <w:trPr>
          <w:trHeight w:val="402"/>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Auditors’ fees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0.02%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0.01%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0.01%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0.01%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0.01% </w:t>
            </w:r>
          </w:p>
        </w:tc>
      </w:tr>
      <w:tr w:rsidR="009C5AAE" w:rsidRPr="00ED38E8" w:rsidTr="008C2D73">
        <w:trPr>
          <w:trHeight w:val="384"/>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Charges on loan losses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0.00%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0.00%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0.00%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0.00%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0.00% </w:t>
            </w:r>
          </w:p>
        </w:tc>
      </w:tr>
      <w:tr w:rsidR="009C5AAE" w:rsidRPr="00ED38E8" w:rsidTr="008C2D73">
        <w:trPr>
          <w:trHeight w:val="503"/>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Depreciation and repair of  Company’s assets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2.17%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2.39%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2.16%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2.21%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2.57% </w:t>
            </w:r>
          </w:p>
        </w:tc>
      </w:tr>
      <w:tr w:rsidR="009C5AAE" w:rsidRPr="00ED38E8" w:rsidTr="008C2D73">
        <w:trPr>
          <w:trHeight w:val="285"/>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Other expenses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4.61%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3.98%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3.44%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3.43%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4.17% </w:t>
            </w:r>
          </w:p>
        </w:tc>
      </w:tr>
      <w:tr w:rsidR="009C5AAE" w:rsidRPr="00ED38E8" w:rsidTr="008C2D73">
        <w:trPr>
          <w:trHeight w:val="255"/>
        </w:trPr>
        <w:tc>
          <w:tcPr>
            <w:tcW w:w="3994" w:type="dxa"/>
          </w:tcPr>
          <w:p w:rsidR="009C5AAE" w:rsidRPr="00ED38E8" w:rsidRDefault="009C5AAE" w:rsidP="008C2D73">
            <w:pPr>
              <w:spacing w:after="0" w:line="240" w:lineRule="auto"/>
              <w:ind w:right="68"/>
              <w:rPr>
                <w:rFonts w:ascii="Arial" w:eastAsia="Calibri" w:hAnsi="Arial" w:cs="Arial"/>
                <w:sz w:val="20"/>
                <w:szCs w:val="20"/>
              </w:rPr>
            </w:pPr>
            <w:r w:rsidRPr="00ED38E8">
              <w:rPr>
                <w:rFonts w:ascii="Arial" w:eastAsia="Calibri" w:hAnsi="Arial" w:cs="Arial"/>
                <w:sz w:val="20"/>
                <w:szCs w:val="20"/>
              </w:rPr>
              <w:t xml:space="preserve">Total operating expenses </w:t>
            </w:r>
          </w:p>
        </w:tc>
        <w:tc>
          <w:tcPr>
            <w:tcW w:w="1160" w:type="dxa"/>
          </w:tcPr>
          <w:p w:rsidR="009C5AAE" w:rsidRPr="00ED38E8" w:rsidRDefault="009C5AAE" w:rsidP="008C2D73">
            <w:pPr>
              <w:spacing w:after="0" w:line="240" w:lineRule="auto"/>
              <w:ind w:left="110"/>
              <w:rPr>
                <w:rFonts w:ascii="Arial" w:eastAsia="Calibri" w:hAnsi="Arial" w:cs="Arial"/>
                <w:sz w:val="24"/>
              </w:rPr>
            </w:pPr>
            <w:r w:rsidRPr="00ED38E8">
              <w:rPr>
                <w:rFonts w:ascii="Arial" w:eastAsia="Calibri" w:hAnsi="Arial" w:cs="Arial"/>
              </w:rPr>
              <w:t xml:space="preserve">26.27% </w:t>
            </w:r>
          </w:p>
        </w:tc>
        <w:tc>
          <w:tcPr>
            <w:tcW w:w="1238" w:type="dxa"/>
          </w:tcPr>
          <w:p w:rsidR="009C5AAE" w:rsidRPr="00ED38E8" w:rsidRDefault="009C5AAE" w:rsidP="008C2D73">
            <w:pPr>
              <w:spacing w:after="0" w:line="240" w:lineRule="auto"/>
              <w:ind w:left="110"/>
              <w:rPr>
                <w:rFonts w:ascii="Arial" w:eastAsia="Calibri" w:hAnsi="Arial" w:cs="Arial"/>
                <w:sz w:val="24"/>
              </w:rPr>
            </w:pPr>
            <w:r w:rsidRPr="00ED38E8">
              <w:rPr>
                <w:rFonts w:ascii="Arial" w:eastAsia="Calibri" w:hAnsi="Arial" w:cs="Arial"/>
              </w:rPr>
              <w:t xml:space="preserve">23.43% </w:t>
            </w:r>
          </w:p>
        </w:tc>
        <w:tc>
          <w:tcPr>
            <w:tcW w:w="1171" w:type="dxa"/>
          </w:tcPr>
          <w:p w:rsidR="009C5AAE" w:rsidRPr="00ED38E8" w:rsidRDefault="009C5AAE" w:rsidP="008C2D73">
            <w:pPr>
              <w:spacing w:after="0" w:line="240" w:lineRule="auto"/>
              <w:ind w:left="197"/>
              <w:rPr>
                <w:rFonts w:ascii="Arial" w:eastAsia="Calibri" w:hAnsi="Arial" w:cs="Arial"/>
                <w:sz w:val="24"/>
              </w:rPr>
            </w:pPr>
            <w:r w:rsidRPr="00ED38E8">
              <w:rPr>
                <w:rFonts w:ascii="Arial" w:eastAsia="Calibri" w:hAnsi="Arial" w:cs="Arial"/>
              </w:rPr>
              <w:t xml:space="preserve">19.97% </w:t>
            </w:r>
          </w:p>
        </w:tc>
        <w:tc>
          <w:tcPr>
            <w:tcW w:w="1176" w:type="dxa"/>
          </w:tcPr>
          <w:p w:rsidR="009C5AAE" w:rsidRPr="00ED38E8" w:rsidRDefault="009C5AAE" w:rsidP="008C2D73">
            <w:pPr>
              <w:spacing w:after="0" w:line="240" w:lineRule="auto"/>
              <w:ind w:left="202"/>
              <w:rPr>
                <w:rFonts w:ascii="Arial" w:eastAsia="Calibri" w:hAnsi="Arial" w:cs="Arial"/>
                <w:sz w:val="24"/>
              </w:rPr>
            </w:pPr>
            <w:r w:rsidRPr="00ED38E8">
              <w:rPr>
                <w:rFonts w:ascii="Arial" w:eastAsia="Calibri" w:hAnsi="Arial" w:cs="Arial"/>
              </w:rPr>
              <w:t xml:space="preserve">19.69% </w:t>
            </w:r>
          </w:p>
        </w:tc>
        <w:tc>
          <w:tcPr>
            <w:tcW w:w="1176" w:type="dxa"/>
          </w:tcPr>
          <w:p w:rsidR="009C5AAE" w:rsidRPr="00ED38E8" w:rsidRDefault="009C5AAE" w:rsidP="008C2D73">
            <w:pPr>
              <w:spacing w:after="0" w:line="240" w:lineRule="auto"/>
              <w:ind w:left="202"/>
              <w:rPr>
                <w:rFonts w:ascii="Arial" w:eastAsia="Calibri" w:hAnsi="Arial" w:cs="Arial"/>
                <w:sz w:val="24"/>
              </w:rPr>
            </w:pPr>
            <w:r w:rsidRPr="00ED38E8">
              <w:rPr>
                <w:rFonts w:ascii="Arial" w:eastAsia="Calibri" w:hAnsi="Arial" w:cs="Arial"/>
              </w:rPr>
              <w:t xml:space="preserve">20.01% </w:t>
            </w:r>
          </w:p>
        </w:tc>
      </w:tr>
      <w:tr w:rsidR="009C5AAE" w:rsidRPr="00ED38E8" w:rsidTr="008C2D73">
        <w:trPr>
          <w:trHeight w:val="390"/>
        </w:trPr>
        <w:tc>
          <w:tcPr>
            <w:tcW w:w="3994" w:type="dxa"/>
          </w:tcPr>
          <w:p w:rsidR="009C5AAE" w:rsidRPr="00ED38E8" w:rsidRDefault="009C5AAE" w:rsidP="008C2D73">
            <w:pPr>
              <w:spacing w:after="0" w:line="240" w:lineRule="auto"/>
              <w:ind w:right="76"/>
              <w:rPr>
                <w:rFonts w:ascii="Arial" w:eastAsia="Calibri" w:hAnsi="Arial" w:cs="Arial"/>
                <w:sz w:val="20"/>
                <w:szCs w:val="20"/>
              </w:rPr>
            </w:pPr>
            <w:r w:rsidRPr="00ED38E8">
              <w:rPr>
                <w:rFonts w:ascii="Arial" w:eastAsia="Calibri" w:hAnsi="Arial" w:cs="Arial"/>
                <w:sz w:val="20"/>
                <w:szCs w:val="20"/>
              </w:rPr>
              <w:t xml:space="preserve">Profit before provision  </w:t>
            </w:r>
          </w:p>
        </w:tc>
        <w:tc>
          <w:tcPr>
            <w:tcW w:w="1160" w:type="dxa"/>
          </w:tcPr>
          <w:p w:rsidR="009C5AAE" w:rsidRPr="00ED38E8" w:rsidRDefault="009C5AAE" w:rsidP="008C2D73">
            <w:pPr>
              <w:spacing w:after="0" w:line="240" w:lineRule="auto"/>
              <w:ind w:left="110"/>
              <w:rPr>
                <w:rFonts w:ascii="Arial" w:eastAsia="Calibri" w:hAnsi="Arial" w:cs="Arial"/>
                <w:sz w:val="24"/>
              </w:rPr>
            </w:pPr>
            <w:r w:rsidRPr="00ED38E8">
              <w:rPr>
                <w:rFonts w:ascii="Arial" w:eastAsia="Calibri" w:hAnsi="Arial" w:cs="Arial"/>
              </w:rPr>
              <w:t xml:space="preserve">44.36% </w:t>
            </w:r>
          </w:p>
        </w:tc>
        <w:tc>
          <w:tcPr>
            <w:tcW w:w="1238" w:type="dxa"/>
          </w:tcPr>
          <w:p w:rsidR="009C5AAE" w:rsidRPr="00ED38E8" w:rsidRDefault="009C5AAE" w:rsidP="008C2D73">
            <w:pPr>
              <w:spacing w:after="0" w:line="240" w:lineRule="auto"/>
              <w:ind w:left="110"/>
              <w:rPr>
                <w:rFonts w:ascii="Arial" w:eastAsia="Calibri" w:hAnsi="Arial" w:cs="Arial"/>
                <w:sz w:val="24"/>
              </w:rPr>
            </w:pPr>
            <w:r w:rsidRPr="00ED38E8">
              <w:rPr>
                <w:rFonts w:ascii="Arial" w:eastAsia="Calibri" w:hAnsi="Arial" w:cs="Arial"/>
              </w:rPr>
              <w:t xml:space="preserve">38.34% </w:t>
            </w:r>
          </w:p>
        </w:tc>
        <w:tc>
          <w:tcPr>
            <w:tcW w:w="1171" w:type="dxa"/>
          </w:tcPr>
          <w:p w:rsidR="009C5AAE" w:rsidRPr="00ED38E8" w:rsidRDefault="009C5AAE" w:rsidP="008C2D73">
            <w:pPr>
              <w:spacing w:after="0" w:line="240" w:lineRule="auto"/>
              <w:ind w:left="197"/>
              <w:rPr>
                <w:rFonts w:ascii="Arial" w:eastAsia="Calibri" w:hAnsi="Arial" w:cs="Arial"/>
                <w:sz w:val="24"/>
              </w:rPr>
            </w:pPr>
            <w:r w:rsidRPr="00ED38E8">
              <w:rPr>
                <w:rFonts w:ascii="Arial" w:eastAsia="Calibri" w:hAnsi="Arial" w:cs="Arial"/>
              </w:rPr>
              <w:t xml:space="preserve">35.63% </w:t>
            </w:r>
          </w:p>
        </w:tc>
        <w:tc>
          <w:tcPr>
            <w:tcW w:w="1176" w:type="dxa"/>
          </w:tcPr>
          <w:p w:rsidR="009C5AAE" w:rsidRPr="00ED38E8" w:rsidRDefault="009C5AAE" w:rsidP="008C2D73">
            <w:pPr>
              <w:spacing w:after="0" w:line="240" w:lineRule="auto"/>
              <w:ind w:left="202"/>
              <w:rPr>
                <w:rFonts w:ascii="Arial" w:eastAsia="Calibri" w:hAnsi="Arial" w:cs="Arial"/>
                <w:sz w:val="24"/>
              </w:rPr>
            </w:pPr>
            <w:r w:rsidRPr="00ED38E8">
              <w:rPr>
                <w:rFonts w:ascii="Arial" w:eastAsia="Calibri" w:hAnsi="Arial" w:cs="Arial"/>
              </w:rPr>
              <w:t xml:space="preserve">29.52% </w:t>
            </w:r>
          </w:p>
        </w:tc>
        <w:tc>
          <w:tcPr>
            <w:tcW w:w="1176" w:type="dxa"/>
          </w:tcPr>
          <w:p w:rsidR="009C5AAE" w:rsidRPr="00ED38E8" w:rsidRDefault="009C5AAE" w:rsidP="008C2D73">
            <w:pPr>
              <w:spacing w:after="0" w:line="240" w:lineRule="auto"/>
              <w:ind w:left="202"/>
              <w:rPr>
                <w:rFonts w:ascii="Arial" w:eastAsia="Calibri" w:hAnsi="Arial" w:cs="Arial"/>
                <w:sz w:val="24"/>
              </w:rPr>
            </w:pPr>
            <w:r w:rsidRPr="00ED38E8">
              <w:rPr>
                <w:rFonts w:ascii="Arial" w:eastAsia="Calibri" w:hAnsi="Arial" w:cs="Arial"/>
              </w:rPr>
              <w:t xml:space="preserve">24.43% </w:t>
            </w:r>
          </w:p>
        </w:tc>
      </w:tr>
      <w:tr w:rsidR="009C5AAE" w:rsidRPr="00ED38E8" w:rsidTr="008C2D73">
        <w:trPr>
          <w:trHeight w:val="360"/>
        </w:trPr>
        <w:tc>
          <w:tcPr>
            <w:tcW w:w="3994" w:type="dxa"/>
          </w:tcPr>
          <w:p w:rsidR="009C5AAE" w:rsidRPr="00ED38E8" w:rsidRDefault="009C5AAE" w:rsidP="008C2D73">
            <w:pPr>
              <w:spacing w:after="0" w:line="240" w:lineRule="auto"/>
              <w:ind w:right="75"/>
              <w:rPr>
                <w:rFonts w:ascii="Arial" w:eastAsia="Calibri" w:hAnsi="Arial" w:cs="Arial"/>
                <w:sz w:val="20"/>
                <w:szCs w:val="20"/>
              </w:rPr>
            </w:pPr>
            <w:r w:rsidRPr="00ED38E8">
              <w:rPr>
                <w:rFonts w:ascii="Arial" w:eastAsia="Calibri" w:hAnsi="Arial" w:cs="Arial"/>
                <w:sz w:val="20"/>
                <w:szCs w:val="20"/>
              </w:rPr>
              <w:t xml:space="preserve">Provision for loans and investments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0.00%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0.00%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0.00%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0.00%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0.00% </w:t>
            </w:r>
          </w:p>
        </w:tc>
      </w:tr>
      <w:tr w:rsidR="009C5AAE" w:rsidRPr="00ED38E8" w:rsidTr="008C2D73">
        <w:trPr>
          <w:trHeight w:val="345"/>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General provision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0.70%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0.58%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0.60%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0.61%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-0.20% </w:t>
            </w:r>
          </w:p>
        </w:tc>
      </w:tr>
      <w:tr w:rsidR="009C5AAE" w:rsidRPr="00ED38E8" w:rsidTr="008C2D73">
        <w:trPr>
          <w:trHeight w:val="345"/>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Specific provision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1.92%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2.00%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3.35%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-0.74%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3.17% </w:t>
            </w:r>
          </w:p>
        </w:tc>
      </w:tr>
      <w:tr w:rsidR="009C5AAE" w:rsidRPr="00ED38E8" w:rsidTr="008C2D73">
        <w:trPr>
          <w:trHeight w:val="360"/>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provision for diminution in value of investments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0.00% </w:t>
            </w:r>
          </w:p>
        </w:tc>
        <w:tc>
          <w:tcPr>
            <w:tcW w:w="1238" w:type="dxa"/>
          </w:tcPr>
          <w:p w:rsidR="009C5AAE" w:rsidRPr="00ED38E8" w:rsidRDefault="009C5AAE" w:rsidP="008C2D73">
            <w:pPr>
              <w:spacing w:after="0" w:line="240" w:lineRule="auto"/>
              <w:ind w:left="154"/>
              <w:rPr>
                <w:rFonts w:ascii="Arial" w:eastAsia="Calibri" w:hAnsi="Arial" w:cs="Arial"/>
                <w:sz w:val="24"/>
              </w:rPr>
            </w:pPr>
            <w:r w:rsidRPr="00ED38E8">
              <w:rPr>
                <w:rFonts w:ascii="Arial" w:eastAsia="Calibri" w:hAnsi="Arial" w:cs="Arial"/>
              </w:rPr>
              <w:t xml:space="preserve">-0.72%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-0.16%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0.24%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0.13% </w:t>
            </w:r>
          </w:p>
        </w:tc>
      </w:tr>
      <w:tr w:rsidR="009C5AAE" w:rsidRPr="00ED38E8" w:rsidTr="008C2D73">
        <w:trPr>
          <w:trHeight w:val="360"/>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Other provisions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0.00%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0.00%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0.00%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0.00%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0.00% </w:t>
            </w:r>
          </w:p>
        </w:tc>
      </w:tr>
      <w:tr w:rsidR="009C5AAE" w:rsidRPr="00ED38E8" w:rsidTr="008C2D73">
        <w:trPr>
          <w:trHeight w:val="345"/>
        </w:trPr>
        <w:tc>
          <w:tcPr>
            <w:tcW w:w="3994" w:type="dxa"/>
          </w:tcPr>
          <w:p w:rsidR="009C5AAE" w:rsidRPr="00ED38E8" w:rsidRDefault="009C5AAE" w:rsidP="008C2D73">
            <w:pPr>
              <w:spacing w:after="0" w:line="240" w:lineRule="auto"/>
              <w:ind w:right="75"/>
              <w:rPr>
                <w:rFonts w:ascii="Arial" w:eastAsia="Calibri" w:hAnsi="Arial" w:cs="Arial"/>
                <w:sz w:val="20"/>
                <w:szCs w:val="20"/>
              </w:rPr>
            </w:pPr>
            <w:r w:rsidRPr="00ED38E8">
              <w:rPr>
                <w:rFonts w:ascii="Arial" w:eastAsia="Calibri" w:hAnsi="Arial" w:cs="Arial"/>
                <w:sz w:val="20"/>
                <w:szCs w:val="20"/>
              </w:rPr>
              <w:t xml:space="preserve">Total provision  </w:t>
            </w:r>
          </w:p>
        </w:tc>
        <w:tc>
          <w:tcPr>
            <w:tcW w:w="1160" w:type="dxa"/>
          </w:tcPr>
          <w:p w:rsidR="009C5AAE" w:rsidRPr="00ED38E8" w:rsidRDefault="009C5AAE" w:rsidP="008C2D73">
            <w:pPr>
              <w:spacing w:after="0" w:line="240" w:lineRule="auto"/>
              <w:ind w:left="48"/>
              <w:jc w:val="center"/>
              <w:rPr>
                <w:rFonts w:ascii="Arial" w:eastAsia="Calibri" w:hAnsi="Arial" w:cs="Arial"/>
                <w:sz w:val="24"/>
              </w:rPr>
            </w:pPr>
            <w:r w:rsidRPr="00ED38E8">
              <w:rPr>
                <w:rFonts w:ascii="Arial" w:eastAsia="Calibri" w:hAnsi="Arial" w:cs="Arial"/>
              </w:rPr>
              <w:t xml:space="preserve">2.62% </w:t>
            </w:r>
          </w:p>
        </w:tc>
        <w:tc>
          <w:tcPr>
            <w:tcW w:w="1238"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1.86% </w:t>
            </w:r>
          </w:p>
        </w:tc>
        <w:tc>
          <w:tcPr>
            <w:tcW w:w="1171"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3.78% </w:t>
            </w:r>
          </w:p>
        </w:tc>
        <w:tc>
          <w:tcPr>
            <w:tcW w:w="1176" w:type="dxa"/>
          </w:tcPr>
          <w:p w:rsidR="009C5AAE" w:rsidRPr="00ED38E8" w:rsidRDefault="009C5AAE" w:rsidP="008C2D73">
            <w:pPr>
              <w:spacing w:after="0" w:line="240" w:lineRule="auto"/>
              <w:ind w:right="81"/>
              <w:jc w:val="right"/>
              <w:rPr>
                <w:rFonts w:ascii="Arial" w:eastAsia="Calibri" w:hAnsi="Arial" w:cs="Arial"/>
                <w:sz w:val="24"/>
              </w:rPr>
            </w:pPr>
            <w:r w:rsidRPr="00ED38E8">
              <w:rPr>
                <w:rFonts w:ascii="Arial" w:eastAsia="Calibri" w:hAnsi="Arial" w:cs="Arial"/>
              </w:rPr>
              <w:t xml:space="preserve">0.10% </w:t>
            </w:r>
          </w:p>
        </w:tc>
        <w:tc>
          <w:tcPr>
            <w:tcW w:w="1176" w:type="dxa"/>
          </w:tcPr>
          <w:p w:rsidR="009C5AAE" w:rsidRPr="00ED38E8" w:rsidRDefault="009C5AAE" w:rsidP="008C2D73">
            <w:pPr>
              <w:spacing w:after="0" w:line="240" w:lineRule="auto"/>
              <w:ind w:right="55"/>
              <w:jc w:val="right"/>
              <w:rPr>
                <w:rFonts w:ascii="Arial" w:eastAsia="Calibri" w:hAnsi="Arial" w:cs="Arial"/>
                <w:sz w:val="24"/>
              </w:rPr>
            </w:pPr>
            <w:r w:rsidRPr="00ED38E8">
              <w:rPr>
                <w:rFonts w:ascii="Arial" w:eastAsia="Calibri" w:hAnsi="Arial" w:cs="Arial"/>
              </w:rPr>
              <w:t xml:space="preserve">3.10% </w:t>
            </w:r>
          </w:p>
        </w:tc>
      </w:tr>
      <w:tr w:rsidR="009C5AAE" w:rsidRPr="00ED38E8" w:rsidTr="008C2D73">
        <w:trPr>
          <w:trHeight w:val="345"/>
        </w:trPr>
        <w:tc>
          <w:tcPr>
            <w:tcW w:w="3994" w:type="dxa"/>
          </w:tcPr>
          <w:p w:rsidR="009C5AAE" w:rsidRPr="00ED38E8" w:rsidRDefault="009C5AAE" w:rsidP="008C2D73">
            <w:pPr>
              <w:spacing w:after="0" w:line="240" w:lineRule="auto"/>
              <w:ind w:right="177"/>
              <w:rPr>
                <w:rFonts w:ascii="Arial" w:eastAsia="Calibri" w:hAnsi="Arial" w:cs="Arial"/>
                <w:sz w:val="20"/>
                <w:szCs w:val="20"/>
              </w:rPr>
            </w:pPr>
            <w:r w:rsidRPr="00ED38E8">
              <w:rPr>
                <w:rFonts w:ascii="Arial" w:eastAsia="Calibri" w:hAnsi="Arial" w:cs="Arial"/>
                <w:sz w:val="20"/>
                <w:szCs w:val="20"/>
              </w:rPr>
              <w:t xml:space="preserve">Total profit  before taxation  </w:t>
            </w:r>
          </w:p>
        </w:tc>
        <w:tc>
          <w:tcPr>
            <w:tcW w:w="1160"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41.74% </w:t>
            </w:r>
          </w:p>
        </w:tc>
        <w:tc>
          <w:tcPr>
            <w:tcW w:w="1238"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36.47% </w:t>
            </w:r>
          </w:p>
        </w:tc>
        <w:tc>
          <w:tcPr>
            <w:tcW w:w="1171"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31.86% </w:t>
            </w:r>
          </w:p>
        </w:tc>
        <w:tc>
          <w:tcPr>
            <w:tcW w:w="1176"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29.42% </w:t>
            </w:r>
          </w:p>
        </w:tc>
        <w:tc>
          <w:tcPr>
            <w:tcW w:w="1176" w:type="dxa"/>
          </w:tcPr>
          <w:p w:rsidR="009C5AAE" w:rsidRPr="00ED38E8" w:rsidRDefault="009C5AAE" w:rsidP="008C2D73">
            <w:pPr>
              <w:spacing w:after="0" w:line="240" w:lineRule="auto"/>
              <w:jc w:val="both"/>
              <w:rPr>
                <w:rFonts w:ascii="Arial" w:eastAsia="Calibri" w:hAnsi="Arial" w:cs="Arial"/>
                <w:sz w:val="24"/>
              </w:rPr>
            </w:pPr>
            <w:r w:rsidRPr="00ED38E8">
              <w:rPr>
                <w:rFonts w:ascii="Arial" w:eastAsia="Calibri" w:hAnsi="Arial" w:cs="Arial"/>
              </w:rPr>
              <w:t xml:space="preserve">21.32% </w:t>
            </w:r>
          </w:p>
        </w:tc>
      </w:tr>
      <w:tr w:rsidR="009C5AAE" w:rsidRPr="00ED38E8" w:rsidTr="008C2D73">
        <w:trPr>
          <w:trHeight w:val="360"/>
        </w:trPr>
        <w:tc>
          <w:tcPr>
            <w:tcW w:w="3994" w:type="dxa"/>
          </w:tcPr>
          <w:p w:rsidR="009C5AAE" w:rsidRPr="00ED38E8" w:rsidRDefault="009C5AAE" w:rsidP="008C2D73">
            <w:pPr>
              <w:spacing w:after="0" w:line="240" w:lineRule="auto"/>
              <w:ind w:right="174"/>
              <w:rPr>
                <w:rFonts w:ascii="Arial" w:eastAsia="Calibri" w:hAnsi="Arial" w:cs="Arial"/>
                <w:sz w:val="20"/>
                <w:szCs w:val="20"/>
              </w:rPr>
            </w:pPr>
            <w:r w:rsidRPr="00ED38E8">
              <w:rPr>
                <w:rFonts w:ascii="Arial" w:eastAsia="Calibri" w:hAnsi="Arial" w:cs="Arial"/>
                <w:sz w:val="20"/>
                <w:szCs w:val="20"/>
              </w:rPr>
              <w:t xml:space="preserve">Provision for taxation  </w:t>
            </w:r>
          </w:p>
        </w:tc>
        <w:tc>
          <w:tcPr>
            <w:tcW w:w="1160"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16.13% </w:t>
            </w:r>
          </w:p>
        </w:tc>
        <w:tc>
          <w:tcPr>
            <w:tcW w:w="1238"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15.18% </w:t>
            </w:r>
          </w:p>
        </w:tc>
        <w:tc>
          <w:tcPr>
            <w:tcW w:w="1171"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14.17% </w:t>
            </w:r>
          </w:p>
        </w:tc>
        <w:tc>
          <w:tcPr>
            <w:tcW w:w="1176"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12.66% </w:t>
            </w:r>
          </w:p>
        </w:tc>
        <w:tc>
          <w:tcPr>
            <w:tcW w:w="1176" w:type="dxa"/>
          </w:tcPr>
          <w:p w:rsidR="009C5AAE" w:rsidRPr="00ED38E8" w:rsidRDefault="009C5AAE" w:rsidP="008C2D73">
            <w:pPr>
              <w:spacing w:after="0" w:line="240" w:lineRule="auto"/>
              <w:jc w:val="both"/>
              <w:rPr>
                <w:rFonts w:ascii="Arial" w:eastAsia="Calibri" w:hAnsi="Arial" w:cs="Arial"/>
                <w:sz w:val="24"/>
              </w:rPr>
            </w:pPr>
            <w:r w:rsidRPr="00ED38E8">
              <w:rPr>
                <w:rFonts w:ascii="Arial" w:eastAsia="Calibri" w:hAnsi="Arial" w:cs="Arial"/>
              </w:rPr>
              <w:t xml:space="preserve">10.55% </w:t>
            </w:r>
          </w:p>
        </w:tc>
      </w:tr>
      <w:tr w:rsidR="009C5AAE" w:rsidRPr="00ED38E8" w:rsidTr="008C2D73">
        <w:trPr>
          <w:trHeight w:val="360"/>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Current tax expense  </w:t>
            </w:r>
          </w:p>
        </w:tc>
        <w:tc>
          <w:tcPr>
            <w:tcW w:w="1160"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16.28% </w:t>
            </w:r>
          </w:p>
        </w:tc>
        <w:tc>
          <w:tcPr>
            <w:tcW w:w="1238"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15.19% </w:t>
            </w:r>
          </w:p>
        </w:tc>
        <w:tc>
          <w:tcPr>
            <w:tcW w:w="1171"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14.20% </w:t>
            </w:r>
          </w:p>
        </w:tc>
        <w:tc>
          <w:tcPr>
            <w:tcW w:w="1176"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12.91% </w:t>
            </w:r>
          </w:p>
        </w:tc>
        <w:tc>
          <w:tcPr>
            <w:tcW w:w="1176" w:type="dxa"/>
          </w:tcPr>
          <w:p w:rsidR="009C5AAE" w:rsidRPr="00ED38E8" w:rsidRDefault="009C5AAE" w:rsidP="008C2D73">
            <w:pPr>
              <w:spacing w:after="0" w:line="240" w:lineRule="auto"/>
              <w:jc w:val="both"/>
              <w:rPr>
                <w:rFonts w:ascii="Arial" w:eastAsia="Calibri" w:hAnsi="Arial" w:cs="Arial"/>
                <w:sz w:val="24"/>
              </w:rPr>
            </w:pPr>
            <w:r w:rsidRPr="00ED38E8">
              <w:rPr>
                <w:rFonts w:ascii="Arial" w:eastAsia="Calibri" w:hAnsi="Arial" w:cs="Arial"/>
              </w:rPr>
              <w:t xml:space="preserve">10.25% </w:t>
            </w:r>
          </w:p>
        </w:tc>
      </w:tr>
      <w:tr w:rsidR="009C5AAE" w:rsidRPr="00ED38E8" w:rsidTr="008C2D73">
        <w:trPr>
          <w:trHeight w:val="360"/>
        </w:trPr>
        <w:tc>
          <w:tcPr>
            <w:tcW w:w="3994" w:type="dxa"/>
          </w:tcPr>
          <w:p w:rsidR="009C5AAE" w:rsidRPr="00ED38E8" w:rsidRDefault="009C5AAE" w:rsidP="008C2D73">
            <w:pPr>
              <w:spacing w:after="0" w:line="240" w:lineRule="auto"/>
              <w:ind w:left="106"/>
              <w:rPr>
                <w:rFonts w:ascii="Arial" w:eastAsia="Calibri" w:hAnsi="Arial" w:cs="Arial"/>
                <w:sz w:val="20"/>
                <w:szCs w:val="20"/>
              </w:rPr>
            </w:pPr>
            <w:r w:rsidRPr="00ED38E8">
              <w:rPr>
                <w:rFonts w:ascii="Arial" w:eastAsia="Calibri" w:hAnsi="Arial" w:cs="Arial"/>
                <w:sz w:val="20"/>
                <w:szCs w:val="20"/>
              </w:rPr>
              <w:t xml:space="preserve">Deferred tax income  </w:t>
            </w:r>
          </w:p>
        </w:tc>
        <w:tc>
          <w:tcPr>
            <w:tcW w:w="1160" w:type="dxa"/>
          </w:tcPr>
          <w:p w:rsidR="009C5AAE" w:rsidRPr="00ED38E8" w:rsidRDefault="009C5AAE" w:rsidP="008C2D73">
            <w:pPr>
              <w:spacing w:after="0" w:line="240" w:lineRule="auto"/>
              <w:ind w:left="43"/>
              <w:rPr>
                <w:rFonts w:ascii="Arial" w:eastAsia="Calibri" w:hAnsi="Arial" w:cs="Arial"/>
                <w:sz w:val="24"/>
              </w:rPr>
            </w:pPr>
            <w:r w:rsidRPr="00ED38E8">
              <w:rPr>
                <w:rFonts w:ascii="Arial" w:eastAsia="Calibri" w:hAnsi="Arial" w:cs="Arial"/>
              </w:rPr>
              <w:t xml:space="preserve">-0.15% </w:t>
            </w:r>
          </w:p>
        </w:tc>
        <w:tc>
          <w:tcPr>
            <w:tcW w:w="1238" w:type="dxa"/>
          </w:tcPr>
          <w:p w:rsidR="009C5AAE" w:rsidRPr="00ED38E8" w:rsidRDefault="009C5AAE" w:rsidP="008C2D73">
            <w:pPr>
              <w:spacing w:after="0" w:line="240" w:lineRule="auto"/>
              <w:ind w:left="43"/>
              <w:rPr>
                <w:rFonts w:ascii="Arial" w:eastAsia="Calibri" w:hAnsi="Arial" w:cs="Arial"/>
                <w:sz w:val="24"/>
              </w:rPr>
            </w:pPr>
            <w:r w:rsidRPr="00ED38E8">
              <w:rPr>
                <w:rFonts w:ascii="Arial" w:eastAsia="Calibri" w:hAnsi="Arial" w:cs="Arial"/>
              </w:rPr>
              <w:t xml:space="preserve">-0.01% </w:t>
            </w:r>
          </w:p>
        </w:tc>
        <w:tc>
          <w:tcPr>
            <w:tcW w:w="1171" w:type="dxa"/>
          </w:tcPr>
          <w:p w:rsidR="009C5AAE" w:rsidRPr="00ED38E8" w:rsidRDefault="009C5AAE" w:rsidP="008C2D73">
            <w:pPr>
              <w:spacing w:after="0" w:line="240" w:lineRule="auto"/>
              <w:ind w:left="43"/>
              <w:rPr>
                <w:rFonts w:ascii="Arial" w:eastAsia="Calibri" w:hAnsi="Arial" w:cs="Arial"/>
                <w:sz w:val="24"/>
              </w:rPr>
            </w:pPr>
            <w:r w:rsidRPr="00ED38E8">
              <w:rPr>
                <w:rFonts w:ascii="Arial" w:eastAsia="Calibri" w:hAnsi="Arial" w:cs="Arial"/>
              </w:rPr>
              <w:t xml:space="preserve">-0.03% </w:t>
            </w:r>
          </w:p>
        </w:tc>
        <w:tc>
          <w:tcPr>
            <w:tcW w:w="1176" w:type="dxa"/>
          </w:tcPr>
          <w:p w:rsidR="009C5AAE" w:rsidRPr="00ED38E8" w:rsidRDefault="009C5AAE" w:rsidP="008C2D73">
            <w:pPr>
              <w:spacing w:after="0" w:line="240" w:lineRule="auto"/>
              <w:ind w:left="43"/>
              <w:rPr>
                <w:rFonts w:ascii="Arial" w:eastAsia="Calibri" w:hAnsi="Arial" w:cs="Arial"/>
                <w:sz w:val="24"/>
              </w:rPr>
            </w:pPr>
            <w:r w:rsidRPr="00ED38E8">
              <w:rPr>
                <w:rFonts w:ascii="Arial" w:eastAsia="Calibri" w:hAnsi="Arial" w:cs="Arial"/>
              </w:rPr>
              <w:t xml:space="preserve">-0.25% </w:t>
            </w:r>
          </w:p>
        </w:tc>
        <w:tc>
          <w:tcPr>
            <w:tcW w:w="1176" w:type="dxa"/>
          </w:tcPr>
          <w:p w:rsidR="009C5AAE" w:rsidRPr="00ED38E8" w:rsidRDefault="009C5AAE" w:rsidP="008C2D73">
            <w:pPr>
              <w:spacing w:after="0" w:line="240" w:lineRule="auto"/>
              <w:ind w:left="110"/>
              <w:rPr>
                <w:rFonts w:ascii="Arial" w:eastAsia="Calibri" w:hAnsi="Arial" w:cs="Arial"/>
                <w:sz w:val="24"/>
              </w:rPr>
            </w:pPr>
            <w:r w:rsidRPr="00ED38E8">
              <w:rPr>
                <w:rFonts w:ascii="Arial" w:eastAsia="Calibri" w:hAnsi="Arial" w:cs="Arial"/>
              </w:rPr>
              <w:t xml:space="preserve">0.30% </w:t>
            </w:r>
          </w:p>
        </w:tc>
      </w:tr>
      <w:tr w:rsidR="009C5AAE" w:rsidRPr="00ED38E8" w:rsidTr="008C2D73">
        <w:trPr>
          <w:trHeight w:val="360"/>
        </w:trPr>
        <w:tc>
          <w:tcPr>
            <w:tcW w:w="3994" w:type="dxa"/>
          </w:tcPr>
          <w:p w:rsidR="009C5AAE" w:rsidRPr="00ED38E8" w:rsidRDefault="009C5AAE" w:rsidP="008C2D73">
            <w:pPr>
              <w:spacing w:after="0" w:line="240" w:lineRule="auto"/>
              <w:ind w:right="176"/>
              <w:rPr>
                <w:rFonts w:ascii="Arial" w:eastAsia="Calibri" w:hAnsi="Arial" w:cs="Arial"/>
                <w:sz w:val="20"/>
                <w:szCs w:val="20"/>
              </w:rPr>
            </w:pPr>
            <w:r w:rsidRPr="00ED38E8">
              <w:rPr>
                <w:rFonts w:ascii="Arial" w:eastAsia="Calibri" w:hAnsi="Arial" w:cs="Arial"/>
                <w:sz w:val="20"/>
                <w:szCs w:val="20"/>
              </w:rPr>
              <w:t xml:space="preserve">Net profit after taxation  </w:t>
            </w:r>
          </w:p>
        </w:tc>
        <w:tc>
          <w:tcPr>
            <w:tcW w:w="1160"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25.61% </w:t>
            </w:r>
          </w:p>
        </w:tc>
        <w:tc>
          <w:tcPr>
            <w:tcW w:w="1238"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21.30% </w:t>
            </w:r>
          </w:p>
        </w:tc>
        <w:tc>
          <w:tcPr>
            <w:tcW w:w="1171"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17.69% </w:t>
            </w:r>
          </w:p>
        </w:tc>
        <w:tc>
          <w:tcPr>
            <w:tcW w:w="1176" w:type="dxa"/>
          </w:tcPr>
          <w:p w:rsidR="009C5AAE" w:rsidRPr="00ED38E8" w:rsidRDefault="009C5AAE" w:rsidP="008C2D73">
            <w:pPr>
              <w:spacing w:after="0" w:line="240" w:lineRule="auto"/>
              <w:rPr>
                <w:rFonts w:ascii="Arial" w:eastAsia="Calibri" w:hAnsi="Arial" w:cs="Arial"/>
                <w:sz w:val="24"/>
              </w:rPr>
            </w:pPr>
            <w:r w:rsidRPr="00ED38E8">
              <w:rPr>
                <w:rFonts w:ascii="Arial" w:eastAsia="Calibri" w:hAnsi="Arial" w:cs="Arial"/>
              </w:rPr>
              <w:t xml:space="preserve">16.76% </w:t>
            </w:r>
          </w:p>
        </w:tc>
        <w:tc>
          <w:tcPr>
            <w:tcW w:w="1176" w:type="dxa"/>
          </w:tcPr>
          <w:p w:rsidR="009C5AAE" w:rsidRPr="00ED38E8" w:rsidRDefault="009C5AAE" w:rsidP="008C2D73">
            <w:pPr>
              <w:spacing w:after="0" w:line="240" w:lineRule="auto"/>
              <w:jc w:val="both"/>
              <w:rPr>
                <w:rFonts w:ascii="Arial" w:eastAsia="Calibri" w:hAnsi="Arial" w:cs="Arial"/>
                <w:sz w:val="24"/>
              </w:rPr>
            </w:pPr>
            <w:r w:rsidRPr="00ED38E8">
              <w:rPr>
                <w:rFonts w:ascii="Arial" w:eastAsia="Calibri" w:hAnsi="Arial" w:cs="Arial"/>
              </w:rPr>
              <w:t xml:space="preserve">10.77% </w:t>
            </w:r>
          </w:p>
        </w:tc>
      </w:tr>
    </w:tbl>
    <w:p w:rsidR="00FE023A" w:rsidRDefault="00FE023A" w:rsidP="00FE023A">
      <w:pPr>
        <w:spacing w:after="31" w:line="270" w:lineRule="auto"/>
        <w:ind w:right="124"/>
        <w:jc w:val="both"/>
        <w:rPr>
          <w:rFonts w:ascii="Arial" w:eastAsia="Calibri" w:hAnsi="Arial" w:cs="Arial"/>
          <w:color w:val="000000"/>
        </w:rPr>
      </w:pPr>
      <w:r>
        <w:rPr>
          <w:rFonts w:ascii="Arial" w:eastAsia="Calibri" w:hAnsi="Arial" w:cs="Arial"/>
          <w:color w:val="000000"/>
        </w:rPr>
        <w:lastRenderedPageBreak/>
        <w:t xml:space="preserve">It has been observe d that percentage change in net interest income </w:t>
      </w:r>
      <w:proofErr w:type="spellStart"/>
      <w:r>
        <w:rPr>
          <w:rFonts w:ascii="Arial" w:eastAsia="Calibri" w:hAnsi="Arial" w:cs="Arial"/>
          <w:color w:val="000000"/>
        </w:rPr>
        <w:t>icreased</w:t>
      </w:r>
      <w:proofErr w:type="spellEnd"/>
      <w:r>
        <w:rPr>
          <w:rFonts w:ascii="Arial" w:eastAsia="Calibri" w:hAnsi="Arial" w:cs="Arial"/>
          <w:color w:val="000000"/>
        </w:rPr>
        <w:t xml:space="preserve"> over the years. The total operating income also </w:t>
      </w:r>
      <w:proofErr w:type="spellStart"/>
      <w:r>
        <w:rPr>
          <w:rFonts w:ascii="Arial" w:eastAsia="Calibri" w:hAnsi="Arial" w:cs="Arial"/>
          <w:color w:val="000000"/>
        </w:rPr>
        <w:t>rised</w:t>
      </w:r>
      <w:proofErr w:type="spellEnd"/>
      <w:r>
        <w:rPr>
          <w:rFonts w:ascii="Arial" w:eastAsia="Calibri" w:hAnsi="Arial" w:cs="Arial"/>
          <w:color w:val="000000"/>
        </w:rPr>
        <w:t xml:space="preserve"> during </w:t>
      </w:r>
      <w:proofErr w:type="gramStart"/>
      <w:r>
        <w:rPr>
          <w:rFonts w:ascii="Arial" w:eastAsia="Calibri" w:hAnsi="Arial" w:cs="Arial"/>
          <w:color w:val="000000"/>
        </w:rPr>
        <w:t>these period</w:t>
      </w:r>
      <w:proofErr w:type="gramEnd"/>
      <w:r>
        <w:rPr>
          <w:rFonts w:ascii="Arial" w:eastAsia="Calibri" w:hAnsi="Arial" w:cs="Arial"/>
          <w:color w:val="000000"/>
        </w:rPr>
        <w:t>. Same trend has been observed for operating expenses for IDLC limited.</w:t>
      </w:r>
    </w:p>
    <w:p w:rsidR="009C5AAE" w:rsidRPr="00934F24" w:rsidRDefault="009C5AAE" w:rsidP="009C5AAE">
      <w:pPr>
        <w:rPr>
          <w:rFonts w:ascii="Arial" w:hAnsi="Arial" w:cs="Arial"/>
        </w:rPr>
      </w:pPr>
    </w:p>
    <w:p w:rsidR="009C5AAE" w:rsidRPr="00934F24"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spacing w:after="250"/>
        <w:rPr>
          <w:rFonts w:ascii="Arial" w:eastAsia="Calibri" w:hAnsi="Arial" w:cs="Arial"/>
          <w:color w:val="000000"/>
          <w:sz w:val="24"/>
        </w:rPr>
      </w:pPr>
    </w:p>
    <w:p w:rsidR="009C5AAE" w:rsidRPr="00ED38E8" w:rsidRDefault="009C5AAE" w:rsidP="009C5AAE">
      <w:pPr>
        <w:spacing w:after="221"/>
        <w:ind w:left="-5" w:hanging="10"/>
        <w:rPr>
          <w:rFonts w:ascii="Arial" w:eastAsia="Calibri" w:hAnsi="Arial" w:cs="Arial"/>
          <w:b/>
          <w:color w:val="984806"/>
          <w:sz w:val="24"/>
        </w:rPr>
      </w:pPr>
    </w:p>
    <w:p w:rsidR="009C5AAE" w:rsidRPr="00ED38E8" w:rsidRDefault="009C5AAE" w:rsidP="009C5AAE">
      <w:pPr>
        <w:spacing w:after="221"/>
        <w:ind w:left="-5" w:hanging="10"/>
        <w:rPr>
          <w:rFonts w:ascii="Arial" w:eastAsia="Calibri" w:hAnsi="Arial" w:cs="Arial"/>
          <w:b/>
          <w:color w:val="984806"/>
          <w:sz w:val="24"/>
        </w:rPr>
      </w:pPr>
    </w:p>
    <w:p w:rsidR="009C5AAE" w:rsidRPr="00ED38E8" w:rsidRDefault="009C5AAE" w:rsidP="009C5AAE">
      <w:pPr>
        <w:spacing w:after="221"/>
        <w:ind w:left="-5" w:hanging="10"/>
        <w:rPr>
          <w:rFonts w:ascii="Arial" w:eastAsia="Calibri" w:hAnsi="Arial" w:cs="Arial"/>
          <w:b/>
          <w:color w:val="984806"/>
          <w:sz w:val="24"/>
        </w:rPr>
      </w:pPr>
    </w:p>
    <w:p w:rsidR="009C5AAE" w:rsidRPr="00ED38E8" w:rsidRDefault="009C5AAE" w:rsidP="009C5AAE">
      <w:pPr>
        <w:spacing w:after="221"/>
        <w:ind w:left="-5" w:hanging="10"/>
        <w:rPr>
          <w:rFonts w:ascii="Arial" w:eastAsia="Calibri" w:hAnsi="Arial" w:cs="Arial"/>
          <w:b/>
          <w:color w:val="984806"/>
          <w:sz w:val="24"/>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pStyle w:val="Heading1"/>
        <w:jc w:val="center"/>
        <w:rPr>
          <w:rFonts w:ascii="Arial" w:eastAsia="Calibri" w:hAnsi="Arial" w:cs="Arial"/>
          <w:color w:val="auto"/>
          <w:sz w:val="96"/>
          <w:szCs w:val="96"/>
        </w:rPr>
      </w:pPr>
      <w:bookmarkStart w:id="34" w:name="_Toc18330028"/>
    </w:p>
    <w:p w:rsidR="009C5AAE" w:rsidRPr="00ED38E8" w:rsidRDefault="009C5AAE" w:rsidP="009C5AAE">
      <w:pPr>
        <w:pStyle w:val="Heading1"/>
        <w:jc w:val="center"/>
        <w:rPr>
          <w:rFonts w:ascii="Arial" w:eastAsia="Calibri" w:hAnsi="Arial" w:cs="Arial"/>
          <w:color w:val="auto"/>
          <w:sz w:val="96"/>
          <w:szCs w:val="96"/>
        </w:rPr>
      </w:pPr>
      <w:r w:rsidRPr="00ED38E8">
        <w:rPr>
          <w:rFonts w:ascii="Arial" w:eastAsia="Calibri" w:hAnsi="Arial" w:cs="Arial"/>
          <w:color w:val="auto"/>
          <w:sz w:val="96"/>
          <w:szCs w:val="96"/>
        </w:rPr>
        <w:t>CHAPTER 4</w:t>
      </w:r>
      <w:bookmarkEnd w:id="34"/>
    </w:p>
    <w:p w:rsidR="009C5AAE" w:rsidRPr="00ED38E8" w:rsidRDefault="009C5AAE" w:rsidP="009C5AAE">
      <w:pPr>
        <w:spacing w:after="529"/>
        <w:jc w:val="center"/>
        <w:rPr>
          <w:rFonts w:ascii="Arial" w:eastAsia="Calibri" w:hAnsi="Arial" w:cs="Arial"/>
          <w:color w:val="000000"/>
          <w:sz w:val="24"/>
        </w:rPr>
      </w:pPr>
    </w:p>
    <w:p w:rsidR="009C5AAE" w:rsidRPr="00ED38E8" w:rsidRDefault="009C5AAE" w:rsidP="009C5AAE">
      <w:pPr>
        <w:pStyle w:val="Heading1"/>
        <w:jc w:val="center"/>
        <w:rPr>
          <w:rFonts w:ascii="Arial" w:eastAsia="Calibri" w:hAnsi="Arial" w:cs="Arial"/>
          <w:sz w:val="56"/>
          <w:szCs w:val="56"/>
        </w:rPr>
      </w:pPr>
      <w:bookmarkStart w:id="35" w:name="_Toc18330029"/>
      <w:r w:rsidRPr="00ED38E8">
        <w:rPr>
          <w:rFonts w:ascii="Arial" w:eastAsia="Calibri" w:hAnsi="Arial" w:cs="Arial"/>
          <w:sz w:val="56"/>
          <w:szCs w:val="56"/>
        </w:rPr>
        <w:t>FINANCIAL PERFORMANCE EVALUATION OF IDLC</w:t>
      </w:r>
      <w:bookmarkEnd w:id="35"/>
    </w:p>
    <w:p w:rsidR="009C5AAE" w:rsidRPr="00ED38E8" w:rsidRDefault="009C5AAE" w:rsidP="009C5AAE">
      <w:pPr>
        <w:tabs>
          <w:tab w:val="left" w:pos="3720"/>
        </w:tabs>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r w:rsidRPr="00ED38E8">
        <w:rPr>
          <w:rFonts w:ascii="Arial" w:eastAsia="Calibri" w:hAnsi="Arial" w:cs="Arial"/>
          <w:noProof/>
          <w:color w:val="000000"/>
          <w:sz w:val="24"/>
        </w:rPr>
        <w:drawing>
          <wp:inline distT="0" distB="0" distL="0" distR="0" wp14:anchorId="4676FF1A" wp14:editId="5E257025">
            <wp:extent cx="5934075" cy="3531235"/>
            <wp:effectExtent l="0" t="0" r="0" b="0"/>
            <wp:docPr id="165099" name="Picture 165099"/>
            <wp:cNvGraphicFramePr/>
            <a:graphic xmlns:a="http://schemas.openxmlformats.org/drawingml/2006/main">
              <a:graphicData uri="http://schemas.openxmlformats.org/drawingml/2006/picture">
                <pic:pic xmlns:pic="http://schemas.openxmlformats.org/drawingml/2006/picture">
                  <pic:nvPicPr>
                    <pic:cNvPr id="14979" name="Picture 14979"/>
                    <pic:cNvPicPr/>
                  </pic:nvPicPr>
                  <pic:blipFill>
                    <a:blip r:embed="rId9"/>
                    <a:stretch>
                      <a:fillRect/>
                    </a:stretch>
                  </pic:blipFill>
                  <pic:spPr>
                    <a:xfrm>
                      <a:off x="0" y="0"/>
                      <a:ext cx="5934075" cy="3531235"/>
                    </a:xfrm>
                    <a:prstGeom prst="rect">
                      <a:avLst/>
                    </a:prstGeom>
                  </pic:spPr>
                </pic:pic>
              </a:graphicData>
            </a:graphic>
          </wp:inline>
        </w:drawing>
      </w:r>
    </w:p>
    <w:p w:rsidR="009C5AAE" w:rsidRPr="00ED38E8" w:rsidRDefault="009C5AAE" w:rsidP="009C5AAE">
      <w:pPr>
        <w:spacing w:after="200" w:line="276" w:lineRule="auto"/>
        <w:rPr>
          <w:rFonts w:ascii="Arial" w:hAnsi="Arial" w:cs="Arial"/>
        </w:rPr>
      </w:pPr>
      <w:r w:rsidRPr="00ED38E8">
        <w:rPr>
          <w:rFonts w:ascii="Arial" w:hAnsi="Arial" w:cs="Arial"/>
        </w:rPr>
        <w:br w:type="page"/>
      </w:r>
    </w:p>
    <w:p w:rsidR="009C5AAE" w:rsidRPr="00ED38E8" w:rsidRDefault="009C5AAE" w:rsidP="009C5AAE">
      <w:pPr>
        <w:rPr>
          <w:rFonts w:ascii="Arial" w:hAnsi="Arial" w:cs="Arial"/>
          <w:b/>
          <w:bCs/>
          <w:sz w:val="32"/>
          <w:szCs w:val="32"/>
        </w:rPr>
      </w:pPr>
      <w:r w:rsidRPr="00ED38E8">
        <w:rPr>
          <w:rFonts w:ascii="Arial" w:hAnsi="Arial" w:cs="Arial"/>
          <w:b/>
          <w:bCs/>
          <w:sz w:val="32"/>
          <w:szCs w:val="32"/>
        </w:rPr>
        <w:lastRenderedPageBreak/>
        <w:t xml:space="preserve">4.1 Ratio Analysis </w:t>
      </w:r>
    </w:p>
    <w:p w:rsidR="009C5AAE" w:rsidRPr="00934F24" w:rsidRDefault="009C5AAE" w:rsidP="009C5AAE">
      <w:pPr>
        <w:autoSpaceDE w:val="0"/>
        <w:autoSpaceDN w:val="0"/>
        <w:adjustRightInd w:val="0"/>
        <w:spacing w:after="0" w:line="240" w:lineRule="auto"/>
        <w:rPr>
          <w:rFonts w:ascii="Arial" w:hAnsi="Arial" w:cs="Arial"/>
        </w:rPr>
      </w:pPr>
      <w:r>
        <w:rPr>
          <w:rFonts w:ascii="Arial" w:hAnsi="Arial" w:cs="Arial"/>
        </w:rPr>
        <w:t>IDLC</w:t>
      </w:r>
      <w:r w:rsidRPr="00934F24">
        <w:rPr>
          <w:rFonts w:ascii="Arial" w:hAnsi="Arial" w:cs="Arial"/>
        </w:rPr>
        <w:t xml:space="preserve"> is one of the top performing</w:t>
      </w:r>
      <w:r>
        <w:rPr>
          <w:rFonts w:ascii="Arial" w:hAnsi="Arial" w:cs="Arial"/>
        </w:rPr>
        <w:t xml:space="preserve"> </w:t>
      </w:r>
      <w:r w:rsidR="008D3161">
        <w:rPr>
          <w:rFonts w:ascii="Arial" w:hAnsi="Arial" w:cs="Arial"/>
        </w:rPr>
        <w:t>non-</w:t>
      </w:r>
      <w:r w:rsidR="008D3161" w:rsidRPr="00934F24">
        <w:rPr>
          <w:rFonts w:ascii="Arial" w:hAnsi="Arial" w:cs="Arial"/>
        </w:rPr>
        <w:t>banks</w:t>
      </w:r>
      <w:r w:rsidRPr="00934F24">
        <w:rPr>
          <w:rFonts w:ascii="Arial" w:hAnsi="Arial" w:cs="Arial"/>
        </w:rPr>
        <w:t xml:space="preserve"> in Bangladesh. Now we are going to analyze the</w:t>
      </w:r>
    </w:p>
    <w:p w:rsidR="009C5AAE" w:rsidRPr="00934F24" w:rsidRDefault="009C5AAE" w:rsidP="009C5AAE">
      <w:pPr>
        <w:autoSpaceDE w:val="0"/>
        <w:autoSpaceDN w:val="0"/>
        <w:adjustRightInd w:val="0"/>
        <w:spacing w:after="0" w:line="240" w:lineRule="auto"/>
        <w:rPr>
          <w:rFonts w:ascii="Arial" w:hAnsi="Arial" w:cs="Arial"/>
        </w:rPr>
      </w:pPr>
      <w:proofErr w:type="gramStart"/>
      <w:r w:rsidRPr="00934F24">
        <w:rPr>
          <w:rFonts w:ascii="Arial" w:hAnsi="Arial" w:cs="Arial"/>
        </w:rPr>
        <w:t>performance</w:t>
      </w:r>
      <w:proofErr w:type="gramEnd"/>
      <w:r w:rsidRPr="00934F24">
        <w:rPr>
          <w:rFonts w:ascii="Arial" w:hAnsi="Arial" w:cs="Arial"/>
        </w:rPr>
        <w:t xml:space="preserve"> of </w:t>
      </w:r>
      <w:r>
        <w:rPr>
          <w:rFonts w:ascii="Arial" w:hAnsi="Arial" w:cs="Arial"/>
        </w:rPr>
        <w:t>IDLC</w:t>
      </w:r>
      <w:r w:rsidRPr="00934F24">
        <w:rPr>
          <w:rFonts w:ascii="Arial" w:hAnsi="Arial" w:cs="Arial"/>
        </w:rPr>
        <w:t xml:space="preserve"> for the last </w:t>
      </w:r>
      <w:r w:rsidR="00003A48">
        <w:rPr>
          <w:rFonts w:ascii="Arial" w:hAnsi="Arial" w:cs="Arial"/>
        </w:rPr>
        <w:t>5</w:t>
      </w:r>
      <w:r w:rsidRPr="00934F24">
        <w:rPr>
          <w:rFonts w:ascii="Arial" w:hAnsi="Arial" w:cs="Arial"/>
        </w:rPr>
        <w:t xml:space="preserve"> years based on ratio analysis which is </w:t>
      </w:r>
      <w:r w:rsidR="008D3161">
        <w:rPr>
          <w:rFonts w:ascii="Arial" w:hAnsi="Arial" w:cs="Arial"/>
        </w:rPr>
        <w:t>depend</w:t>
      </w:r>
      <w:r w:rsidRPr="00934F24">
        <w:rPr>
          <w:rFonts w:ascii="Arial" w:hAnsi="Arial" w:cs="Arial"/>
        </w:rPr>
        <w:t xml:space="preserve"> on </w:t>
      </w:r>
      <w:r w:rsidR="00003A48">
        <w:rPr>
          <w:rFonts w:ascii="Arial" w:hAnsi="Arial" w:cs="Arial"/>
        </w:rPr>
        <w:t>5</w:t>
      </w:r>
    </w:p>
    <w:p w:rsidR="009C5AAE" w:rsidRPr="00ED38E8" w:rsidRDefault="009C5AAE" w:rsidP="009C5AAE">
      <w:pPr>
        <w:rPr>
          <w:rFonts w:ascii="Arial" w:hAnsi="Arial" w:cs="Arial"/>
          <w:sz w:val="24"/>
          <w:szCs w:val="24"/>
        </w:rPr>
      </w:pPr>
      <w:proofErr w:type="gramStart"/>
      <w:r w:rsidRPr="00934F24">
        <w:rPr>
          <w:rFonts w:ascii="Arial" w:hAnsi="Arial" w:cs="Arial"/>
        </w:rPr>
        <w:t>dimensions</w:t>
      </w:r>
      <w:proofErr w:type="gramEnd"/>
      <w:r w:rsidRPr="00ED38E8">
        <w:rPr>
          <w:rFonts w:ascii="Arial" w:hAnsi="Arial" w:cs="Arial"/>
          <w:sz w:val="24"/>
          <w:szCs w:val="24"/>
        </w:rPr>
        <w:t>.</w:t>
      </w:r>
    </w:p>
    <w:p w:rsidR="009C5AAE" w:rsidRPr="00ED38E8" w:rsidRDefault="009C5AAE" w:rsidP="009C5AAE">
      <w:pPr>
        <w:rPr>
          <w:rFonts w:ascii="Arial" w:hAnsi="Arial" w:cs="Arial"/>
          <w:b/>
          <w:bCs/>
          <w:sz w:val="32"/>
          <w:szCs w:val="32"/>
        </w:rPr>
      </w:pPr>
      <w:r w:rsidRPr="00ED38E8">
        <w:rPr>
          <w:rFonts w:ascii="Arial" w:hAnsi="Arial" w:cs="Arial"/>
          <w:b/>
          <w:bCs/>
          <w:noProof/>
          <w:sz w:val="32"/>
          <w:szCs w:val="32"/>
        </w:rPr>
        <w:drawing>
          <wp:inline distT="0" distB="0" distL="0" distR="0" wp14:anchorId="5D4C2444" wp14:editId="4D1822F6">
            <wp:extent cx="5781675" cy="2971800"/>
            <wp:effectExtent l="0" t="0" r="0" b="19050"/>
            <wp:docPr id="165100" name="Diagram 16510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9C5AAE" w:rsidRPr="00ED38E8" w:rsidRDefault="009C5AAE" w:rsidP="009C5AAE">
      <w:pPr>
        <w:rPr>
          <w:rFonts w:ascii="Arial" w:hAnsi="Arial" w:cs="Arial"/>
          <w:b/>
          <w:bCs/>
          <w:sz w:val="32"/>
          <w:szCs w:val="32"/>
        </w:rPr>
      </w:pPr>
    </w:p>
    <w:p w:rsidR="009C5AAE" w:rsidRPr="00ED38E8" w:rsidRDefault="009C5AAE" w:rsidP="009C5AAE">
      <w:pPr>
        <w:pStyle w:val="Heading2"/>
        <w:rPr>
          <w:rFonts w:ascii="Arial" w:eastAsia="Calibri" w:hAnsi="Arial" w:cs="Arial"/>
          <w:b/>
          <w:bCs/>
          <w:sz w:val="32"/>
          <w:szCs w:val="32"/>
          <w:u w:color="000000"/>
        </w:rPr>
      </w:pPr>
      <w:bookmarkStart w:id="36" w:name="_Toc18330030"/>
      <w:r>
        <w:rPr>
          <w:rFonts w:ascii="Arial" w:eastAsiaTheme="minorHAnsi" w:hAnsi="Arial" w:cs="Arial"/>
          <w:b/>
          <w:bCs/>
          <w:color w:val="auto"/>
          <w:sz w:val="32"/>
          <w:szCs w:val="32"/>
        </w:rPr>
        <w:t xml:space="preserve">                                </w:t>
      </w:r>
      <w:r w:rsidRPr="00ED38E8">
        <w:rPr>
          <w:rFonts w:ascii="Arial" w:eastAsia="Calibri" w:hAnsi="Arial" w:cs="Arial"/>
          <w:b/>
          <w:bCs/>
          <w:sz w:val="32"/>
          <w:szCs w:val="32"/>
          <w:u w:color="000000"/>
        </w:rPr>
        <w:t>Liquidity Dimension</w:t>
      </w:r>
      <w:bookmarkEnd w:id="36"/>
    </w:p>
    <w:p w:rsidR="009C5AAE" w:rsidRPr="00934F24" w:rsidRDefault="009C5AAE" w:rsidP="009C5AAE">
      <w:pPr>
        <w:rPr>
          <w:rFonts w:ascii="Arial" w:hAnsi="Arial" w:cs="Arial"/>
        </w:rPr>
      </w:pPr>
    </w:p>
    <w:p w:rsidR="009C5AAE" w:rsidRPr="00934F24" w:rsidRDefault="009C5AAE" w:rsidP="008C2D73">
      <w:pPr>
        <w:jc w:val="both"/>
        <w:rPr>
          <w:rFonts w:ascii="Arial" w:hAnsi="Arial" w:cs="Arial"/>
          <w:color w:val="000000" w:themeColor="text1"/>
        </w:rPr>
      </w:pPr>
      <w:r w:rsidRPr="00934F24">
        <w:rPr>
          <w:rFonts w:ascii="Arial" w:hAnsi="Arial" w:cs="Arial"/>
          <w:color w:val="000000" w:themeColor="text1"/>
        </w:rPr>
        <w:t xml:space="preserve">Liquidity ratio </w:t>
      </w:r>
      <w:r>
        <w:rPr>
          <w:rFonts w:ascii="Arial" w:hAnsi="Arial" w:cs="Arial"/>
          <w:color w:val="000000" w:themeColor="text1"/>
        </w:rPr>
        <w:t>means</w:t>
      </w:r>
      <w:r w:rsidRPr="00934F24">
        <w:rPr>
          <w:rFonts w:ascii="Arial" w:hAnsi="Arial" w:cs="Arial"/>
          <w:color w:val="000000" w:themeColor="text1"/>
        </w:rPr>
        <w:t xml:space="preserve"> the </w:t>
      </w:r>
      <w:r>
        <w:rPr>
          <w:rFonts w:ascii="Arial" w:hAnsi="Arial" w:cs="Arial"/>
          <w:color w:val="000000" w:themeColor="text1"/>
        </w:rPr>
        <w:t>capacity of a company to interlude</w:t>
      </w:r>
      <w:r w:rsidRPr="00934F24">
        <w:rPr>
          <w:rFonts w:ascii="Arial" w:hAnsi="Arial" w:cs="Arial"/>
          <w:color w:val="000000" w:themeColor="text1"/>
        </w:rPr>
        <w:t xml:space="preserve"> </w:t>
      </w:r>
      <w:proofErr w:type="gramStart"/>
      <w:r w:rsidRPr="00934F24">
        <w:rPr>
          <w:rFonts w:ascii="Arial" w:hAnsi="Arial" w:cs="Arial"/>
          <w:color w:val="000000" w:themeColor="text1"/>
        </w:rPr>
        <w:t>its assets that is</w:t>
      </w:r>
      <w:proofErr w:type="gramEnd"/>
      <w:r w:rsidRPr="00934F24">
        <w:rPr>
          <w:rFonts w:ascii="Arial" w:hAnsi="Arial" w:cs="Arial"/>
          <w:color w:val="000000" w:themeColor="text1"/>
        </w:rPr>
        <w:t xml:space="preserve"> most </w:t>
      </w:r>
      <w:r>
        <w:rPr>
          <w:rFonts w:ascii="Arial" w:hAnsi="Arial" w:cs="Arial"/>
          <w:color w:val="000000" w:themeColor="text1"/>
        </w:rPr>
        <w:t xml:space="preserve">easily </w:t>
      </w:r>
      <w:r w:rsidRPr="00934F24">
        <w:rPr>
          <w:rFonts w:ascii="Arial" w:hAnsi="Arial" w:cs="Arial"/>
          <w:color w:val="000000" w:themeColor="text1"/>
        </w:rPr>
        <w:t>converted into cash. Assets are transformed into cash in a short</w:t>
      </w:r>
      <w:r>
        <w:rPr>
          <w:rFonts w:ascii="Arial" w:hAnsi="Arial" w:cs="Arial"/>
          <w:color w:val="000000" w:themeColor="text1"/>
        </w:rPr>
        <w:t xml:space="preserve"> time</w:t>
      </w:r>
      <w:r w:rsidRPr="00934F24">
        <w:rPr>
          <w:rFonts w:ascii="Arial" w:hAnsi="Arial" w:cs="Arial"/>
          <w:color w:val="000000" w:themeColor="text1"/>
        </w:rPr>
        <w:t xml:space="preserve"> period of time that are concerns </w:t>
      </w:r>
      <w:r>
        <w:rPr>
          <w:rFonts w:ascii="Arial" w:hAnsi="Arial" w:cs="Arial"/>
          <w:color w:val="000000" w:themeColor="text1"/>
        </w:rPr>
        <w:t>to liquidity position. T</w:t>
      </w:r>
      <w:r w:rsidRPr="00934F24">
        <w:rPr>
          <w:rFonts w:ascii="Arial" w:hAnsi="Arial" w:cs="Arial"/>
          <w:color w:val="000000" w:themeColor="text1"/>
        </w:rPr>
        <w:t>he ratio made the relationship between</w:t>
      </w:r>
      <w:r>
        <w:rPr>
          <w:rFonts w:ascii="Arial" w:hAnsi="Arial" w:cs="Arial"/>
          <w:color w:val="000000" w:themeColor="text1"/>
        </w:rPr>
        <w:t xml:space="preserve"> </w:t>
      </w:r>
      <w:proofErr w:type="gramStart"/>
      <w:r>
        <w:rPr>
          <w:rFonts w:ascii="Arial" w:hAnsi="Arial" w:cs="Arial"/>
          <w:color w:val="000000" w:themeColor="text1"/>
        </w:rPr>
        <w:t xml:space="preserve">firm’s </w:t>
      </w:r>
      <w:r w:rsidRPr="00934F24">
        <w:rPr>
          <w:rFonts w:ascii="Arial" w:hAnsi="Arial" w:cs="Arial"/>
          <w:color w:val="000000" w:themeColor="text1"/>
        </w:rPr>
        <w:t xml:space="preserve"> cash</w:t>
      </w:r>
      <w:proofErr w:type="gramEnd"/>
      <w:r w:rsidRPr="00934F24">
        <w:rPr>
          <w:rFonts w:ascii="Arial" w:hAnsi="Arial" w:cs="Arial"/>
          <w:color w:val="000000" w:themeColor="text1"/>
        </w:rPr>
        <w:t xml:space="preserve"> and current liability.</w:t>
      </w:r>
      <w:bookmarkStart w:id="37" w:name="_Toc18330031"/>
    </w:p>
    <w:p w:rsidR="009C5AAE" w:rsidRPr="009779F9" w:rsidRDefault="009C5AAE" w:rsidP="009C5AAE">
      <w:pPr>
        <w:rPr>
          <w:rFonts w:ascii="Arial" w:hAnsi="Arial" w:cs="Arial"/>
        </w:rPr>
      </w:pPr>
    </w:p>
    <w:p w:rsidR="009C5AAE" w:rsidRPr="00ED38E8" w:rsidRDefault="009C5AAE" w:rsidP="009C5AAE">
      <w:pPr>
        <w:pStyle w:val="Heading3"/>
        <w:rPr>
          <w:rFonts w:ascii="Arial" w:hAnsi="Arial" w:cs="Arial"/>
          <w:b/>
          <w:bCs/>
          <w:color w:val="984806" w:themeColor="accent6" w:themeShade="80"/>
          <w:sz w:val="28"/>
          <w:szCs w:val="28"/>
        </w:rPr>
      </w:pPr>
      <w:r w:rsidRPr="00ED38E8">
        <w:rPr>
          <w:rFonts w:ascii="Arial" w:eastAsia="Calibri" w:hAnsi="Arial" w:cs="Arial"/>
          <w:b/>
          <w:bCs/>
          <w:color w:val="984806" w:themeColor="accent6" w:themeShade="80"/>
          <w:sz w:val="28"/>
          <w:szCs w:val="28"/>
        </w:rPr>
        <w:t>4.1.1:</w:t>
      </w:r>
      <w:r w:rsidRPr="00ED38E8">
        <w:rPr>
          <w:rFonts w:ascii="Arial" w:hAnsi="Arial" w:cs="Arial"/>
          <w:b/>
          <w:bCs/>
          <w:color w:val="984806" w:themeColor="accent6" w:themeShade="80"/>
          <w:sz w:val="28"/>
          <w:szCs w:val="28"/>
        </w:rPr>
        <w:t xml:space="preserve"> </w:t>
      </w:r>
      <w:r w:rsidRPr="00ED38E8">
        <w:rPr>
          <w:rFonts w:ascii="Arial" w:eastAsia="Calibri" w:hAnsi="Arial" w:cs="Arial"/>
          <w:b/>
          <w:bCs/>
          <w:color w:val="984806" w:themeColor="accent6" w:themeShade="80"/>
          <w:sz w:val="28"/>
          <w:szCs w:val="28"/>
        </w:rPr>
        <w:t>Current Ratio</w:t>
      </w:r>
      <w:bookmarkEnd w:id="37"/>
    </w:p>
    <w:tbl>
      <w:tblPr>
        <w:tblStyle w:val="GridTable5Dark-Accent11"/>
        <w:tblW w:w="9711" w:type="dxa"/>
        <w:tblLook w:val="04A0" w:firstRow="1" w:lastRow="0" w:firstColumn="1" w:lastColumn="0" w:noHBand="0" w:noVBand="1"/>
      </w:tblPr>
      <w:tblGrid>
        <w:gridCol w:w="887"/>
        <w:gridCol w:w="1798"/>
        <w:gridCol w:w="1798"/>
        <w:gridCol w:w="1632"/>
        <w:gridCol w:w="1798"/>
        <w:gridCol w:w="1798"/>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709"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1. Current Ratio= (Current Assets/Current Liabilities)</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887"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79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79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3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79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79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450"/>
        </w:trPr>
        <w:tc>
          <w:tcPr>
            <w:cnfStyle w:val="001000000000" w:firstRow="0" w:lastRow="0" w:firstColumn="1" w:lastColumn="0" w:oddVBand="0" w:evenVBand="0" w:oddHBand="0" w:evenHBand="0" w:firstRowFirstColumn="0" w:firstRowLastColumn="0" w:lastRowFirstColumn="0" w:lastRowLastColumn="0"/>
            <w:tcW w:w="887"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79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1.203445094</w:t>
            </w:r>
          </w:p>
        </w:tc>
        <w:tc>
          <w:tcPr>
            <w:tcW w:w="179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1.188889117</w:t>
            </w:r>
          </w:p>
        </w:tc>
        <w:tc>
          <w:tcPr>
            <w:tcW w:w="163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1.19790504</w:t>
            </w:r>
          </w:p>
        </w:tc>
        <w:tc>
          <w:tcPr>
            <w:tcW w:w="179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1.184361023</w:t>
            </w:r>
          </w:p>
        </w:tc>
        <w:tc>
          <w:tcPr>
            <w:tcW w:w="179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1.165332945</w:t>
            </w:r>
          </w:p>
        </w:tc>
      </w:tr>
    </w:tbl>
    <w:p w:rsidR="009C5AAE" w:rsidRPr="00ED38E8" w:rsidRDefault="009C5AAE" w:rsidP="009C5AAE">
      <w:pPr>
        <w:tabs>
          <w:tab w:val="left" w:pos="4056"/>
        </w:tabs>
        <w:rPr>
          <w:rFonts w:ascii="Arial" w:hAnsi="Arial" w:cs="Arial"/>
        </w:rPr>
      </w:pPr>
    </w:p>
    <w:p w:rsidR="009C5AAE" w:rsidRPr="00ED38E8" w:rsidRDefault="009C5AAE" w:rsidP="009C5AAE">
      <w:pPr>
        <w:rPr>
          <w:rFonts w:ascii="Arial" w:hAnsi="Arial" w:cs="Arial"/>
        </w:rPr>
      </w:pPr>
      <w:r w:rsidRPr="00ED38E8">
        <w:rPr>
          <w:rFonts w:ascii="Arial" w:hAnsi="Arial" w:cs="Arial"/>
          <w:noProof/>
        </w:rPr>
        <w:lastRenderedPageBreak/>
        <w:drawing>
          <wp:inline distT="0" distB="0" distL="0" distR="0" wp14:anchorId="3202248A" wp14:editId="17408E90">
            <wp:extent cx="5943600" cy="2743200"/>
            <wp:effectExtent l="0" t="0" r="19050" b="19050"/>
            <wp:docPr id="165101" name="Chart 16510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21804C0A-200F-435B-A3A7-2B5B373439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C5AAE" w:rsidRPr="00ED38E8" w:rsidRDefault="009C5AAE" w:rsidP="009C5AAE">
      <w:pPr>
        <w:jc w:val="both"/>
        <w:rPr>
          <w:rFonts w:ascii="Arial" w:hAnsi="Arial" w:cs="Arial"/>
          <w:sz w:val="24"/>
          <w:szCs w:val="24"/>
        </w:rPr>
      </w:pPr>
    </w:p>
    <w:p w:rsidR="009C5AAE" w:rsidRPr="00934F24" w:rsidRDefault="009C5AAE" w:rsidP="009C5AAE">
      <w:pPr>
        <w:jc w:val="both"/>
        <w:rPr>
          <w:rFonts w:ascii="Arial" w:hAnsi="Arial" w:cs="Arial"/>
        </w:rPr>
      </w:pPr>
      <w:r w:rsidRPr="00934F24">
        <w:rPr>
          <w:rFonts w:ascii="Arial" w:hAnsi="Arial" w:cs="Arial"/>
        </w:rPr>
        <w:t xml:space="preserve">In simple terms, current ratio is a liquidity ratio that measures whether a firm has enough resources to meet its short term obligations or not. If we evaluate the last 5 years current ratio data of IDLC, we </w:t>
      </w:r>
      <w:r w:rsidR="008D3161">
        <w:rPr>
          <w:rFonts w:ascii="Arial" w:hAnsi="Arial" w:cs="Arial"/>
        </w:rPr>
        <w:t>see</w:t>
      </w:r>
      <w:r w:rsidRPr="00934F24">
        <w:rPr>
          <w:rFonts w:ascii="Arial" w:hAnsi="Arial" w:cs="Arial"/>
        </w:rPr>
        <w:t xml:space="preserve"> that their capability to repay the loan is declining year by year. </w:t>
      </w:r>
      <w:r w:rsidR="00007BDB">
        <w:rPr>
          <w:rFonts w:ascii="Arial" w:hAnsi="Arial" w:cs="Arial"/>
        </w:rPr>
        <w:t>In</w:t>
      </w:r>
      <w:r w:rsidRPr="00934F24">
        <w:rPr>
          <w:rFonts w:ascii="Arial" w:hAnsi="Arial" w:cs="Arial"/>
        </w:rPr>
        <w:t xml:space="preserve"> 2018, if they liquidated their current assets, then they would have 1.165 BDT for fulfilling 1 BDT short term liability. While considering the annual data, we have found that in the last </w:t>
      </w:r>
      <w:r w:rsidR="008D3161">
        <w:rPr>
          <w:rFonts w:ascii="Arial" w:hAnsi="Arial" w:cs="Arial"/>
        </w:rPr>
        <w:t>5</w:t>
      </w:r>
      <w:r w:rsidRPr="00934F24">
        <w:rPr>
          <w:rFonts w:ascii="Arial" w:hAnsi="Arial" w:cs="Arial"/>
        </w:rPr>
        <w:t xml:space="preserve"> years their loan and advances have been </w:t>
      </w:r>
      <w:r>
        <w:rPr>
          <w:rFonts w:ascii="Arial" w:hAnsi="Arial" w:cs="Arial"/>
        </w:rPr>
        <w:t>grown</w:t>
      </w:r>
      <w:r w:rsidRPr="00934F24">
        <w:rPr>
          <w:rFonts w:ascii="Arial" w:hAnsi="Arial" w:cs="Arial"/>
        </w:rPr>
        <w:t xml:space="preserve"> more comparatively the deposits which lead them to more </w:t>
      </w:r>
      <w:r>
        <w:rPr>
          <w:rFonts w:ascii="Arial" w:hAnsi="Arial" w:cs="Arial"/>
        </w:rPr>
        <w:t>grown</w:t>
      </w:r>
      <w:r w:rsidRPr="00934F24">
        <w:rPr>
          <w:rFonts w:ascii="Arial" w:hAnsi="Arial" w:cs="Arial"/>
        </w:rPr>
        <w:t xml:space="preserve"> current liabilities than </w:t>
      </w:r>
      <w:r>
        <w:rPr>
          <w:rFonts w:ascii="Arial" w:hAnsi="Arial" w:cs="Arial"/>
        </w:rPr>
        <w:t>grown</w:t>
      </w:r>
      <w:r w:rsidRPr="00934F24">
        <w:rPr>
          <w:rFonts w:ascii="Arial" w:hAnsi="Arial" w:cs="Arial"/>
        </w:rPr>
        <w:t xml:space="preserve"> current assets. Loan to deposit ratio also suggested the same.</w:t>
      </w:r>
    </w:p>
    <w:p w:rsidR="009C5AAE" w:rsidRPr="00ED38E8" w:rsidRDefault="009C5AAE" w:rsidP="009C5AAE">
      <w:pPr>
        <w:jc w:val="both"/>
        <w:rPr>
          <w:rFonts w:ascii="Arial" w:hAnsi="Arial" w:cs="Arial"/>
          <w:sz w:val="24"/>
          <w:szCs w:val="24"/>
        </w:rPr>
      </w:pPr>
      <w:r w:rsidRPr="00934F24">
        <w:rPr>
          <w:rFonts w:ascii="Arial" w:hAnsi="Arial" w:cs="Arial"/>
        </w:rPr>
        <w:t>Though their current ratio declined year by year, still they had the good condition in terms of fulfilling short term liabilities. However, IDLC should give more focus on collection of different deposits and for that, they can introduce more effective deposits scheme that can influence the savers to deposits their saving which will increase the current assets portion of IDLC</w:t>
      </w:r>
      <w:r w:rsidRPr="00ED38E8">
        <w:rPr>
          <w:rFonts w:ascii="Arial" w:hAnsi="Arial" w:cs="Arial"/>
          <w:sz w:val="24"/>
          <w:szCs w:val="24"/>
        </w:rPr>
        <w:t>.</w:t>
      </w:r>
    </w:p>
    <w:p w:rsidR="009C5AAE" w:rsidRDefault="009C5AAE" w:rsidP="009C5AAE">
      <w:pPr>
        <w:pStyle w:val="Heading3"/>
        <w:rPr>
          <w:rFonts w:ascii="Arial" w:eastAsiaTheme="minorHAnsi" w:hAnsi="Arial" w:cs="Arial"/>
          <w:color w:val="auto"/>
          <w:sz w:val="22"/>
          <w:szCs w:val="22"/>
        </w:rPr>
      </w:pPr>
      <w:bookmarkStart w:id="38" w:name="_Toc18330032"/>
    </w:p>
    <w:p w:rsidR="009C5AAE" w:rsidRPr="00ED38E8" w:rsidRDefault="009C5AAE" w:rsidP="009C5AAE">
      <w:pPr>
        <w:pStyle w:val="Heading3"/>
        <w:rPr>
          <w:rFonts w:ascii="Arial" w:eastAsia="Calibri" w:hAnsi="Arial" w:cs="Arial"/>
          <w:b/>
          <w:bCs/>
          <w:color w:val="984806" w:themeColor="accent6" w:themeShade="80"/>
          <w:sz w:val="28"/>
          <w:szCs w:val="28"/>
        </w:rPr>
      </w:pPr>
      <w:r w:rsidRPr="00ED38E8">
        <w:rPr>
          <w:rFonts w:ascii="Arial" w:eastAsia="Calibri" w:hAnsi="Arial" w:cs="Arial"/>
          <w:b/>
          <w:bCs/>
          <w:color w:val="984806" w:themeColor="accent6" w:themeShade="80"/>
          <w:sz w:val="28"/>
          <w:szCs w:val="28"/>
        </w:rPr>
        <w:t>4.1.2:</w:t>
      </w:r>
      <w:r w:rsidRPr="00ED38E8">
        <w:rPr>
          <w:rFonts w:ascii="Arial" w:eastAsia="Times New Roman" w:hAnsi="Arial" w:cs="Arial"/>
          <w:b/>
          <w:bCs/>
          <w:color w:val="984806" w:themeColor="accent6" w:themeShade="80"/>
          <w:sz w:val="28"/>
          <w:szCs w:val="28"/>
        </w:rPr>
        <w:t xml:space="preserve"> </w:t>
      </w:r>
      <w:r w:rsidRPr="00ED38E8">
        <w:rPr>
          <w:rFonts w:ascii="Arial" w:eastAsia="Calibri" w:hAnsi="Arial" w:cs="Arial"/>
          <w:b/>
          <w:bCs/>
          <w:color w:val="984806" w:themeColor="accent6" w:themeShade="80"/>
          <w:sz w:val="28"/>
          <w:szCs w:val="28"/>
        </w:rPr>
        <w:t>Cash Ratio</w:t>
      </w:r>
      <w:bookmarkEnd w:id="38"/>
    </w:p>
    <w:p w:rsidR="009C5AAE" w:rsidRPr="00ED38E8" w:rsidRDefault="009C5AAE" w:rsidP="009C5AAE">
      <w:pPr>
        <w:rPr>
          <w:rFonts w:ascii="Arial" w:hAnsi="Arial" w:cs="Arial"/>
        </w:rPr>
      </w:pPr>
    </w:p>
    <w:tbl>
      <w:tblPr>
        <w:tblStyle w:val="GridTable5Dark-Accent11"/>
        <w:tblW w:w="9817" w:type="dxa"/>
        <w:tblLook w:val="04A0" w:firstRow="1" w:lastRow="0" w:firstColumn="1" w:lastColumn="0" w:noHBand="0" w:noVBand="1"/>
      </w:tblPr>
      <w:tblGrid>
        <w:gridCol w:w="917"/>
        <w:gridCol w:w="1884"/>
        <w:gridCol w:w="1535"/>
        <w:gridCol w:w="1711"/>
        <w:gridCol w:w="1884"/>
        <w:gridCol w:w="1886"/>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9817"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2. Cash Ratio= (Cash &amp; Marketable Securities/Current Liabilities)</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917"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84"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535"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711"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84"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86"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499"/>
        </w:trPr>
        <w:tc>
          <w:tcPr>
            <w:cnfStyle w:val="001000000000" w:firstRow="0" w:lastRow="0" w:firstColumn="1" w:lastColumn="0" w:oddVBand="0" w:evenVBand="0" w:oddHBand="0" w:evenHBand="0" w:firstRowFirstColumn="0" w:firstRowLastColumn="0" w:lastRowFirstColumn="0" w:lastRowLastColumn="0"/>
            <w:tcW w:w="917"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84"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0.062125327</w:t>
            </w:r>
          </w:p>
        </w:tc>
        <w:tc>
          <w:tcPr>
            <w:tcW w:w="1535"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0.0628157</w:t>
            </w:r>
          </w:p>
        </w:tc>
        <w:tc>
          <w:tcPr>
            <w:tcW w:w="1711"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0.06025587</w:t>
            </w:r>
          </w:p>
        </w:tc>
        <w:tc>
          <w:tcPr>
            <w:tcW w:w="1884"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0.058228218</w:t>
            </w:r>
          </w:p>
        </w:tc>
        <w:tc>
          <w:tcPr>
            <w:tcW w:w="1886"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0.062276122</w:t>
            </w:r>
          </w:p>
        </w:tc>
      </w:tr>
    </w:tbl>
    <w:p w:rsidR="009C5AAE" w:rsidRPr="00ED38E8" w:rsidRDefault="009C5AAE" w:rsidP="009C5AAE">
      <w:pPr>
        <w:rPr>
          <w:rFonts w:ascii="Arial" w:hAnsi="Arial" w:cs="Arial"/>
        </w:rPr>
      </w:pPr>
    </w:p>
    <w:p w:rsidR="009C5AAE" w:rsidRPr="00ED38E8" w:rsidRDefault="009C5AAE" w:rsidP="009C5AAE">
      <w:pPr>
        <w:rPr>
          <w:rFonts w:ascii="Arial" w:hAnsi="Arial" w:cs="Arial"/>
        </w:rPr>
      </w:pPr>
      <w:r w:rsidRPr="00ED38E8">
        <w:rPr>
          <w:rFonts w:ascii="Arial" w:hAnsi="Arial" w:cs="Arial"/>
          <w:noProof/>
        </w:rPr>
        <w:lastRenderedPageBreak/>
        <w:drawing>
          <wp:inline distT="0" distB="0" distL="0" distR="0" wp14:anchorId="22A9E848" wp14:editId="6B40CDF2">
            <wp:extent cx="6079253" cy="3074795"/>
            <wp:effectExtent l="0" t="0" r="17145" b="11430"/>
            <wp:docPr id="165102" name="Chart 16510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02440D68-0511-4A92-BDED-E55BB1AF77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9C5AAE" w:rsidRPr="00ED38E8" w:rsidRDefault="009C5AAE" w:rsidP="009C5AAE">
      <w:pPr>
        <w:rPr>
          <w:rFonts w:ascii="Arial" w:hAnsi="Arial" w:cs="Arial"/>
          <w:sz w:val="24"/>
          <w:szCs w:val="24"/>
        </w:rPr>
      </w:pPr>
    </w:p>
    <w:p w:rsidR="009C5AAE" w:rsidRPr="005E6A92" w:rsidRDefault="009C5AAE" w:rsidP="009C5AAE">
      <w:pPr>
        <w:jc w:val="both"/>
        <w:rPr>
          <w:rFonts w:ascii="Arial" w:hAnsi="Arial" w:cs="Arial"/>
        </w:rPr>
      </w:pPr>
      <w:r w:rsidRPr="00934F24">
        <w:rPr>
          <w:rFonts w:ascii="Arial" w:hAnsi="Arial" w:cs="Arial"/>
        </w:rPr>
        <w:t xml:space="preserve">We know that the cash ratio indicates the ability of a firm to fulfill the short term liabilities of a firm by cash at the time of liquidation. </w:t>
      </w:r>
      <w:proofErr w:type="gramStart"/>
      <w:r w:rsidRPr="00934F24">
        <w:rPr>
          <w:rFonts w:ascii="Arial" w:hAnsi="Arial" w:cs="Arial"/>
        </w:rPr>
        <w:t>we</w:t>
      </w:r>
      <w:proofErr w:type="gramEnd"/>
      <w:r w:rsidRPr="00934F24">
        <w:rPr>
          <w:rFonts w:ascii="Arial" w:hAnsi="Arial" w:cs="Arial"/>
        </w:rPr>
        <w:t xml:space="preserve"> find that cash ratio reducing year by year. Though it indicated that they are losing their ability to meet the short term debt by cash, we know that a financial institution like bank always keeps a minimum amount of cash reserve according to the order of central bank so that they can meet the unexpected withdrawal demand of depositors. They want to give gradually loans. While evaluating the annual report, we have found that though cash has been increasing, but this increasing rate is fewer than the increasing rate of current liabilities. </w:t>
      </w:r>
      <w:r w:rsidR="00003A48">
        <w:rPr>
          <w:rFonts w:ascii="Arial" w:hAnsi="Arial" w:cs="Arial"/>
        </w:rPr>
        <w:t>I</w:t>
      </w:r>
      <w:r w:rsidRPr="00934F24">
        <w:rPr>
          <w:rFonts w:ascii="Arial" w:hAnsi="Arial" w:cs="Arial"/>
        </w:rPr>
        <w:t>f they would have liquidated, then they would have only 0.0622 BDT cash for fulfilling the 1 BDT current liabilities.</w:t>
      </w:r>
    </w:p>
    <w:p w:rsidR="009C5AAE" w:rsidRPr="00ED38E8" w:rsidRDefault="009C5AAE" w:rsidP="009C5AAE">
      <w:pPr>
        <w:jc w:val="both"/>
        <w:rPr>
          <w:rFonts w:ascii="Arial" w:eastAsia="Calibri" w:hAnsi="Arial" w:cs="Arial"/>
          <w:b/>
          <w:color w:val="984806"/>
          <w:sz w:val="28"/>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39" w:name="_Toc18330033"/>
      <w:r w:rsidRPr="00ED38E8">
        <w:rPr>
          <w:rFonts w:ascii="Arial" w:eastAsia="Calibri" w:hAnsi="Arial" w:cs="Arial"/>
          <w:b/>
          <w:bCs/>
          <w:color w:val="984806" w:themeColor="accent6" w:themeShade="80"/>
          <w:sz w:val="28"/>
          <w:szCs w:val="28"/>
        </w:rPr>
        <w:t>4.1.3:</w:t>
      </w:r>
      <w:r w:rsidRPr="00ED38E8">
        <w:rPr>
          <w:rFonts w:ascii="Arial" w:eastAsia="Times New Roman" w:hAnsi="Arial" w:cs="Arial"/>
          <w:b/>
          <w:bCs/>
          <w:color w:val="984806" w:themeColor="accent6" w:themeShade="80"/>
          <w:sz w:val="28"/>
          <w:szCs w:val="28"/>
        </w:rPr>
        <w:t xml:space="preserve"> </w:t>
      </w:r>
      <w:r w:rsidRPr="00ED38E8">
        <w:rPr>
          <w:rFonts w:ascii="Arial" w:eastAsia="Calibri" w:hAnsi="Arial" w:cs="Arial"/>
          <w:b/>
          <w:bCs/>
          <w:color w:val="984806" w:themeColor="accent6" w:themeShade="80"/>
          <w:sz w:val="28"/>
          <w:szCs w:val="28"/>
        </w:rPr>
        <w:t>Cash Reserve Ratio</w:t>
      </w:r>
      <w:bookmarkEnd w:id="39"/>
    </w:p>
    <w:p w:rsidR="009C5AAE" w:rsidRPr="00ED38E8" w:rsidRDefault="009C5AAE" w:rsidP="009C5AAE">
      <w:pPr>
        <w:jc w:val="both"/>
        <w:rPr>
          <w:rFonts w:ascii="Arial" w:eastAsia="Calibri" w:hAnsi="Arial" w:cs="Arial"/>
          <w:b/>
          <w:color w:val="984806"/>
          <w:sz w:val="28"/>
        </w:rPr>
      </w:pPr>
    </w:p>
    <w:tbl>
      <w:tblPr>
        <w:tblStyle w:val="GridTable5Dark-Accent11"/>
        <w:tblW w:w="10106" w:type="dxa"/>
        <w:tblLook w:val="04A0" w:firstRow="1" w:lastRow="0" w:firstColumn="1" w:lastColumn="0" w:noHBand="0" w:noVBand="1"/>
      </w:tblPr>
      <w:tblGrid>
        <w:gridCol w:w="1531"/>
        <w:gridCol w:w="1519"/>
        <w:gridCol w:w="1842"/>
        <w:gridCol w:w="1842"/>
        <w:gridCol w:w="1519"/>
        <w:gridCol w:w="1853"/>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10105"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3. Cash Reserve Ratio (CRR)</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1531"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51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4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84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51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53"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534"/>
        </w:trPr>
        <w:tc>
          <w:tcPr>
            <w:cnfStyle w:val="001000000000" w:firstRow="0" w:lastRow="0" w:firstColumn="1" w:lastColumn="0" w:oddVBand="0" w:evenVBand="0" w:oddHBand="0" w:evenHBand="0" w:firstRowFirstColumn="0" w:firstRowLastColumn="0" w:lastRowFirstColumn="0" w:lastRowLastColumn="0"/>
            <w:tcW w:w="1531"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51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0.061</w:t>
            </w:r>
          </w:p>
        </w:tc>
        <w:tc>
          <w:tcPr>
            <w:tcW w:w="184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0.0727</w:t>
            </w:r>
          </w:p>
        </w:tc>
        <w:tc>
          <w:tcPr>
            <w:tcW w:w="184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0.0642</w:t>
            </w:r>
          </w:p>
        </w:tc>
        <w:tc>
          <w:tcPr>
            <w:tcW w:w="151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0.067</w:t>
            </w:r>
          </w:p>
        </w:tc>
        <w:tc>
          <w:tcPr>
            <w:tcW w:w="1853"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0.0733</w:t>
            </w:r>
          </w:p>
        </w:tc>
      </w:tr>
    </w:tbl>
    <w:p w:rsidR="009C5AAE" w:rsidRPr="00ED38E8" w:rsidRDefault="009C5AAE" w:rsidP="009C5AAE">
      <w:pPr>
        <w:rPr>
          <w:rFonts w:ascii="Arial" w:hAnsi="Arial" w:cs="Arial"/>
        </w:rPr>
      </w:pPr>
    </w:p>
    <w:p w:rsidR="009C5AAE" w:rsidRPr="00ED38E8" w:rsidRDefault="009C5AAE" w:rsidP="009C5AAE">
      <w:pPr>
        <w:rPr>
          <w:rFonts w:ascii="Arial" w:hAnsi="Arial" w:cs="Arial"/>
        </w:rPr>
      </w:pPr>
      <w:r w:rsidRPr="00ED38E8">
        <w:rPr>
          <w:rFonts w:ascii="Arial" w:hAnsi="Arial" w:cs="Arial"/>
          <w:noProof/>
        </w:rPr>
        <w:lastRenderedPageBreak/>
        <w:drawing>
          <wp:inline distT="0" distB="0" distL="0" distR="0" wp14:anchorId="3029BB2B" wp14:editId="4BFE3D02">
            <wp:extent cx="6162675" cy="2305050"/>
            <wp:effectExtent l="0" t="0" r="9525" b="19050"/>
            <wp:docPr id="165103" name="Chart 16510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7F748240-D04D-4FBC-A286-7D6DB2C279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934F24" w:rsidRDefault="009C5AAE" w:rsidP="009C5AAE">
      <w:pPr>
        <w:autoSpaceDE w:val="0"/>
        <w:autoSpaceDN w:val="0"/>
        <w:adjustRightInd w:val="0"/>
        <w:spacing w:after="0" w:line="240" w:lineRule="auto"/>
        <w:jc w:val="both"/>
        <w:rPr>
          <w:rFonts w:ascii="Arial" w:hAnsi="Arial" w:cs="Arial"/>
        </w:rPr>
      </w:pPr>
      <w:r w:rsidRPr="00934F24">
        <w:rPr>
          <w:rFonts w:ascii="Arial" w:hAnsi="Arial" w:cs="Arial"/>
        </w:rPr>
        <w:t xml:space="preserve">Cash reserve ratio is the share of a FI’s deposit that is mandated by the central bank of a country to be maintained as liquid assets so that commercial banks can fulfill the unexpected withdrawal demand of depositors. This ratio totally depends on the decision of Govt. based on the demand and supply of money in the economy and the rate of inflation. From the last </w:t>
      </w:r>
      <w:r w:rsidR="00003A48">
        <w:rPr>
          <w:rFonts w:ascii="Arial" w:hAnsi="Arial" w:cs="Arial"/>
        </w:rPr>
        <w:t>5</w:t>
      </w:r>
      <w:r w:rsidRPr="00934F24">
        <w:rPr>
          <w:rFonts w:ascii="Arial" w:hAnsi="Arial" w:cs="Arial"/>
        </w:rPr>
        <w:t xml:space="preserve"> years, IDLC maintained different reserve ratios. Higher cash reserve ratio reduces the sanction of loan amount of IDLC.</w:t>
      </w:r>
    </w:p>
    <w:p w:rsidR="009C5AAE" w:rsidRPr="00ED38E8" w:rsidRDefault="009C5AAE" w:rsidP="009C5AAE">
      <w:pPr>
        <w:autoSpaceDE w:val="0"/>
        <w:autoSpaceDN w:val="0"/>
        <w:adjustRightInd w:val="0"/>
        <w:spacing w:after="0" w:line="240" w:lineRule="auto"/>
        <w:rPr>
          <w:rFonts w:ascii="Arial" w:eastAsia="Calibri" w:hAnsi="Arial" w:cs="Arial"/>
          <w:b/>
          <w:color w:val="984806"/>
          <w:sz w:val="28"/>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40" w:name="_Toc18330034"/>
      <w:r w:rsidRPr="00ED38E8">
        <w:rPr>
          <w:rFonts w:ascii="Arial" w:eastAsia="Calibri" w:hAnsi="Arial" w:cs="Arial"/>
          <w:b/>
          <w:bCs/>
          <w:color w:val="984806" w:themeColor="accent6" w:themeShade="80"/>
          <w:sz w:val="28"/>
          <w:szCs w:val="28"/>
        </w:rPr>
        <w:t>4.1.4:</w:t>
      </w:r>
      <w:r w:rsidRPr="00ED38E8">
        <w:rPr>
          <w:rFonts w:ascii="Arial" w:eastAsia="Times New Roman" w:hAnsi="Arial" w:cs="Arial"/>
          <w:b/>
          <w:bCs/>
          <w:color w:val="984806" w:themeColor="accent6" w:themeShade="80"/>
          <w:sz w:val="28"/>
          <w:szCs w:val="28"/>
        </w:rPr>
        <w:t xml:space="preserve"> </w:t>
      </w:r>
      <w:r w:rsidRPr="00ED38E8">
        <w:rPr>
          <w:rFonts w:ascii="Arial" w:eastAsia="Calibri" w:hAnsi="Arial" w:cs="Arial"/>
          <w:b/>
          <w:bCs/>
          <w:color w:val="984806" w:themeColor="accent6" w:themeShade="80"/>
          <w:sz w:val="28"/>
          <w:szCs w:val="28"/>
        </w:rPr>
        <w:t>Statutory Liquidity Reserve Ratio</w:t>
      </w:r>
      <w:bookmarkEnd w:id="40"/>
      <w:r w:rsidRPr="00ED38E8">
        <w:rPr>
          <w:rFonts w:ascii="Arial" w:eastAsia="Calibri" w:hAnsi="Arial" w:cs="Arial"/>
          <w:b/>
          <w:bCs/>
          <w:color w:val="984806" w:themeColor="accent6" w:themeShade="80"/>
          <w:sz w:val="28"/>
          <w:szCs w:val="28"/>
        </w:rPr>
        <w:t xml:space="preserve"> </w:t>
      </w:r>
    </w:p>
    <w:p w:rsidR="009C5AAE" w:rsidRPr="00ED38E8" w:rsidRDefault="009C5AAE" w:rsidP="009C5AAE">
      <w:pPr>
        <w:autoSpaceDE w:val="0"/>
        <w:autoSpaceDN w:val="0"/>
        <w:adjustRightInd w:val="0"/>
        <w:spacing w:after="0" w:line="240" w:lineRule="auto"/>
        <w:rPr>
          <w:rFonts w:ascii="Arial" w:eastAsia="Calibri" w:hAnsi="Arial" w:cs="Arial"/>
          <w:b/>
          <w:color w:val="984806"/>
          <w:sz w:val="28"/>
        </w:rPr>
      </w:pPr>
    </w:p>
    <w:tbl>
      <w:tblPr>
        <w:tblStyle w:val="GridTable5Dark-Accent11"/>
        <w:tblW w:w="9677" w:type="dxa"/>
        <w:tblLook w:val="04A0" w:firstRow="1" w:lastRow="0" w:firstColumn="1" w:lastColumn="0" w:noHBand="0" w:noVBand="1"/>
      </w:tblPr>
      <w:tblGrid>
        <w:gridCol w:w="1382"/>
        <w:gridCol w:w="1659"/>
        <w:gridCol w:w="1659"/>
        <w:gridCol w:w="1659"/>
        <w:gridCol w:w="1659"/>
        <w:gridCol w:w="1659"/>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9677"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4. Statutory Liquidity Reserve Ratio</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382"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65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65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5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65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65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517"/>
        </w:trPr>
        <w:tc>
          <w:tcPr>
            <w:cnfStyle w:val="001000000000" w:firstRow="0" w:lastRow="0" w:firstColumn="1" w:lastColumn="0" w:oddVBand="0" w:evenVBand="0" w:oddHBand="0" w:evenHBand="0" w:firstRowFirstColumn="0" w:firstRowLastColumn="0" w:lastRowFirstColumn="0" w:lastRowLastColumn="0"/>
            <w:tcW w:w="1382"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65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0.2988</w:t>
            </w:r>
          </w:p>
        </w:tc>
        <w:tc>
          <w:tcPr>
            <w:tcW w:w="165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bookmarkStart w:id="41" w:name="_GoBack"/>
            <w:bookmarkEnd w:id="41"/>
            <w:r w:rsidRPr="00ED38E8">
              <w:rPr>
                <w:rFonts w:ascii="Arial" w:eastAsia="Times New Roman" w:hAnsi="Arial" w:cs="Arial"/>
                <w:color w:val="000000"/>
              </w:rPr>
              <w:t>0.2223</w:t>
            </w:r>
          </w:p>
        </w:tc>
        <w:tc>
          <w:tcPr>
            <w:tcW w:w="165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0.1671</w:t>
            </w:r>
          </w:p>
        </w:tc>
        <w:tc>
          <w:tcPr>
            <w:tcW w:w="165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0.1481</w:t>
            </w:r>
          </w:p>
        </w:tc>
        <w:tc>
          <w:tcPr>
            <w:tcW w:w="165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0.1483</w:t>
            </w:r>
          </w:p>
        </w:tc>
      </w:tr>
    </w:tbl>
    <w:p w:rsidR="009C5AAE" w:rsidRPr="00ED38E8" w:rsidRDefault="009C5AAE" w:rsidP="009C5AAE">
      <w:pPr>
        <w:rPr>
          <w:rFonts w:ascii="Arial" w:hAnsi="Arial" w:cs="Arial"/>
          <w:sz w:val="24"/>
          <w:szCs w:val="24"/>
        </w:rPr>
      </w:pPr>
      <w:r w:rsidRPr="00ED38E8">
        <w:rPr>
          <w:rFonts w:ascii="Arial" w:hAnsi="Arial" w:cs="Arial"/>
          <w:noProof/>
        </w:rPr>
        <w:drawing>
          <wp:inline distT="0" distB="0" distL="0" distR="0" wp14:anchorId="73774E24" wp14:editId="42FDA1CE">
            <wp:extent cx="5934075" cy="2838450"/>
            <wp:effectExtent l="0" t="0" r="9525" b="19050"/>
            <wp:docPr id="165104" name="Chart 16510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3D40C54D-3745-47FE-A9FD-2E212A334C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9C5AAE" w:rsidRPr="00934F24" w:rsidRDefault="009C5AAE" w:rsidP="009C5AAE">
      <w:pPr>
        <w:autoSpaceDE w:val="0"/>
        <w:autoSpaceDN w:val="0"/>
        <w:adjustRightInd w:val="0"/>
        <w:spacing w:after="0" w:line="240" w:lineRule="auto"/>
        <w:jc w:val="both"/>
        <w:rPr>
          <w:rFonts w:ascii="Arial" w:hAnsi="Arial" w:cs="Arial"/>
        </w:rPr>
      </w:pPr>
      <w:r w:rsidRPr="00934F24">
        <w:rPr>
          <w:rFonts w:ascii="Arial" w:hAnsi="Arial" w:cs="Arial"/>
        </w:rPr>
        <w:lastRenderedPageBreak/>
        <w:t xml:space="preserve">Statutory liquidity reserve ratio is the reserve requirement that the FI’s are required to continue in the form of cash, gold reserves, Govt. approved securities before providing credit to the customers. The major difference with cash reserve ratio is that, in the CRR only the cash needs to be reserved. It gives more security to the depositors. From the above bar diagram SLRR over the last </w:t>
      </w:r>
      <w:r w:rsidR="00003A48">
        <w:rPr>
          <w:rFonts w:ascii="Arial" w:hAnsi="Arial" w:cs="Arial"/>
        </w:rPr>
        <w:t>5</w:t>
      </w:r>
      <w:r w:rsidRPr="00934F24">
        <w:rPr>
          <w:rFonts w:ascii="Arial" w:hAnsi="Arial" w:cs="Arial"/>
        </w:rPr>
        <w:t xml:space="preserve"> years of IDLC and it decreasing because now-a-days Govt. is giving more focus on maintaining high CRR.</w:t>
      </w:r>
    </w:p>
    <w:p w:rsidR="009C5AAE" w:rsidRPr="00ED38E8" w:rsidRDefault="009C5AAE" w:rsidP="009C5AAE">
      <w:pPr>
        <w:spacing w:after="200" w:line="276" w:lineRule="auto"/>
        <w:jc w:val="both"/>
        <w:rPr>
          <w:rFonts w:ascii="Arial" w:hAnsi="Arial" w:cs="Arial"/>
        </w:rPr>
      </w:pPr>
    </w:p>
    <w:p w:rsidR="009C5AAE" w:rsidRPr="00ED38E8" w:rsidRDefault="009C5AAE" w:rsidP="009C5AAE">
      <w:pPr>
        <w:spacing w:after="200" w:line="276" w:lineRule="auto"/>
        <w:rPr>
          <w:rFonts w:ascii="Arial" w:hAnsi="Arial" w:cs="Arial"/>
        </w:rPr>
      </w:pPr>
      <w:r>
        <w:rPr>
          <w:rFonts w:ascii="Arial" w:hAnsi="Arial" w:cs="Arial"/>
        </w:rPr>
        <w:t xml:space="preserve">                 </w:t>
      </w:r>
      <w:r w:rsidRPr="00ED38E8">
        <w:rPr>
          <w:rFonts w:ascii="Arial" w:hAnsi="Arial" w:cs="Arial"/>
        </w:rPr>
        <w:t xml:space="preserve"> </w:t>
      </w:r>
      <w:r>
        <w:rPr>
          <w:rFonts w:ascii="Arial" w:hAnsi="Arial" w:cs="Arial"/>
        </w:rPr>
        <w:t xml:space="preserve">                      </w:t>
      </w:r>
      <w:r w:rsidRPr="00ED38E8">
        <w:rPr>
          <w:rFonts w:ascii="Arial" w:hAnsi="Arial" w:cs="Arial"/>
        </w:rPr>
        <w:t xml:space="preserve">    </w:t>
      </w:r>
    </w:p>
    <w:p w:rsidR="009C5AAE" w:rsidRDefault="009C5AAE" w:rsidP="009C5AAE">
      <w:pPr>
        <w:pStyle w:val="Heading2"/>
        <w:jc w:val="center"/>
        <w:rPr>
          <w:rFonts w:ascii="Arial" w:hAnsi="Arial" w:cs="Arial"/>
          <w:b/>
          <w:bCs/>
          <w:sz w:val="32"/>
          <w:szCs w:val="32"/>
          <w:u w:val="single"/>
        </w:rPr>
      </w:pPr>
      <w:bookmarkStart w:id="42" w:name="_Toc18330035"/>
      <w:r w:rsidRPr="00ED38E8">
        <w:rPr>
          <w:rFonts w:ascii="Arial" w:hAnsi="Arial" w:cs="Arial"/>
          <w:b/>
          <w:bCs/>
          <w:sz w:val="32"/>
          <w:szCs w:val="32"/>
          <w:u w:val="single"/>
        </w:rPr>
        <w:t>Profitability Dimensio</w:t>
      </w:r>
      <w:bookmarkEnd w:id="42"/>
      <w:r>
        <w:rPr>
          <w:rFonts w:ascii="Arial" w:hAnsi="Arial" w:cs="Arial"/>
          <w:b/>
          <w:bCs/>
          <w:sz w:val="32"/>
          <w:szCs w:val="32"/>
          <w:u w:val="single"/>
        </w:rPr>
        <w:t>n</w:t>
      </w:r>
    </w:p>
    <w:p w:rsidR="009C5AAE" w:rsidRDefault="009C5AAE" w:rsidP="009C5AAE">
      <w:pPr>
        <w:pStyle w:val="Heading2"/>
        <w:jc w:val="both"/>
        <w:rPr>
          <w:rFonts w:ascii="Arial" w:hAnsi="Arial" w:cs="Arial"/>
          <w:color w:val="000000" w:themeColor="text1"/>
          <w:shd w:val="clear" w:color="auto" w:fill="FAFAFA"/>
        </w:rPr>
      </w:pPr>
      <w:r w:rsidRPr="00934F24">
        <w:rPr>
          <w:rFonts w:ascii="Arial" w:hAnsi="Arial" w:cs="Arial"/>
          <w:color w:val="000000" w:themeColor="text1"/>
          <w:sz w:val="22"/>
          <w:szCs w:val="22"/>
          <w:shd w:val="clear" w:color="auto" w:fill="FAFAFA"/>
        </w:rPr>
        <w:t>Profitability ratio is used to evaluate the company’s ability to produce income as compared to its expenses and other cost associated with the generation of income during a particular period. This ratio represents the final result of the company</w:t>
      </w:r>
      <w:r w:rsidRPr="00ED38E8">
        <w:rPr>
          <w:rFonts w:ascii="Arial" w:hAnsi="Arial" w:cs="Arial"/>
          <w:color w:val="000000" w:themeColor="text1"/>
          <w:shd w:val="clear" w:color="auto" w:fill="FAFAFA"/>
        </w:rPr>
        <w:t>.</w:t>
      </w:r>
    </w:p>
    <w:p w:rsidR="009C5AAE" w:rsidRPr="005E6A92" w:rsidRDefault="009C5AAE" w:rsidP="009C5AAE"/>
    <w:p w:rsidR="009C5AAE" w:rsidRPr="00ED38E8" w:rsidRDefault="009C5AAE" w:rsidP="009C5AAE">
      <w:pPr>
        <w:pStyle w:val="Heading3"/>
        <w:rPr>
          <w:rFonts w:ascii="Arial" w:hAnsi="Arial" w:cs="Arial"/>
          <w:b/>
          <w:bCs/>
          <w:color w:val="984806" w:themeColor="accent6" w:themeShade="80"/>
          <w:sz w:val="28"/>
          <w:szCs w:val="28"/>
        </w:rPr>
      </w:pPr>
      <w:bookmarkStart w:id="43" w:name="_Toc18330036"/>
      <w:r w:rsidRPr="00ED38E8">
        <w:rPr>
          <w:rFonts w:ascii="Arial" w:eastAsia="Calibri" w:hAnsi="Arial" w:cs="Arial"/>
          <w:b/>
          <w:bCs/>
          <w:color w:val="984806" w:themeColor="accent6" w:themeShade="80"/>
          <w:sz w:val="28"/>
          <w:szCs w:val="28"/>
        </w:rPr>
        <w:t>4.1.5: Net Profit margin</w:t>
      </w:r>
      <w:bookmarkEnd w:id="43"/>
    </w:p>
    <w:tbl>
      <w:tblPr>
        <w:tblStyle w:val="GridTable5Dark-Accent11"/>
        <w:tblW w:w="9925" w:type="dxa"/>
        <w:tblLook w:val="04A0" w:firstRow="1" w:lastRow="0" w:firstColumn="1" w:lastColumn="0" w:noHBand="0" w:noVBand="1"/>
      </w:tblPr>
      <w:tblGrid>
        <w:gridCol w:w="926"/>
        <w:gridCol w:w="1869"/>
        <w:gridCol w:w="1869"/>
        <w:gridCol w:w="1696"/>
        <w:gridCol w:w="1696"/>
        <w:gridCol w:w="1869"/>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9924"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5. Net Profit margin= (Net Profit after tax/Total Revenue)</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926"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6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6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96"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696"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6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561"/>
        </w:trPr>
        <w:tc>
          <w:tcPr>
            <w:cnfStyle w:val="001000000000" w:firstRow="0" w:lastRow="0" w:firstColumn="1" w:lastColumn="0" w:oddVBand="0" w:evenVBand="0" w:oddHBand="0" w:evenHBand="0" w:firstRowFirstColumn="0" w:firstRowLastColumn="0" w:lastRowFirstColumn="0" w:lastRowLastColumn="0"/>
            <w:tcW w:w="926"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6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0.362651063</w:t>
            </w:r>
          </w:p>
        </w:tc>
        <w:tc>
          <w:tcPr>
            <w:tcW w:w="186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0.363756716</w:t>
            </w:r>
          </w:p>
        </w:tc>
        <w:tc>
          <w:tcPr>
            <w:tcW w:w="1696"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0.38976076</w:t>
            </w:r>
          </w:p>
        </w:tc>
        <w:tc>
          <w:tcPr>
            <w:tcW w:w="1696"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0.39209449</w:t>
            </w:r>
          </w:p>
        </w:tc>
        <w:tc>
          <w:tcPr>
            <w:tcW w:w="186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0.334935201</w:t>
            </w:r>
          </w:p>
        </w:tc>
      </w:tr>
    </w:tbl>
    <w:p w:rsidR="009C5AAE" w:rsidRPr="00ED38E8" w:rsidRDefault="009C5AAE" w:rsidP="009C5AAE">
      <w:pPr>
        <w:tabs>
          <w:tab w:val="left" w:pos="3070"/>
        </w:tabs>
        <w:rPr>
          <w:rFonts w:ascii="Arial" w:hAnsi="Arial" w:cs="Arial"/>
          <w:sz w:val="32"/>
          <w:szCs w:val="32"/>
          <w:u w:val="single"/>
        </w:rPr>
      </w:pPr>
    </w:p>
    <w:p w:rsidR="009C5AAE" w:rsidRPr="00ED38E8" w:rsidRDefault="009C5AAE" w:rsidP="009C5AAE">
      <w:pPr>
        <w:tabs>
          <w:tab w:val="left" w:pos="3070"/>
        </w:tabs>
        <w:rPr>
          <w:rFonts w:ascii="Arial" w:hAnsi="Arial" w:cs="Arial"/>
          <w:sz w:val="32"/>
          <w:szCs w:val="32"/>
          <w:u w:val="single"/>
        </w:rPr>
      </w:pPr>
      <w:r w:rsidRPr="00ED38E8">
        <w:rPr>
          <w:rFonts w:ascii="Arial" w:hAnsi="Arial" w:cs="Arial"/>
          <w:noProof/>
        </w:rPr>
        <w:drawing>
          <wp:inline distT="0" distB="0" distL="0" distR="0" wp14:anchorId="173536E0" wp14:editId="6F86FD73">
            <wp:extent cx="6181725" cy="3124200"/>
            <wp:effectExtent l="0" t="0" r="9525" b="19050"/>
            <wp:docPr id="165105" name="Chart 16510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14F246E3-AC3B-4D9F-82FD-7B84A61E0B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9C5AAE" w:rsidRPr="00934F24" w:rsidRDefault="009C5AAE" w:rsidP="009C5AAE">
      <w:pPr>
        <w:autoSpaceDE w:val="0"/>
        <w:autoSpaceDN w:val="0"/>
        <w:adjustRightInd w:val="0"/>
        <w:spacing w:after="0" w:line="240" w:lineRule="auto"/>
        <w:jc w:val="both"/>
        <w:rPr>
          <w:rFonts w:ascii="Arial" w:hAnsi="Arial" w:cs="Arial"/>
        </w:rPr>
      </w:pPr>
      <w:r w:rsidRPr="00934F24">
        <w:rPr>
          <w:rFonts w:ascii="Arial" w:hAnsi="Arial" w:cs="Arial"/>
        </w:rPr>
        <w:t xml:space="preserve">For financial institution, Net profit margin refers how much return a firm generates from their interest income and non-interest based income after deducting the interest expense and other expenses. </w:t>
      </w:r>
      <w:r w:rsidR="00007BDB">
        <w:rPr>
          <w:rFonts w:ascii="Arial" w:hAnsi="Arial" w:cs="Arial"/>
        </w:rPr>
        <w:t>In</w:t>
      </w:r>
      <w:r w:rsidRPr="00934F24">
        <w:rPr>
          <w:rFonts w:ascii="Arial" w:hAnsi="Arial" w:cs="Arial"/>
        </w:rPr>
        <w:t xml:space="preserve"> 2018 IDLC generated 33.49% return from their revenues after deducting the </w:t>
      </w:r>
      <w:r w:rsidRPr="00934F24">
        <w:rPr>
          <w:rFonts w:ascii="Arial" w:hAnsi="Arial" w:cs="Arial"/>
        </w:rPr>
        <w:lastRenderedPageBreak/>
        <w:t xml:space="preserve">expenses or they earn 0.3349 BDT from 1 BDT revenues. In the last </w:t>
      </w:r>
      <w:r w:rsidR="00003A48">
        <w:rPr>
          <w:rFonts w:ascii="Arial" w:hAnsi="Arial" w:cs="Arial"/>
        </w:rPr>
        <w:t>5</w:t>
      </w:r>
      <w:r w:rsidRPr="00934F24">
        <w:rPr>
          <w:rFonts w:ascii="Arial" w:hAnsi="Arial" w:cs="Arial"/>
        </w:rPr>
        <w:t xml:space="preserve"> years, their net profit </w:t>
      </w:r>
      <w:proofErr w:type="gramStart"/>
      <w:r w:rsidRPr="00934F24">
        <w:rPr>
          <w:rFonts w:ascii="Arial" w:hAnsi="Arial" w:cs="Arial"/>
        </w:rPr>
        <w:t xml:space="preserve">margin </w:t>
      </w:r>
      <w:r>
        <w:rPr>
          <w:rFonts w:ascii="Arial" w:hAnsi="Arial" w:cs="Arial"/>
        </w:rPr>
        <w:t>vacillate</w:t>
      </w:r>
      <w:proofErr w:type="gramEnd"/>
      <w:r w:rsidRPr="00934F24">
        <w:rPr>
          <w:rFonts w:ascii="Arial" w:hAnsi="Arial" w:cs="Arial"/>
        </w:rPr>
        <w:t xml:space="preserve"> from one year to another year.</w:t>
      </w:r>
    </w:p>
    <w:p w:rsidR="009C5AAE" w:rsidRPr="00934F24" w:rsidRDefault="009C5AAE" w:rsidP="009C5AAE">
      <w:pPr>
        <w:autoSpaceDE w:val="0"/>
        <w:autoSpaceDN w:val="0"/>
        <w:adjustRightInd w:val="0"/>
        <w:spacing w:after="0" w:line="240" w:lineRule="auto"/>
        <w:jc w:val="both"/>
        <w:rPr>
          <w:rFonts w:ascii="Arial" w:hAnsi="Arial" w:cs="Arial"/>
        </w:rPr>
      </w:pPr>
    </w:p>
    <w:p w:rsidR="009C5AAE" w:rsidRPr="00934F24" w:rsidRDefault="009C5AAE" w:rsidP="009C5AAE">
      <w:pPr>
        <w:autoSpaceDE w:val="0"/>
        <w:autoSpaceDN w:val="0"/>
        <w:adjustRightInd w:val="0"/>
        <w:spacing w:after="0" w:line="240" w:lineRule="auto"/>
        <w:jc w:val="both"/>
        <w:rPr>
          <w:rFonts w:ascii="Arial" w:hAnsi="Arial" w:cs="Arial"/>
        </w:rPr>
      </w:pPr>
      <w:r w:rsidRPr="00934F24">
        <w:rPr>
          <w:rFonts w:ascii="Arial" w:hAnsi="Arial" w:cs="Arial"/>
        </w:rPr>
        <w:t xml:space="preserve">If we consider the fluctuation from 2015 to 2016, then we have found that both the interest income and non-interest based income had been declined from 2015 to 2016, still net profit after tax had been </w:t>
      </w:r>
      <w:r>
        <w:rPr>
          <w:rFonts w:ascii="Arial" w:hAnsi="Arial" w:cs="Arial"/>
        </w:rPr>
        <w:t>grown</w:t>
      </w:r>
      <w:r w:rsidRPr="00934F24">
        <w:rPr>
          <w:rFonts w:ascii="Arial" w:hAnsi="Arial" w:cs="Arial"/>
        </w:rPr>
        <w:t xml:space="preserve"> a lot from 2015 to 2016, because we have found that </w:t>
      </w:r>
      <w:r w:rsidR="00007BDB">
        <w:rPr>
          <w:rFonts w:ascii="Arial" w:hAnsi="Arial" w:cs="Arial"/>
        </w:rPr>
        <w:t>In</w:t>
      </w:r>
      <w:r w:rsidRPr="00934F24">
        <w:rPr>
          <w:rFonts w:ascii="Arial" w:hAnsi="Arial" w:cs="Arial"/>
        </w:rPr>
        <w:t xml:space="preserve"> 2016, IDLC needed to spend less interest expense compared to the year of 2015 which lead them to the </w:t>
      </w:r>
      <w:r>
        <w:rPr>
          <w:rFonts w:ascii="Arial" w:hAnsi="Arial" w:cs="Arial"/>
        </w:rPr>
        <w:t>grown</w:t>
      </w:r>
      <w:r w:rsidRPr="00934F24">
        <w:rPr>
          <w:rFonts w:ascii="Arial" w:hAnsi="Arial" w:cs="Arial"/>
        </w:rPr>
        <w:t xml:space="preserve"> net profit after tax. Decreased interest rate may be one of the reasons behind it. That’s the reason of getting higher net profit margin in 2016 and similarly, we can describe the reasons of net profit margin fluctuation for other years.</w:t>
      </w:r>
    </w:p>
    <w:p w:rsidR="009C5AAE" w:rsidRPr="00ED38E8" w:rsidRDefault="009C5AAE" w:rsidP="009C5AAE">
      <w:pPr>
        <w:spacing w:after="200" w:line="276" w:lineRule="auto"/>
        <w:rPr>
          <w:rFonts w:ascii="Arial" w:hAnsi="Arial" w:cs="Arial"/>
          <w:sz w:val="24"/>
          <w:szCs w:val="24"/>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44" w:name="_Toc18330037"/>
      <w:r w:rsidRPr="00ED38E8">
        <w:rPr>
          <w:rFonts w:ascii="Arial" w:eastAsia="Calibri" w:hAnsi="Arial" w:cs="Arial"/>
          <w:b/>
          <w:bCs/>
          <w:color w:val="984806" w:themeColor="accent6" w:themeShade="80"/>
          <w:sz w:val="28"/>
          <w:szCs w:val="28"/>
        </w:rPr>
        <w:t>4.1.6:</w:t>
      </w:r>
      <w:r w:rsidRPr="00ED38E8">
        <w:rPr>
          <w:rFonts w:ascii="Arial" w:hAnsi="Arial" w:cs="Arial"/>
          <w:b/>
          <w:bCs/>
          <w:color w:val="984806" w:themeColor="accent6" w:themeShade="80"/>
          <w:sz w:val="28"/>
          <w:szCs w:val="28"/>
        </w:rPr>
        <w:t xml:space="preserve"> </w:t>
      </w:r>
      <w:r w:rsidRPr="00ED38E8">
        <w:rPr>
          <w:rFonts w:ascii="Arial" w:eastAsia="Calibri" w:hAnsi="Arial" w:cs="Arial"/>
          <w:b/>
          <w:bCs/>
          <w:color w:val="984806" w:themeColor="accent6" w:themeShade="80"/>
          <w:sz w:val="28"/>
          <w:szCs w:val="28"/>
        </w:rPr>
        <w:t>Operating Profit Margin</w:t>
      </w:r>
      <w:bookmarkEnd w:id="44"/>
    </w:p>
    <w:p w:rsidR="009C5AAE" w:rsidRPr="00ED38E8" w:rsidRDefault="009C5AAE" w:rsidP="009C5AAE">
      <w:pPr>
        <w:spacing w:after="200" w:line="276" w:lineRule="auto"/>
        <w:rPr>
          <w:rFonts w:ascii="Arial" w:hAnsi="Arial" w:cs="Arial"/>
          <w:sz w:val="24"/>
          <w:szCs w:val="24"/>
        </w:rPr>
      </w:pPr>
    </w:p>
    <w:tbl>
      <w:tblPr>
        <w:tblStyle w:val="GridTable5Dark-Accent11"/>
        <w:tblW w:w="9886" w:type="dxa"/>
        <w:tblLook w:val="04A0" w:firstRow="1" w:lastRow="0" w:firstColumn="1" w:lastColumn="0" w:noHBand="0" w:noVBand="1"/>
      </w:tblPr>
      <w:tblGrid>
        <w:gridCol w:w="970"/>
        <w:gridCol w:w="1813"/>
        <w:gridCol w:w="1813"/>
        <w:gridCol w:w="1665"/>
        <w:gridCol w:w="1813"/>
        <w:gridCol w:w="1813"/>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9886" w:type="dxa"/>
            <w:gridSpan w:val="6"/>
            <w:noWrap/>
            <w:hideMark/>
          </w:tcPr>
          <w:p w:rsidR="009C5AAE" w:rsidRPr="00ED38E8" w:rsidRDefault="009C5AAE" w:rsidP="008C2D73">
            <w:pPr>
              <w:jc w:val="center"/>
              <w:rPr>
                <w:rFonts w:ascii="Arial" w:hAnsi="Arial" w:cs="Arial"/>
                <w:color w:val="000000"/>
              </w:rPr>
            </w:pPr>
            <w:r w:rsidRPr="00ED38E8">
              <w:rPr>
                <w:rFonts w:ascii="Arial" w:hAnsi="Arial" w:cs="Arial"/>
                <w:color w:val="000000"/>
              </w:rPr>
              <w:t>6. Operating Profit Margin=(Profit before provision/Total Revenue)</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0" w:type="auto"/>
            <w:noWrap/>
            <w:hideMark/>
          </w:tcPr>
          <w:p w:rsidR="009C5AAE" w:rsidRPr="00ED38E8" w:rsidRDefault="009C5AAE" w:rsidP="008C2D73">
            <w:pPr>
              <w:rPr>
                <w:rFonts w:ascii="Arial" w:hAnsi="Arial" w:cs="Arial"/>
                <w:color w:val="000000"/>
              </w:rPr>
            </w:pPr>
            <w:r w:rsidRPr="00ED38E8">
              <w:rPr>
                <w:rFonts w:ascii="Arial" w:hAnsi="Arial" w:cs="Arial"/>
                <w:color w:val="000000"/>
              </w:rPr>
              <w:t>Year</w:t>
            </w:r>
          </w:p>
        </w:tc>
        <w:tc>
          <w:tcPr>
            <w:tcW w:w="0" w:type="auto"/>
            <w:noWrap/>
            <w:hideMark/>
          </w:tcPr>
          <w:p w:rsidR="009C5AAE" w:rsidRPr="00ED38E8" w:rsidRDefault="009C5AAE" w:rsidP="008C2D73">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ED38E8">
              <w:rPr>
                <w:rFonts w:ascii="Arial" w:hAnsi="Arial" w:cs="Arial"/>
                <w:color w:val="000000"/>
              </w:rPr>
              <w:t>2014</w:t>
            </w:r>
          </w:p>
        </w:tc>
        <w:tc>
          <w:tcPr>
            <w:tcW w:w="0" w:type="auto"/>
            <w:noWrap/>
            <w:hideMark/>
          </w:tcPr>
          <w:p w:rsidR="009C5AAE" w:rsidRPr="00ED38E8" w:rsidRDefault="009C5AAE" w:rsidP="008C2D73">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ED38E8">
              <w:rPr>
                <w:rFonts w:ascii="Arial" w:hAnsi="Arial" w:cs="Arial"/>
                <w:color w:val="000000"/>
              </w:rPr>
              <w:t>2015</w:t>
            </w:r>
          </w:p>
        </w:tc>
        <w:tc>
          <w:tcPr>
            <w:tcW w:w="0" w:type="auto"/>
            <w:noWrap/>
            <w:hideMark/>
          </w:tcPr>
          <w:p w:rsidR="009C5AAE" w:rsidRPr="00ED38E8" w:rsidRDefault="009C5AAE" w:rsidP="008C2D73">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ED38E8">
              <w:rPr>
                <w:rFonts w:ascii="Arial" w:hAnsi="Arial" w:cs="Arial"/>
                <w:color w:val="000000"/>
              </w:rPr>
              <w:t>2016</w:t>
            </w:r>
          </w:p>
        </w:tc>
        <w:tc>
          <w:tcPr>
            <w:tcW w:w="0" w:type="auto"/>
            <w:noWrap/>
            <w:hideMark/>
          </w:tcPr>
          <w:p w:rsidR="009C5AAE" w:rsidRPr="00ED38E8" w:rsidRDefault="009C5AAE" w:rsidP="008C2D73">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ED38E8">
              <w:rPr>
                <w:rFonts w:ascii="Arial" w:hAnsi="Arial" w:cs="Arial"/>
                <w:color w:val="000000"/>
              </w:rPr>
              <w:t>2017</w:t>
            </w:r>
          </w:p>
        </w:tc>
        <w:tc>
          <w:tcPr>
            <w:tcW w:w="0" w:type="auto"/>
            <w:noWrap/>
            <w:hideMark/>
          </w:tcPr>
          <w:p w:rsidR="009C5AAE" w:rsidRPr="00ED38E8" w:rsidRDefault="009C5AAE" w:rsidP="008C2D73">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ED38E8">
              <w:rPr>
                <w:rFonts w:ascii="Arial" w:hAnsi="Arial" w:cs="Arial"/>
                <w:color w:val="000000"/>
              </w:rPr>
              <w:t>2018</w:t>
            </w:r>
          </w:p>
        </w:tc>
      </w:tr>
      <w:tr w:rsidR="009C5AAE" w:rsidRPr="00ED38E8" w:rsidTr="008C2D73">
        <w:trPr>
          <w:trHeight w:val="400"/>
        </w:trPr>
        <w:tc>
          <w:tcPr>
            <w:cnfStyle w:val="001000000000" w:firstRow="0" w:lastRow="0" w:firstColumn="1" w:lastColumn="0" w:oddVBand="0" w:evenVBand="0" w:oddHBand="0" w:evenHBand="0" w:firstRowFirstColumn="0" w:firstRowLastColumn="0" w:lastRowFirstColumn="0" w:lastRowLastColumn="0"/>
            <w:tcW w:w="0" w:type="auto"/>
            <w:noWrap/>
            <w:hideMark/>
          </w:tcPr>
          <w:p w:rsidR="009C5AAE" w:rsidRPr="00ED38E8" w:rsidRDefault="009C5AAE" w:rsidP="008C2D73">
            <w:pPr>
              <w:rPr>
                <w:rFonts w:ascii="Arial" w:hAnsi="Arial" w:cs="Arial"/>
                <w:color w:val="000000"/>
              </w:rPr>
            </w:pPr>
            <w:r w:rsidRPr="00ED38E8">
              <w:rPr>
                <w:rFonts w:ascii="Arial" w:hAnsi="Arial" w:cs="Arial"/>
                <w:color w:val="000000"/>
              </w:rPr>
              <w:t>Value</w:t>
            </w:r>
          </w:p>
        </w:tc>
        <w:tc>
          <w:tcPr>
            <w:tcW w:w="0" w:type="auto"/>
            <w:noWrap/>
            <w:hideMark/>
          </w:tcPr>
          <w:p w:rsidR="009C5AAE" w:rsidRPr="00ED38E8" w:rsidRDefault="009C5AAE" w:rsidP="008C2D7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D38E8">
              <w:rPr>
                <w:rFonts w:ascii="Arial" w:hAnsi="Arial" w:cs="Arial"/>
                <w:color w:val="000000"/>
              </w:rPr>
              <w:t>0.265943127</w:t>
            </w:r>
          </w:p>
        </w:tc>
        <w:tc>
          <w:tcPr>
            <w:tcW w:w="0" w:type="auto"/>
            <w:noWrap/>
            <w:hideMark/>
          </w:tcPr>
          <w:p w:rsidR="009C5AAE" w:rsidRPr="00ED38E8" w:rsidRDefault="009C5AAE" w:rsidP="008C2D7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D38E8">
              <w:rPr>
                <w:rFonts w:ascii="Arial" w:hAnsi="Arial" w:cs="Arial"/>
                <w:color w:val="000000"/>
              </w:rPr>
              <w:t>0.292114964</w:t>
            </w:r>
          </w:p>
        </w:tc>
        <w:tc>
          <w:tcPr>
            <w:tcW w:w="0" w:type="auto"/>
            <w:noWrap/>
            <w:hideMark/>
          </w:tcPr>
          <w:p w:rsidR="009C5AAE" w:rsidRPr="00ED38E8" w:rsidRDefault="009C5AAE" w:rsidP="008C2D7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D38E8">
              <w:rPr>
                <w:rFonts w:ascii="Arial" w:hAnsi="Arial" w:cs="Arial"/>
                <w:color w:val="000000"/>
              </w:rPr>
              <w:t>0.30408571</w:t>
            </w:r>
          </w:p>
        </w:tc>
        <w:tc>
          <w:tcPr>
            <w:tcW w:w="0" w:type="auto"/>
            <w:noWrap/>
            <w:hideMark/>
          </w:tcPr>
          <w:p w:rsidR="009C5AAE" w:rsidRPr="00ED38E8" w:rsidRDefault="009C5AAE" w:rsidP="008C2D7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D38E8">
              <w:rPr>
                <w:rFonts w:ascii="Arial" w:hAnsi="Arial" w:cs="Arial"/>
                <w:color w:val="000000"/>
              </w:rPr>
              <w:t>0.295474001</w:t>
            </w:r>
          </w:p>
        </w:tc>
        <w:tc>
          <w:tcPr>
            <w:tcW w:w="0" w:type="auto"/>
            <w:noWrap/>
            <w:hideMark/>
          </w:tcPr>
          <w:p w:rsidR="009C5AAE" w:rsidRPr="00ED38E8" w:rsidRDefault="009C5AAE" w:rsidP="008C2D7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D38E8">
              <w:rPr>
                <w:rFonts w:ascii="Arial" w:hAnsi="Arial" w:cs="Arial"/>
                <w:color w:val="000000"/>
              </w:rPr>
              <w:t>0.238212048</w:t>
            </w:r>
          </w:p>
        </w:tc>
      </w:tr>
    </w:tbl>
    <w:p w:rsidR="009C5AAE" w:rsidRPr="00ED38E8" w:rsidRDefault="009C5AAE" w:rsidP="009C5AAE">
      <w:pPr>
        <w:spacing w:after="200" w:line="276" w:lineRule="auto"/>
        <w:rPr>
          <w:rFonts w:ascii="Arial" w:hAnsi="Arial" w:cs="Arial"/>
          <w:sz w:val="24"/>
          <w:szCs w:val="24"/>
        </w:rPr>
      </w:pPr>
    </w:p>
    <w:p w:rsidR="009C5AAE" w:rsidRPr="00ED38E8" w:rsidRDefault="009C5AAE" w:rsidP="009C5AAE">
      <w:pPr>
        <w:spacing w:after="200" w:line="276" w:lineRule="auto"/>
        <w:rPr>
          <w:rFonts w:ascii="Arial" w:hAnsi="Arial" w:cs="Arial"/>
          <w:sz w:val="24"/>
          <w:szCs w:val="24"/>
        </w:rPr>
      </w:pPr>
    </w:p>
    <w:p w:rsidR="009C5AAE" w:rsidRPr="00ED38E8" w:rsidRDefault="009C5AAE" w:rsidP="009C5AAE">
      <w:pPr>
        <w:spacing w:after="200" w:line="276" w:lineRule="auto"/>
        <w:rPr>
          <w:rFonts w:ascii="Arial" w:hAnsi="Arial" w:cs="Arial"/>
          <w:sz w:val="24"/>
          <w:szCs w:val="24"/>
        </w:rPr>
      </w:pPr>
      <w:r w:rsidRPr="00ED38E8">
        <w:rPr>
          <w:rFonts w:ascii="Arial" w:hAnsi="Arial" w:cs="Arial"/>
          <w:noProof/>
        </w:rPr>
        <w:drawing>
          <wp:inline distT="0" distB="0" distL="0" distR="0" wp14:anchorId="28B608F5" wp14:editId="6A82734C">
            <wp:extent cx="6128657" cy="3472543"/>
            <wp:effectExtent l="0" t="0" r="24765" b="13970"/>
            <wp:docPr id="165106" name="Chart 16510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F6A3663B-F4CD-486F-B6EA-31D280E7A3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Pr="00ED38E8">
        <w:rPr>
          <w:rFonts w:ascii="Arial" w:hAnsi="Arial" w:cs="Arial"/>
          <w:sz w:val="24"/>
          <w:szCs w:val="24"/>
        </w:rPr>
        <w:t xml:space="preserve"> </w:t>
      </w:r>
    </w:p>
    <w:p w:rsidR="009C5AAE" w:rsidRPr="00934F24" w:rsidRDefault="009C5AAE" w:rsidP="009C5AAE">
      <w:pPr>
        <w:autoSpaceDE w:val="0"/>
        <w:autoSpaceDN w:val="0"/>
        <w:adjustRightInd w:val="0"/>
        <w:spacing w:after="0" w:line="240" w:lineRule="auto"/>
        <w:jc w:val="both"/>
        <w:rPr>
          <w:rFonts w:ascii="Arial" w:hAnsi="Arial" w:cs="Arial"/>
        </w:rPr>
      </w:pPr>
      <w:r w:rsidRPr="00934F24">
        <w:rPr>
          <w:rFonts w:ascii="Arial" w:hAnsi="Arial" w:cs="Arial"/>
        </w:rPr>
        <w:t xml:space="preserve">Operating profit margin for IDLC refers that how much return it generates from the revenue through interest income, non-interest based income before deducting the tax and provision. </w:t>
      </w:r>
      <w:r w:rsidRPr="00934F24">
        <w:rPr>
          <w:rFonts w:ascii="Arial" w:hAnsi="Arial" w:cs="Arial"/>
        </w:rPr>
        <w:lastRenderedPageBreak/>
        <w:t xml:space="preserve">Similar like net profit margin, we found the fluctuate rate in the last </w:t>
      </w:r>
      <w:r w:rsidR="00003A48">
        <w:rPr>
          <w:rFonts w:ascii="Arial" w:hAnsi="Arial" w:cs="Arial"/>
        </w:rPr>
        <w:t>5</w:t>
      </w:r>
      <w:r w:rsidRPr="00934F24">
        <w:rPr>
          <w:rFonts w:ascii="Arial" w:hAnsi="Arial" w:cs="Arial"/>
        </w:rPr>
        <w:t xml:space="preserve"> years and </w:t>
      </w:r>
      <w:r w:rsidR="00007BDB">
        <w:rPr>
          <w:rFonts w:ascii="Arial" w:hAnsi="Arial" w:cs="Arial"/>
        </w:rPr>
        <w:t>In</w:t>
      </w:r>
      <w:r w:rsidRPr="00934F24">
        <w:rPr>
          <w:rFonts w:ascii="Arial" w:hAnsi="Arial" w:cs="Arial"/>
        </w:rPr>
        <w:t xml:space="preserve"> 2018, IDLC generates 23.82% profit before provision from their revenues or get 0.2382 BDT from 1 BDT revenue. If we consider only the fluctuation from 2015 to 2016, we can give the similar reason that described in the case of net profit margin rate fluctuation from 2015 to 2016. </w:t>
      </w: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45" w:name="_Toc18330038"/>
      <w:r w:rsidRPr="00ED38E8">
        <w:rPr>
          <w:rFonts w:ascii="Arial" w:eastAsia="Calibri" w:hAnsi="Arial" w:cs="Arial"/>
          <w:b/>
          <w:bCs/>
          <w:color w:val="984806" w:themeColor="accent6" w:themeShade="80"/>
          <w:sz w:val="28"/>
          <w:szCs w:val="28"/>
        </w:rPr>
        <w:t>4.1.7: Return on Total Asset</w:t>
      </w:r>
      <w:bookmarkEnd w:id="45"/>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9771" w:type="dxa"/>
        <w:tblLook w:val="04A0" w:firstRow="1" w:lastRow="0" w:firstColumn="1" w:lastColumn="0" w:noHBand="0" w:noVBand="1"/>
      </w:tblPr>
      <w:tblGrid>
        <w:gridCol w:w="893"/>
        <w:gridCol w:w="1673"/>
        <w:gridCol w:w="1844"/>
        <w:gridCol w:w="1673"/>
        <w:gridCol w:w="1844"/>
        <w:gridCol w:w="1844"/>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9771"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7. Return on Total Asset= (Net profit after tax/Total assets)</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893"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673"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44"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73"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44"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44"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689"/>
        </w:trPr>
        <w:tc>
          <w:tcPr>
            <w:cnfStyle w:val="001000000000" w:firstRow="0" w:lastRow="0" w:firstColumn="1" w:lastColumn="0" w:oddVBand="0" w:evenVBand="0" w:oddHBand="0" w:evenHBand="0" w:firstRowFirstColumn="0" w:firstRowLastColumn="0" w:lastRowFirstColumn="0" w:lastRowLastColumn="0"/>
            <w:tcW w:w="893"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673"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0.04984612</w:t>
            </w:r>
          </w:p>
        </w:tc>
        <w:tc>
          <w:tcPr>
            <w:tcW w:w="1844"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0.044541317</w:t>
            </w:r>
          </w:p>
        </w:tc>
        <w:tc>
          <w:tcPr>
            <w:tcW w:w="1673"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0.04614486</w:t>
            </w:r>
          </w:p>
        </w:tc>
        <w:tc>
          <w:tcPr>
            <w:tcW w:w="1844"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0.041081841</w:t>
            </w:r>
          </w:p>
        </w:tc>
        <w:tc>
          <w:tcPr>
            <w:tcW w:w="1844"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0.037323764</w:t>
            </w:r>
          </w:p>
        </w:tc>
      </w:tr>
    </w:tbl>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rPr>
          <w:rFonts w:ascii="Arial" w:hAnsi="Arial" w:cs="Arial"/>
          <w:sz w:val="32"/>
          <w:szCs w:val="32"/>
        </w:rPr>
      </w:pPr>
      <w:r w:rsidRPr="00ED38E8">
        <w:rPr>
          <w:rFonts w:ascii="Arial" w:hAnsi="Arial" w:cs="Arial"/>
          <w:noProof/>
        </w:rPr>
        <w:drawing>
          <wp:inline distT="0" distB="0" distL="0" distR="0" wp14:anchorId="298E11B6" wp14:editId="4A4A4A8F">
            <wp:extent cx="6019800" cy="3581400"/>
            <wp:effectExtent l="0" t="0" r="19050" b="19050"/>
            <wp:docPr id="165107" name="Chart 16510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ADA3CB2A-8340-43BB-AA7F-9E964CBCC4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9C5AAE" w:rsidRPr="00ED38E8" w:rsidRDefault="009C5AAE" w:rsidP="009C5AAE">
      <w:pPr>
        <w:rPr>
          <w:rFonts w:ascii="Arial" w:hAnsi="Arial" w:cs="Arial"/>
          <w:sz w:val="32"/>
          <w:szCs w:val="32"/>
        </w:rPr>
      </w:pPr>
    </w:p>
    <w:p w:rsidR="009C5AAE" w:rsidRPr="00934F24" w:rsidRDefault="009C5AAE" w:rsidP="009C5AAE">
      <w:pPr>
        <w:autoSpaceDE w:val="0"/>
        <w:autoSpaceDN w:val="0"/>
        <w:adjustRightInd w:val="0"/>
        <w:spacing w:after="0" w:line="240" w:lineRule="auto"/>
        <w:jc w:val="both"/>
        <w:rPr>
          <w:rFonts w:ascii="Arial" w:hAnsi="Arial" w:cs="Arial"/>
        </w:rPr>
      </w:pPr>
      <w:r w:rsidRPr="00934F24">
        <w:rPr>
          <w:rFonts w:ascii="Arial" w:hAnsi="Arial" w:cs="Arial"/>
        </w:rPr>
        <w:t xml:space="preserve">Return on total assets or ROA indicates how efficiently a firm uses its total assets to generate net income. </w:t>
      </w:r>
      <w:r>
        <w:rPr>
          <w:rFonts w:ascii="Arial" w:hAnsi="Arial" w:cs="Arial"/>
        </w:rPr>
        <w:t>T</w:t>
      </w:r>
      <w:r w:rsidRPr="00934F24">
        <w:rPr>
          <w:rFonts w:ascii="Arial" w:hAnsi="Arial" w:cs="Arial"/>
        </w:rPr>
        <w:t xml:space="preserve">he information of IDLC, we find that </w:t>
      </w:r>
      <w:proofErr w:type="gramStart"/>
      <w:r w:rsidR="00007BDB">
        <w:rPr>
          <w:rFonts w:ascii="Arial" w:hAnsi="Arial" w:cs="Arial"/>
        </w:rPr>
        <w:t>In</w:t>
      </w:r>
      <w:proofErr w:type="gramEnd"/>
      <w:r w:rsidRPr="00934F24">
        <w:rPr>
          <w:rFonts w:ascii="Arial" w:hAnsi="Arial" w:cs="Arial"/>
        </w:rPr>
        <w:t xml:space="preserve"> 2018, they generated 0.37% from their total asset. Actually, in the last </w:t>
      </w:r>
      <w:r w:rsidR="00003A48">
        <w:rPr>
          <w:rFonts w:ascii="Arial" w:hAnsi="Arial" w:cs="Arial"/>
        </w:rPr>
        <w:t>5</w:t>
      </w:r>
      <w:r w:rsidRPr="00934F24">
        <w:rPr>
          <w:rFonts w:ascii="Arial" w:hAnsi="Arial" w:cs="Arial"/>
        </w:rPr>
        <w:t xml:space="preserve"> year, the rate had been declined from one year to another year. If we evaluate their debt to total asset ratio and their </w:t>
      </w:r>
      <w:r>
        <w:rPr>
          <w:rFonts w:ascii="Arial" w:hAnsi="Arial" w:cs="Arial"/>
        </w:rPr>
        <w:t>grown</w:t>
      </w:r>
      <w:r w:rsidRPr="00934F24">
        <w:rPr>
          <w:rFonts w:ascii="Arial" w:hAnsi="Arial" w:cs="Arial"/>
        </w:rPr>
        <w:t xml:space="preserve"> amount of total liabilities from 2014 to 2015, then we can find the reason of their low return. Again, they were not able to make enough income from their assigned loans.</w:t>
      </w: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46" w:name="_Toc18330039"/>
      <w:r w:rsidRPr="00ED38E8">
        <w:rPr>
          <w:rFonts w:ascii="Arial" w:eastAsia="Calibri" w:hAnsi="Arial" w:cs="Arial"/>
          <w:b/>
          <w:bCs/>
          <w:color w:val="984806" w:themeColor="accent6" w:themeShade="80"/>
          <w:sz w:val="28"/>
          <w:szCs w:val="28"/>
        </w:rPr>
        <w:t>4.1.8: Return on Equity</w:t>
      </w:r>
      <w:bookmarkEnd w:id="46"/>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9841" w:type="dxa"/>
        <w:tblLook w:val="04A0" w:firstRow="1" w:lastRow="0" w:firstColumn="1" w:lastColumn="0" w:noHBand="0" w:noVBand="1"/>
      </w:tblPr>
      <w:tblGrid>
        <w:gridCol w:w="900"/>
        <w:gridCol w:w="1857"/>
        <w:gridCol w:w="1685"/>
        <w:gridCol w:w="1685"/>
        <w:gridCol w:w="1857"/>
        <w:gridCol w:w="1857"/>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9841" w:type="dxa"/>
            <w:gridSpan w:val="6"/>
            <w:noWrap/>
            <w:hideMark/>
          </w:tcPr>
          <w:p w:rsidR="009C5AAE" w:rsidRPr="00ED38E8" w:rsidRDefault="009C5AAE" w:rsidP="008C2D73">
            <w:pPr>
              <w:tabs>
                <w:tab w:val="left" w:pos="390"/>
                <w:tab w:val="center" w:pos="4812"/>
              </w:tabs>
              <w:spacing w:after="0" w:line="240" w:lineRule="auto"/>
              <w:rPr>
                <w:rFonts w:ascii="Arial" w:eastAsia="Times New Roman" w:hAnsi="Arial" w:cs="Arial"/>
                <w:color w:val="000000"/>
              </w:rPr>
            </w:pPr>
            <w:r w:rsidRPr="00ED38E8">
              <w:rPr>
                <w:rFonts w:ascii="Arial" w:eastAsia="Times New Roman" w:hAnsi="Arial" w:cs="Arial"/>
                <w:color w:val="000000"/>
              </w:rPr>
              <w:tab/>
            </w:r>
            <w:r w:rsidRPr="00ED38E8">
              <w:rPr>
                <w:rFonts w:ascii="Arial" w:eastAsia="Times New Roman" w:hAnsi="Arial" w:cs="Arial"/>
                <w:color w:val="000000"/>
              </w:rPr>
              <w:tab/>
              <w:t>8. Return on Equity= (Net profit after tax/Total shareholders' equity)</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900"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5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685"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85"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5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5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627"/>
        </w:trPr>
        <w:tc>
          <w:tcPr>
            <w:cnfStyle w:val="001000000000" w:firstRow="0" w:lastRow="0" w:firstColumn="1" w:lastColumn="0" w:oddVBand="0" w:evenVBand="0" w:oddHBand="0" w:evenHBand="0" w:firstRowFirstColumn="0" w:firstRowLastColumn="0" w:lastRowFirstColumn="0" w:lastRowLastColumn="0"/>
            <w:tcW w:w="900"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5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0.500398655</w:t>
            </w:r>
          </w:p>
        </w:tc>
        <w:tc>
          <w:tcPr>
            <w:tcW w:w="1685"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0.47452694</w:t>
            </w:r>
          </w:p>
        </w:tc>
        <w:tc>
          <w:tcPr>
            <w:tcW w:w="1685"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0.46423854</w:t>
            </w:r>
          </w:p>
        </w:tc>
        <w:tc>
          <w:tcPr>
            <w:tcW w:w="185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0.359976799</w:t>
            </w:r>
          </w:p>
        </w:tc>
        <w:tc>
          <w:tcPr>
            <w:tcW w:w="185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0.355963746</w:t>
            </w:r>
          </w:p>
        </w:tc>
      </w:tr>
    </w:tbl>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r w:rsidRPr="00ED38E8">
        <w:rPr>
          <w:rFonts w:ascii="Arial" w:hAnsi="Arial" w:cs="Arial"/>
          <w:noProof/>
        </w:rPr>
        <w:drawing>
          <wp:inline distT="0" distB="0" distL="0" distR="0" wp14:anchorId="1F1B28D1" wp14:editId="6FF99DBC">
            <wp:extent cx="6172200" cy="3037114"/>
            <wp:effectExtent l="0" t="0" r="19050" b="11430"/>
            <wp:docPr id="165108" name="Chart 16510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FA50FAFC-93FA-4CAE-BB4A-DD3375A8D1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9C5AAE" w:rsidRPr="00ED38E8" w:rsidRDefault="009C5AAE" w:rsidP="009C5AAE">
      <w:pPr>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r w:rsidRPr="00934F24">
        <w:rPr>
          <w:rFonts w:ascii="Arial" w:hAnsi="Arial" w:cs="Arial"/>
        </w:rPr>
        <w:t xml:space="preserve">It is known to us that return on equity refers the income the shareholders generate from their invested capital or it indicates how well a company uses investment to generate earning growth. If we evaluate the last </w:t>
      </w:r>
      <w:r>
        <w:rPr>
          <w:rFonts w:ascii="Arial" w:hAnsi="Arial" w:cs="Arial"/>
        </w:rPr>
        <w:t>few</w:t>
      </w:r>
      <w:r w:rsidRPr="00934F24">
        <w:rPr>
          <w:rFonts w:ascii="Arial" w:hAnsi="Arial" w:cs="Arial"/>
        </w:rPr>
        <w:t xml:space="preserve"> years ROE of IDLC, we found fluctuate rate of it. If we consider only the time period from 2017 to 2018 to describe the changes of ROE, we have found that total shareholders’ equity had been </w:t>
      </w:r>
      <w:r>
        <w:rPr>
          <w:rFonts w:ascii="Arial" w:hAnsi="Arial" w:cs="Arial"/>
        </w:rPr>
        <w:t>grown</w:t>
      </w:r>
      <w:r w:rsidRPr="00934F24">
        <w:rPr>
          <w:rFonts w:ascii="Arial" w:hAnsi="Arial" w:cs="Arial"/>
        </w:rPr>
        <w:t xml:space="preserve"> from 2017 to 2018 and the rate is ((20831809735- 20707454946)/ 20707454946)) × 100 = 0.6% and the net profit after tax had also been changed from the 2017 to 2018 and the rate is ((2716335721-2282608954)/ 2282608954) × 100 = 19%. Though both the shareholders’ equity and net profit had been </w:t>
      </w:r>
      <w:r>
        <w:rPr>
          <w:rFonts w:ascii="Arial" w:hAnsi="Arial" w:cs="Arial"/>
        </w:rPr>
        <w:t>grown</w:t>
      </w:r>
      <w:r w:rsidRPr="00934F24">
        <w:rPr>
          <w:rFonts w:ascii="Arial" w:hAnsi="Arial" w:cs="Arial"/>
        </w:rPr>
        <w:t xml:space="preserve">, still ROE had been </w:t>
      </w:r>
      <w:r>
        <w:rPr>
          <w:rFonts w:ascii="Arial" w:hAnsi="Arial" w:cs="Arial"/>
        </w:rPr>
        <w:t>grown</w:t>
      </w:r>
      <w:r w:rsidRPr="00934F24">
        <w:rPr>
          <w:rFonts w:ascii="Arial" w:hAnsi="Arial" w:cs="Arial"/>
        </w:rPr>
        <w:t xml:space="preserve"> because of more </w:t>
      </w:r>
      <w:r>
        <w:rPr>
          <w:rFonts w:ascii="Arial" w:hAnsi="Arial" w:cs="Arial"/>
        </w:rPr>
        <w:t>grown</w:t>
      </w:r>
      <w:r w:rsidRPr="00934F24">
        <w:rPr>
          <w:rFonts w:ascii="Arial" w:hAnsi="Arial" w:cs="Arial"/>
        </w:rPr>
        <w:t xml:space="preserve"> rate of net profit. Firm might more efficiently use their assets to generate more profits. A very clear discussion will be given under “Aggregate ROE Model” to get the actual reasons of changing of ROE</w:t>
      </w:r>
      <w:r w:rsidRPr="00ED38E8">
        <w:rPr>
          <w:rFonts w:ascii="Arial" w:hAnsi="Arial" w:cs="Arial"/>
          <w:sz w:val="24"/>
          <w:szCs w:val="24"/>
        </w:rPr>
        <w:t>.</w:t>
      </w:r>
    </w:p>
    <w:p w:rsidR="009C5AAE" w:rsidRPr="00ED38E8" w:rsidRDefault="009C5AAE" w:rsidP="009C5AAE">
      <w:pPr>
        <w:autoSpaceDE w:val="0"/>
        <w:autoSpaceDN w:val="0"/>
        <w:adjustRightInd w:val="0"/>
        <w:spacing w:after="0" w:line="240" w:lineRule="auto"/>
        <w:jc w:val="both"/>
        <w:rPr>
          <w:rFonts w:ascii="Arial" w:hAnsi="Arial" w:cs="Arial"/>
        </w:rPr>
      </w:pPr>
    </w:p>
    <w:p w:rsidR="009C5AAE" w:rsidRDefault="009C5AAE" w:rsidP="009C5AAE">
      <w:pPr>
        <w:pStyle w:val="Heading3"/>
        <w:rPr>
          <w:rFonts w:ascii="Arial" w:eastAsia="Calibri" w:hAnsi="Arial" w:cs="Arial"/>
          <w:b/>
          <w:bCs/>
          <w:color w:val="984806" w:themeColor="accent6" w:themeShade="80"/>
          <w:sz w:val="28"/>
          <w:szCs w:val="28"/>
        </w:rPr>
      </w:pPr>
      <w:bookmarkStart w:id="47" w:name="_Toc18330040"/>
    </w:p>
    <w:p w:rsidR="009C5AAE" w:rsidRDefault="009C5AAE" w:rsidP="009C5AAE">
      <w:pPr>
        <w:pStyle w:val="Heading3"/>
        <w:rPr>
          <w:rFonts w:ascii="Arial" w:eastAsia="Calibri" w:hAnsi="Arial" w:cs="Arial"/>
          <w:b/>
          <w:bCs/>
          <w:color w:val="984806" w:themeColor="accent6" w:themeShade="80"/>
          <w:sz w:val="28"/>
          <w:szCs w:val="28"/>
        </w:rPr>
      </w:pPr>
    </w:p>
    <w:p w:rsidR="009C5AAE" w:rsidRPr="00934F24" w:rsidRDefault="009C5AAE" w:rsidP="009C5AAE">
      <w:pPr>
        <w:pStyle w:val="Heading3"/>
        <w:rPr>
          <w:rFonts w:ascii="Arial" w:eastAsia="Calibri" w:hAnsi="Arial" w:cs="Arial"/>
          <w:b/>
          <w:bCs/>
          <w:color w:val="984806" w:themeColor="accent6" w:themeShade="80"/>
          <w:sz w:val="28"/>
          <w:szCs w:val="28"/>
        </w:rPr>
      </w:pPr>
      <w:r w:rsidRPr="00ED38E8">
        <w:rPr>
          <w:rFonts w:ascii="Arial" w:eastAsia="Calibri" w:hAnsi="Arial" w:cs="Arial"/>
          <w:b/>
          <w:bCs/>
          <w:color w:val="984806" w:themeColor="accent6" w:themeShade="80"/>
          <w:sz w:val="28"/>
          <w:szCs w:val="28"/>
        </w:rPr>
        <w:t>4.1.9: Return on Capital Employed</w:t>
      </w:r>
      <w:bookmarkEnd w:id="47"/>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9785" w:type="dxa"/>
        <w:tblLook w:val="04A0" w:firstRow="1" w:lastRow="0" w:firstColumn="1" w:lastColumn="0" w:noHBand="0" w:noVBand="1"/>
      </w:tblPr>
      <w:tblGrid>
        <w:gridCol w:w="892"/>
        <w:gridCol w:w="1812"/>
        <w:gridCol w:w="1812"/>
        <w:gridCol w:w="1644"/>
        <w:gridCol w:w="1812"/>
        <w:gridCol w:w="1813"/>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9784"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9. Return on Capital Employed= (Profit Before Provision/Total Capital)</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892"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1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1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44"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1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13"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642"/>
        </w:trPr>
        <w:tc>
          <w:tcPr>
            <w:cnfStyle w:val="001000000000" w:firstRow="0" w:lastRow="0" w:firstColumn="1" w:lastColumn="0" w:oddVBand="0" w:evenVBand="0" w:oddHBand="0" w:evenHBand="0" w:firstRowFirstColumn="0" w:firstRowLastColumn="0" w:lastRowFirstColumn="0" w:lastRowLastColumn="0"/>
            <w:tcW w:w="892"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1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0.366957654</w:t>
            </w:r>
          </w:p>
        </w:tc>
        <w:tc>
          <w:tcPr>
            <w:tcW w:w="181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0.381069033</w:t>
            </w:r>
          </w:p>
        </w:tc>
        <w:tc>
          <w:tcPr>
            <w:tcW w:w="1644"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0.36219221</w:t>
            </w:r>
          </w:p>
        </w:tc>
        <w:tc>
          <w:tcPr>
            <w:tcW w:w="181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0.271270798</w:t>
            </w:r>
          </w:p>
        </w:tc>
        <w:tc>
          <w:tcPr>
            <w:tcW w:w="1813"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0.253167934</w:t>
            </w:r>
          </w:p>
        </w:tc>
      </w:tr>
    </w:tbl>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r w:rsidRPr="00ED38E8">
        <w:rPr>
          <w:rFonts w:ascii="Arial" w:hAnsi="Arial" w:cs="Arial"/>
          <w:noProof/>
        </w:rPr>
        <w:drawing>
          <wp:inline distT="0" distB="0" distL="0" distR="0" wp14:anchorId="56251DE5" wp14:editId="68F8C9E8">
            <wp:extent cx="6161314" cy="2884714"/>
            <wp:effectExtent l="0" t="0" r="11430" b="11430"/>
            <wp:docPr id="165109" name="Chart 16510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27DEA14F-07DC-42D5-90F8-E12DB6CB86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9C5AAE" w:rsidRPr="00ED38E8" w:rsidRDefault="009C5AAE" w:rsidP="009C5AAE">
      <w:pPr>
        <w:rPr>
          <w:rFonts w:ascii="Arial" w:hAnsi="Arial" w:cs="Arial"/>
        </w:rPr>
      </w:pPr>
    </w:p>
    <w:p w:rsidR="009C5AAE" w:rsidRPr="00934F24" w:rsidRDefault="009C5AAE" w:rsidP="009C5AAE">
      <w:pPr>
        <w:autoSpaceDE w:val="0"/>
        <w:autoSpaceDN w:val="0"/>
        <w:adjustRightInd w:val="0"/>
        <w:spacing w:after="0" w:line="240" w:lineRule="auto"/>
        <w:jc w:val="both"/>
        <w:rPr>
          <w:rFonts w:ascii="Arial" w:hAnsi="Arial" w:cs="Arial"/>
        </w:rPr>
      </w:pPr>
      <w:r w:rsidRPr="00934F24">
        <w:rPr>
          <w:rFonts w:ascii="Arial" w:hAnsi="Arial" w:cs="Arial"/>
        </w:rPr>
        <w:t>In simple terms return on capital employed refers that how much return a firm generates from efficiently employing the capital. It is a ratio that shows both the efficiency and profitability of a firm. We have found the capital of IDLC by deducting the total liabilities from the total assets. In 2018, against th</w:t>
      </w:r>
      <w:r>
        <w:rPr>
          <w:rFonts w:ascii="Arial" w:hAnsi="Arial" w:cs="Arial"/>
        </w:rPr>
        <w:t xml:space="preserve">e 1 BDT capital employed, IDLC </w:t>
      </w:r>
      <w:r w:rsidRPr="00934F24">
        <w:rPr>
          <w:rFonts w:ascii="Arial" w:hAnsi="Arial" w:cs="Arial"/>
        </w:rPr>
        <w:t xml:space="preserve">generated 25.31% return. From the year 2014 to 2018, we have found a declining return on capital employed ratio. If we consider only the period of 2016-17 and after analyzing the annual report, we have found that though both the profit before provision and total capital had been </w:t>
      </w:r>
      <w:r>
        <w:rPr>
          <w:rFonts w:ascii="Arial" w:hAnsi="Arial" w:cs="Arial"/>
        </w:rPr>
        <w:t>grown</w:t>
      </w:r>
      <w:r w:rsidRPr="00934F24">
        <w:rPr>
          <w:rFonts w:ascii="Arial" w:hAnsi="Arial" w:cs="Arial"/>
        </w:rPr>
        <w:t xml:space="preserve">, but </w:t>
      </w:r>
      <w:r>
        <w:rPr>
          <w:rFonts w:ascii="Arial" w:hAnsi="Arial" w:cs="Arial"/>
        </w:rPr>
        <w:t>grown</w:t>
      </w:r>
      <w:r w:rsidRPr="00934F24">
        <w:rPr>
          <w:rFonts w:ascii="Arial" w:hAnsi="Arial" w:cs="Arial"/>
        </w:rPr>
        <w:t xml:space="preserve"> rate of total capital is less than profit before provision which lead the </w:t>
      </w:r>
      <w:r>
        <w:rPr>
          <w:rFonts w:ascii="Arial" w:hAnsi="Arial" w:cs="Arial"/>
        </w:rPr>
        <w:t>grown</w:t>
      </w:r>
      <w:r w:rsidRPr="00934F24">
        <w:rPr>
          <w:rFonts w:ascii="Arial" w:hAnsi="Arial" w:cs="Arial"/>
        </w:rPr>
        <w:t xml:space="preserve"> rate of this ratio which indicates the more efficiency of IDLC.</w:t>
      </w: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48" w:name="_Toc18330041"/>
      <w:r w:rsidRPr="00ED38E8">
        <w:rPr>
          <w:rFonts w:ascii="Arial" w:eastAsia="Calibri" w:hAnsi="Arial" w:cs="Arial"/>
          <w:b/>
          <w:bCs/>
          <w:color w:val="984806" w:themeColor="accent6" w:themeShade="80"/>
          <w:sz w:val="28"/>
          <w:szCs w:val="28"/>
        </w:rPr>
        <w:lastRenderedPageBreak/>
        <w:t>4.1.10:</w:t>
      </w:r>
      <w:r w:rsidRPr="00ED38E8">
        <w:rPr>
          <w:rFonts w:ascii="Arial" w:eastAsia="Times New Roman" w:hAnsi="Arial" w:cs="Arial"/>
          <w:b/>
          <w:bCs/>
          <w:color w:val="984806" w:themeColor="accent6" w:themeShade="80"/>
          <w:sz w:val="28"/>
          <w:szCs w:val="28"/>
        </w:rPr>
        <w:t xml:space="preserve"> </w:t>
      </w:r>
      <w:r w:rsidRPr="00ED38E8">
        <w:rPr>
          <w:rFonts w:ascii="Arial" w:eastAsia="Calibri" w:hAnsi="Arial" w:cs="Arial"/>
          <w:b/>
          <w:bCs/>
          <w:color w:val="984806" w:themeColor="accent6" w:themeShade="80"/>
          <w:sz w:val="28"/>
          <w:szCs w:val="28"/>
        </w:rPr>
        <w:t>Cost to Income Ratio</w:t>
      </w:r>
      <w:bookmarkEnd w:id="48"/>
      <w:r w:rsidRPr="00ED38E8">
        <w:rPr>
          <w:rFonts w:ascii="Arial" w:eastAsia="Calibri" w:hAnsi="Arial" w:cs="Arial"/>
          <w:b/>
          <w:bCs/>
          <w:color w:val="984806" w:themeColor="accent6" w:themeShade="80"/>
          <w:sz w:val="28"/>
          <w:szCs w:val="28"/>
        </w:rPr>
        <w:t xml:space="preserve"> </w:t>
      </w: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10047" w:type="dxa"/>
        <w:tblLook w:val="04A0" w:firstRow="1" w:lastRow="0" w:firstColumn="1" w:lastColumn="0" w:noHBand="0" w:noVBand="1"/>
      </w:tblPr>
      <w:tblGrid>
        <w:gridCol w:w="919"/>
        <w:gridCol w:w="1896"/>
        <w:gridCol w:w="1720"/>
        <w:gridCol w:w="1720"/>
        <w:gridCol w:w="1896"/>
        <w:gridCol w:w="1896"/>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10046"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10. Cost to Income Ratio= (Operating Expenses/Operating Income)</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919"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96"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720"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720"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96"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96"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650"/>
        </w:trPr>
        <w:tc>
          <w:tcPr>
            <w:cnfStyle w:val="001000000000" w:firstRow="0" w:lastRow="0" w:firstColumn="1" w:lastColumn="0" w:oddVBand="0" w:evenVBand="0" w:oddHBand="0" w:evenHBand="0" w:firstRowFirstColumn="0" w:firstRowLastColumn="0" w:lastRowFirstColumn="0" w:lastRowLastColumn="0"/>
            <w:tcW w:w="919"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96"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0.371834667</w:t>
            </w:r>
          </w:p>
        </w:tc>
        <w:tc>
          <w:tcPr>
            <w:tcW w:w="1720"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0.35188428</w:t>
            </w:r>
          </w:p>
        </w:tc>
        <w:tc>
          <w:tcPr>
            <w:tcW w:w="1720"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0.37904421</w:t>
            </w:r>
          </w:p>
        </w:tc>
        <w:tc>
          <w:tcPr>
            <w:tcW w:w="1896"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0.402845182</w:t>
            </w:r>
          </w:p>
        </w:tc>
        <w:tc>
          <w:tcPr>
            <w:tcW w:w="1896"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0.406603287</w:t>
            </w:r>
          </w:p>
        </w:tc>
      </w:tr>
    </w:tbl>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r w:rsidRPr="00ED38E8">
        <w:rPr>
          <w:rFonts w:ascii="Arial" w:hAnsi="Arial" w:cs="Arial"/>
          <w:noProof/>
        </w:rPr>
        <w:drawing>
          <wp:inline distT="0" distB="0" distL="0" distR="0" wp14:anchorId="2B66C2D1" wp14:editId="204C973B">
            <wp:extent cx="6172200" cy="2928257"/>
            <wp:effectExtent l="0" t="0" r="19050" b="24765"/>
            <wp:docPr id="165110" name="Chart 16511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C72E189F-E19F-4CD3-9B1C-DEFA302CA0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934F24" w:rsidRDefault="009C5AAE" w:rsidP="009C5AAE">
      <w:pPr>
        <w:autoSpaceDE w:val="0"/>
        <w:autoSpaceDN w:val="0"/>
        <w:adjustRightInd w:val="0"/>
        <w:spacing w:after="0" w:line="240" w:lineRule="auto"/>
        <w:jc w:val="both"/>
        <w:rPr>
          <w:rFonts w:ascii="Arial" w:hAnsi="Arial" w:cs="Arial"/>
        </w:rPr>
      </w:pPr>
      <w:r w:rsidRPr="00934F24">
        <w:rPr>
          <w:rFonts w:ascii="Arial" w:hAnsi="Arial" w:cs="Arial"/>
        </w:rPr>
        <w:t xml:space="preserve">Cost to income ratio refers the operating expenses against the operating income or how much expenses a firm needs to spend for generating the operating </w:t>
      </w:r>
      <w:r>
        <w:rPr>
          <w:rFonts w:ascii="Arial" w:hAnsi="Arial" w:cs="Arial"/>
        </w:rPr>
        <w:t>income. If we take the last 5</w:t>
      </w:r>
      <w:r w:rsidRPr="00934F24">
        <w:rPr>
          <w:rFonts w:ascii="Arial" w:hAnsi="Arial" w:cs="Arial"/>
        </w:rPr>
        <w:t xml:space="preserve"> years information of IDLC, we have found fluctuate cost to income ratio and </w:t>
      </w:r>
      <w:r w:rsidR="00007BDB">
        <w:rPr>
          <w:rFonts w:ascii="Arial" w:hAnsi="Arial" w:cs="Arial"/>
        </w:rPr>
        <w:t>In</w:t>
      </w:r>
      <w:r w:rsidRPr="00934F24">
        <w:rPr>
          <w:rFonts w:ascii="Arial" w:hAnsi="Arial" w:cs="Arial"/>
        </w:rPr>
        <w:t xml:space="preserve"> 2018, for generating 1 BDT operating income; IDLC  needed to spend 0.41 BDT as operating expenses. In </w:t>
      </w:r>
      <w:r>
        <w:rPr>
          <w:rFonts w:ascii="Arial" w:hAnsi="Arial" w:cs="Arial"/>
        </w:rPr>
        <w:t>the last 2</w:t>
      </w:r>
      <w:r w:rsidRPr="00934F24">
        <w:rPr>
          <w:rFonts w:ascii="Arial" w:hAnsi="Arial" w:cs="Arial"/>
        </w:rPr>
        <w:t xml:space="preserve"> years, the ratio was almost similar, so it can be said that it didn’t create significant effect on the profitability of IDLC or IDLC might manage their cost well.</w:t>
      </w: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49" w:name="_Toc18330042"/>
      <w:r w:rsidRPr="00ED38E8">
        <w:rPr>
          <w:rFonts w:ascii="Arial" w:eastAsia="Calibri" w:hAnsi="Arial" w:cs="Arial"/>
          <w:b/>
          <w:bCs/>
          <w:color w:val="984806" w:themeColor="accent6" w:themeShade="80"/>
          <w:sz w:val="28"/>
          <w:szCs w:val="28"/>
        </w:rPr>
        <w:lastRenderedPageBreak/>
        <w:t>4.1.11: Net Interest Income to total Operating Income</w:t>
      </w:r>
      <w:bookmarkEnd w:id="49"/>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10089" w:type="dxa"/>
        <w:tblLook w:val="04A0" w:firstRow="1" w:lastRow="0" w:firstColumn="1" w:lastColumn="0" w:noHBand="0" w:noVBand="1"/>
      </w:tblPr>
      <w:tblGrid>
        <w:gridCol w:w="921"/>
        <w:gridCol w:w="1868"/>
        <w:gridCol w:w="1868"/>
        <w:gridCol w:w="1696"/>
        <w:gridCol w:w="1868"/>
        <w:gridCol w:w="1868"/>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0089" w:type="dxa"/>
            <w:gridSpan w:val="6"/>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11. Net Interest Income to total Operating Income= (Net Interest Income/Total Operating Income)</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21"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6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6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96"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6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6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547"/>
        </w:trPr>
        <w:tc>
          <w:tcPr>
            <w:cnfStyle w:val="001000000000" w:firstRow="0" w:lastRow="0" w:firstColumn="1" w:lastColumn="0" w:oddVBand="0" w:evenVBand="0" w:oddHBand="0" w:evenHBand="0" w:firstRowFirstColumn="0" w:firstRowLastColumn="0" w:lastRowFirstColumn="0" w:lastRowLastColumn="0"/>
            <w:tcW w:w="921"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6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0.346804749</w:t>
            </w:r>
          </w:p>
        </w:tc>
        <w:tc>
          <w:tcPr>
            <w:tcW w:w="186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0.314028561</w:t>
            </w:r>
          </w:p>
        </w:tc>
        <w:tc>
          <w:tcPr>
            <w:tcW w:w="1696"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0.33736415</w:t>
            </w:r>
          </w:p>
        </w:tc>
        <w:tc>
          <w:tcPr>
            <w:tcW w:w="186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0.329506139</w:t>
            </w:r>
          </w:p>
        </w:tc>
        <w:tc>
          <w:tcPr>
            <w:tcW w:w="186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0.338057281</w:t>
            </w:r>
          </w:p>
        </w:tc>
      </w:tr>
    </w:tbl>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r w:rsidRPr="00ED38E8">
        <w:rPr>
          <w:rFonts w:ascii="Arial" w:hAnsi="Arial" w:cs="Arial"/>
          <w:noProof/>
        </w:rPr>
        <w:drawing>
          <wp:inline distT="0" distB="0" distL="0" distR="0" wp14:anchorId="35527AF7" wp14:editId="384428FA">
            <wp:extent cx="6302829" cy="3026228"/>
            <wp:effectExtent l="0" t="0" r="22225" b="22225"/>
            <wp:docPr id="165111" name="Chart 16511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E4380C75-D3DB-46D1-8848-D3EE7552AF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9C5AAE" w:rsidRPr="00ED38E8" w:rsidRDefault="009C5AAE" w:rsidP="009C5AAE">
      <w:pPr>
        <w:rPr>
          <w:rFonts w:ascii="Arial" w:hAnsi="Arial" w:cs="Arial"/>
        </w:rPr>
      </w:pPr>
    </w:p>
    <w:p w:rsidR="009C5AAE" w:rsidRPr="00934F24" w:rsidRDefault="009C5AAE" w:rsidP="009C5AAE">
      <w:pPr>
        <w:autoSpaceDE w:val="0"/>
        <w:autoSpaceDN w:val="0"/>
        <w:adjustRightInd w:val="0"/>
        <w:spacing w:after="0" w:line="240" w:lineRule="auto"/>
        <w:jc w:val="both"/>
        <w:rPr>
          <w:rFonts w:ascii="Arial" w:hAnsi="Arial" w:cs="Arial"/>
        </w:rPr>
      </w:pPr>
      <w:r w:rsidRPr="00934F24">
        <w:rPr>
          <w:rFonts w:ascii="Arial" w:hAnsi="Arial" w:cs="Arial"/>
        </w:rPr>
        <w:t xml:space="preserve">This ratio simply refers how much net interest income a firm generates from their total operating income. We have found that operating income of IDLC consists of interest income, investment income, commission and other income after deducting the interest expense. After deducting interest expense from interest income, we have found the net interest income and </w:t>
      </w:r>
      <w:proofErr w:type="gramStart"/>
      <w:r w:rsidR="00007BDB">
        <w:rPr>
          <w:rFonts w:ascii="Arial" w:hAnsi="Arial" w:cs="Arial"/>
        </w:rPr>
        <w:t>In</w:t>
      </w:r>
      <w:proofErr w:type="gramEnd"/>
      <w:r w:rsidRPr="00934F24">
        <w:rPr>
          <w:rFonts w:ascii="Arial" w:hAnsi="Arial" w:cs="Arial"/>
        </w:rPr>
        <w:t xml:space="preserve"> 2018, </w:t>
      </w:r>
      <w:r w:rsidR="00003A48">
        <w:rPr>
          <w:rFonts w:ascii="Arial" w:hAnsi="Arial" w:cs="Arial"/>
        </w:rPr>
        <w:t>IDLC</w:t>
      </w:r>
      <w:r w:rsidRPr="00934F24">
        <w:rPr>
          <w:rFonts w:ascii="Arial" w:hAnsi="Arial" w:cs="Arial"/>
        </w:rPr>
        <w:t xml:space="preserve"> had 0.3381 BDT net interest income from 1 BDT total operating income. If we </w:t>
      </w:r>
      <w:r>
        <w:rPr>
          <w:rFonts w:ascii="Arial" w:hAnsi="Arial" w:cs="Arial"/>
        </w:rPr>
        <w:t>take</w:t>
      </w:r>
      <w:r w:rsidRPr="00934F24">
        <w:rPr>
          <w:rFonts w:ascii="Arial" w:hAnsi="Arial" w:cs="Arial"/>
        </w:rPr>
        <w:t xml:space="preserve"> just one period from 2017 to 2018, we can say that in this period though both the net interest income and total operating income had been </w:t>
      </w:r>
      <w:r>
        <w:rPr>
          <w:rFonts w:ascii="Arial" w:hAnsi="Arial" w:cs="Arial"/>
        </w:rPr>
        <w:t>grown</w:t>
      </w:r>
      <w:r w:rsidRPr="00934F24">
        <w:rPr>
          <w:rFonts w:ascii="Arial" w:hAnsi="Arial" w:cs="Arial"/>
        </w:rPr>
        <w:t xml:space="preserve">, the </w:t>
      </w:r>
      <w:r>
        <w:rPr>
          <w:rFonts w:ascii="Arial" w:hAnsi="Arial" w:cs="Arial"/>
        </w:rPr>
        <w:t>grown</w:t>
      </w:r>
      <w:r w:rsidRPr="00934F24">
        <w:rPr>
          <w:rFonts w:ascii="Arial" w:hAnsi="Arial" w:cs="Arial"/>
        </w:rPr>
        <w:t xml:space="preserve"> rate of operating income was more than the </w:t>
      </w:r>
      <w:r>
        <w:rPr>
          <w:rFonts w:ascii="Arial" w:hAnsi="Arial" w:cs="Arial"/>
        </w:rPr>
        <w:t>grown</w:t>
      </w:r>
      <w:r w:rsidRPr="00934F24">
        <w:rPr>
          <w:rFonts w:ascii="Arial" w:hAnsi="Arial" w:cs="Arial"/>
        </w:rPr>
        <w:t xml:space="preserve"> rate of net interest income which lead to decreased ratio from the previous period.</w:t>
      </w:r>
    </w:p>
    <w:p w:rsidR="009C5AAE" w:rsidRPr="00934F24"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50" w:name="_Toc18330043"/>
      <w:r w:rsidRPr="00ED38E8">
        <w:rPr>
          <w:rFonts w:ascii="Arial" w:eastAsia="Calibri" w:hAnsi="Arial" w:cs="Arial"/>
          <w:b/>
          <w:bCs/>
          <w:color w:val="984806" w:themeColor="accent6" w:themeShade="80"/>
          <w:sz w:val="28"/>
          <w:szCs w:val="28"/>
        </w:rPr>
        <w:t>4.1.12: Investment Income to Total Operating income</w:t>
      </w:r>
      <w:bookmarkEnd w:id="50"/>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rPr>
          <w:rFonts w:ascii="Arial" w:hAnsi="Arial" w:cs="Arial"/>
        </w:rPr>
      </w:pPr>
    </w:p>
    <w:tbl>
      <w:tblPr>
        <w:tblStyle w:val="GridTable5Dark-Accent11"/>
        <w:tblW w:w="10245" w:type="dxa"/>
        <w:tblLook w:val="04A0" w:firstRow="1" w:lastRow="0" w:firstColumn="1" w:lastColumn="0" w:noHBand="0" w:noVBand="1"/>
      </w:tblPr>
      <w:tblGrid>
        <w:gridCol w:w="831"/>
        <w:gridCol w:w="1859"/>
        <w:gridCol w:w="1859"/>
        <w:gridCol w:w="1514"/>
        <w:gridCol w:w="1859"/>
        <w:gridCol w:w="2323"/>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0245"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12. Investment Income to Total Operating income=(Investment Income/Total Operating Income)</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31"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5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5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514"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5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2323"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517"/>
        </w:trPr>
        <w:tc>
          <w:tcPr>
            <w:cnfStyle w:val="001000000000" w:firstRow="0" w:lastRow="0" w:firstColumn="1" w:lastColumn="0" w:oddVBand="0" w:evenVBand="0" w:oddHBand="0" w:evenHBand="0" w:firstRowFirstColumn="0" w:firstRowLastColumn="0" w:lastRowFirstColumn="0" w:lastRowLastColumn="0"/>
            <w:tcW w:w="831"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5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0.016215426</w:t>
            </w:r>
          </w:p>
        </w:tc>
        <w:tc>
          <w:tcPr>
            <w:tcW w:w="185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0.068894706</w:t>
            </w:r>
          </w:p>
        </w:tc>
        <w:tc>
          <w:tcPr>
            <w:tcW w:w="1514"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0.0729258</w:t>
            </w:r>
          </w:p>
        </w:tc>
        <w:tc>
          <w:tcPr>
            <w:tcW w:w="185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0.107660398</w:t>
            </w:r>
          </w:p>
        </w:tc>
        <w:tc>
          <w:tcPr>
            <w:tcW w:w="2323"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0.063151727</w:t>
            </w:r>
          </w:p>
        </w:tc>
      </w:tr>
    </w:tbl>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r w:rsidRPr="00ED38E8">
        <w:rPr>
          <w:rFonts w:ascii="Arial" w:hAnsi="Arial" w:cs="Arial"/>
          <w:noProof/>
        </w:rPr>
        <w:drawing>
          <wp:inline distT="0" distB="0" distL="0" distR="0" wp14:anchorId="29E4D118" wp14:editId="4A364A21">
            <wp:extent cx="6248400" cy="2219325"/>
            <wp:effectExtent l="0" t="0" r="19050" b="9525"/>
            <wp:docPr id="165112" name="Chart 16511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5E702FFA-D4F9-464F-925B-882E104111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9C5AAE" w:rsidRPr="00ED38E8" w:rsidRDefault="009C5AAE" w:rsidP="009C5AAE">
      <w:pPr>
        <w:jc w:val="both"/>
        <w:rPr>
          <w:rFonts w:ascii="Arial" w:hAnsi="Arial" w:cs="Arial"/>
        </w:rPr>
      </w:pPr>
    </w:p>
    <w:p w:rsidR="009C5AAE" w:rsidRPr="00934F24" w:rsidRDefault="009C5AAE" w:rsidP="009C5AAE">
      <w:pPr>
        <w:autoSpaceDE w:val="0"/>
        <w:autoSpaceDN w:val="0"/>
        <w:adjustRightInd w:val="0"/>
        <w:spacing w:after="0" w:line="240" w:lineRule="auto"/>
        <w:jc w:val="both"/>
        <w:rPr>
          <w:rFonts w:ascii="Arial" w:hAnsi="Arial" w:cs="Arial"/>
        </w:rPr>
      </w:pPr>
      <w:r w:rsidRPr="00934F24">
        <w:rPr>
          <w:rFonts w:ascii="Arial" w:hAnsi="Arial" w:cs="Arial"/>
        </w:rPr>
        <w:t xml:space="preserve">We have discussed earlier that, investment income is another part of operating income and this investment income to total operating income ratio refers that the percentage of investment income out of total operating income. </w:t>
      </w:r>
      <w:r w:rsidR="00007BDB">
        <w:rPr>
          <w:rFonts w:ascii="Arial" w:hAnsi="Arial" w:cs="Arial"/>
        </w:rPr>
        <w:t>In</w:t>
      </w:r>
      <w:r w:rsidRPr="00934F24">
        <w:rPr>
          <w:rFonts w:ascii="Arial" w:hAnsi="Arial" w:cs="Arial"/>
        </w:rPr>
        <w:t xml:space="preserve"> 2018, within 1 BDT operating income, IDLC had 0.06 BDT investment </w:t>
      </w:r>
      <w:proofErr w:type="gramStart"/>
      <w:r w:rsidRPr="00934F24">
        <w:rPr>
          <w:rFonts w:ascii="Arial" w:hAnsi="Arial" w:cs="Arial"/>
        </w:rPr>
        <w:t>income</w:t>
      </w:r>
      <w:proofErr w:type="gramEnd"/>
      <w:r w:rsidRPr="00934F24">
        <w:rPr>
          <w:rFonts w:ascii="Arial" w:hAnsi="Arial" w:cs="Arial"/>
        </w:rPr>
        <w:t xml:space="preserve"> and this ratio had been fluctuated in the last </w:t>
      </w:r>
      <w:r w:rsidR="00003A48">
        <w:rPr>
          <w:rFonts w:ascii="Arial" w:hAnsi="Arial" w:cs="Arial"/>
        </w:rPr>
        <w:t>5</w:t>
      </w:r>
      <w:r w:rsidRPr="00934F24">
        <w:rPr>
          <w:rFonts w:ascii="Arial" w:hAnsi="Arial" w:cs="Arial"/>
        </w:rPr>
        <w:t xml:space="preserve"> years. </w:t>
      </w:r>
    </w:p>
    <w:p w:rsidR="009C5AAE" w:rsidRPr="00934F24" w:rsidRDefault="009C5AAE" w:rsidP="009C5AAE">
      <w:pPr>
        <w:autoSpaceDE w:val="0"/>
        <w:autoSpaceDN w:val="0"/>
        <w:adjustRightInd w:val="0"/>
        <w:spacing w:after="0" w:line="240" w:lineRule="auto"/>
        <w:jc w:val="both"/>
        <w:rPr>
          <w:rFonts w:ascii="Arial" w:hAnsi="Arial" w:cs="Arial"/>
        </w:rPr>
      </w:pPr>
    </w:p>
    <w:p w:rsidR="009C5AAE" w:rsidRPr="00934F24" w:rsidRDefault="009C5AAE" w:rsidP="009C5AAE">
      <w:pPr>
        <w:autoSpaceDE w:val="0"/>
        <w:autoSpaceDN w:val="0"/>
        <w:adjustRightInd w:val="0"/>
        <w:spacing w:after="0" w:line="240" w:lineRule="auto"/>
        <w:jc w:val="both"/>
        <w:rPr>
          <w:rFonts w:ascii="Arial" w:hAnsi="Arial" w:cs="Arial"/>
        </w:rPr>
      </w:pPr>
      <w:r w:rsidRPr="00934F24">
        <w:rPr>
          <w:rFonts w:ascii="Arial" w:hAnsi="Arial" w:cs="Arial"/>
        </w:rPr>
        <w:t xml:space="preserve">While collecting data about total amount of investment capital of IDLC in the last </w:t>
      </w:r>
      <w:r>
        <w:rPr>
          <w:rFonts w:ascii="Arial" w:hAnsi="Arial" w:cs="Arial"/>
        </w:rPr>
        <w:t>5</w:t>
      </w:r>
      <w:r w:rsidRPr="00934F24">
        <w:rPr>
          <w:rFonts w:ascii="Arial" w:hAnsi="Arial" w:cs="Arial"/>
        </w:rPr>
        <w:t xml:space="preserve"> years, we have found that the amount had b</w:t>
      </w:r>
      <w:r>
        <w:rPr>
          <w:rFonts w:ascii="Arial" w:hAnsi="Arial" w:cs="Arial"/>
        </w:rPr>
        <w:t>een decreasing from the last 2</w:t>
      </w:r>
      <w:r w:rsidRPr="00934F24">
        <w:rPr>
          <w:rFonts w:ascii="Arial" w:hAnsi="Arial" w:cs="Arial"/>
        </w:rPr>
        <w:t xml:space="preserve"> years and this decreased amount is one of the reasons for the decreased ratio in last two years.</w:t>
      </w: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934F24" w:rsidRDefault="009C5AAE" w:rsidP="009C5AAE">
      <w:pPr>
        <w:pStyle w:val="Heading3"/>
        <w:rPr>
          <w:rFonts w:ascii="Arial" w:eastAsia="Calibri" w:hAnsi="Arial" w:cs="Arial"/>
          <w:b/>
          <w:bCs/>
          <w:color w:val="984806" w:themeColor="accent6" w:themeShade="80"/>
          <w:sz w:val="28"/>
          <w:szCs w:val="28"/>
        </w:rPr>
      </w:pPr>
      <w:bookmarkStart w:id="51" w:name="_Toc18330044"/>
      <w:r w:rsidRPr="00ED38E8">
        <w:rPr>
          <w:rFonts w:ascii="Arial" w:eastAsia="Calibri" w:hAnsi="Arial" w:cs="Arial"/>
          <w:b/>
          <w:bCs/>
          <w:color w:val="984806" w:themeColor="accent6" w:themeShade="80"/>
          <w:sz w:val="28"/>
          <w:szCs w:val="28"/>
        </w:rPr>
        <w:t>4.1.13: Investment Income to Total Revenue</w:t>
      </w:r>
      <w:bookmarkEnd w:id="51"/>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9867" w:type="dxa"/>
        <w:tblLook w:val="04A0" w:firstRow="1" w:lastRow="0" w:firstColumn="1" w:lastColumn="0" w:noHBand="0" w:noVBand="1"/>
      </w:tblPr>
      <w:tblGrid>
        <w:gridCol w:w="901"/>
        <w:gridCol w:w="1827"/>
        <w:gridCol w:w="1827"/>
        <w:gridCol w:w="1658"/>
        <w:gridCol w:w="1827"/>
        <w:gridCol w:w="1827"/>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9866"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13. Investment Income to Total Revenue= (Investment Income/Total Revenue)</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901"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2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2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5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2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2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627"/>
        </w:trPr>
        <w:tc>
          <w:tcPr>
            <w:cnfStyle w:val="001000000000" w:firstRow="0" w:lastRow="0" w:firstColumn="1" w:lastColumn="0" w:oddVBand="0" w:evenVBand="0" w:oddHBand="0" w:evenHBand="0" w:firstRowFirstColumn="0" w:firstRowLastColumn="0" w:lastRowFirstColumn="0" w:lastRowLastColumn="0"/>
            <w:tcW w:w="901"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2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0.006865041</w:t>
            </w:r>
          </w:p>
        </w:tc>
        <w:tc>
          <w:tcPr>
            <w:tcW w:w="182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0.031051823</w:t>
            </w:r>
          </w:p>
        </w:tc>
        <w:tc>
          <w:tcPr>
            <w:tcW w:w="165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0.03571219</w:t>
            </w:r>
          </w:p>
        </w:tc>
        <w:tc>
          <w:tcPr>
            <w:tcW w:w="182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0.053270689</w:t>
            </w:r>
          </w:p>
        </w:tc>
        <w:tc>
          <w:tcPr>
            <w:tcW w:w="182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0.025351509</w:t>
            </w:r>
          </w:p>
        </w:tc>
      </w:tr>
    </w:tbl>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rPr>
          <w:rFonts w:ascii="Arial" w:hAnsi="Arial" w:cs="Arial"/>
        </w:rPr>
      </w:pPr>
    </w:p>
    <w:p w:rsidR="009C5AAE" w:rsidRPr="00ED38E8" w:rsidRDefault="009C5AAE" w:rsidP="009C5AAE">
      <w:pPr>
        <w:rPr>
          <w:rFonts w:ascii="Arial" w:hAnsi="Arial" w:cs="Arial"/>
        </w:rPr>
      </w:pPr>
      <w:r w:rsidRPr="00ED38E8">
        <w:rPr>
          <w:rFonts w:ascii="Arial" w:hAnsi="Arial" w:cs="Arial"/>
          <w:noProof/>
        </w:rPr>
        <w:lastRenderedPageBreak/>
        <w:drawing>
          <wp:inline distT="0" distB="0" distL="0" distR="0" wp14:anchorId="1FC6A79C" wp14:editId="2318DA6C">
            <wp:extent cx="5943600" cy="2305050"/>
            <wp:effectExtent l="0" t="0" r="19050" b="19050"/>
            <wp:docPr id="165113" name="Chart 16511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7911BCBA-8638-4C11-BEB4-BB086F4578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9C5AAE" w:rsidRPr="00ED38E8" w:rsidRDefault="009C5AAE" w:rsidP="009C5AAE">
      <w:pPr>
        <w:jc w:val="both"/>
        <w:rPr>
          <w:rFonts w:ascii="Arial" w:hAnsi="Arial" w:cs="Arial"/>
          <w:sz w:val="24"/>
          <w:szCs w:val="24"/>
        </w:rPr>
      </w:pPr>
    </w:p>
    <w:p w:rsidR="009C5AAE" w:rsidRPr="00934F24" w:rsidRDefault="009C5AAE" w:rsidP="009C5AAE">
      <w:pPr>
        <w:autoSpaceDE w:val="0"/>
        <w:autoSpaceDN w:val="0"/>
        <w:adjustRightInd w:val="0"/>
        <w:spacing w:after="0" w:line="240" w:lineRule="auto"/>
        <w:jc w:val="both"/>
        <w:rPr>
          <w:rFonts w:ascii="Arial" w:hAnsi="Arial" w:cs="Arial"/>
        </w:rPr>
      </w:pPr>
      <w:r w:rsidRPr="00934F24">
        <w:rPr>
          <w:rFonts w:ascii="Arial" w:hAnsi="Arial" w:cs="Arial"/>
        </w:rPr>
        <w:t xml:space="preserve">This investment income to total revenue ratio refers how much revenue is generated from investment activities of a firm and like other different FI’s  IDLC  has different investment in different securities and we have found a fluctuate rate of this ratio over the last </w:t>
      </w:r>
      <w:r>
        <w:rPr>
          <w:rFonts w:ascii="Arial" w:hAnsi="Arial" w:cs="Arial"/>
        </w:rPr>
        <w:t>5</w:t>
      </w:r>
      <w:r w:rsidRPr="00934F24">
        <w:rPr>
          <w:rFonts w:ascii="Arial" w:hAnsi="Arial" w:cs="Arial"/>
        </w:rPr>
        <w:t xml:space="preserve"> years. </w:t>
      </w:r>
      <w:r w:rsidR="00007BDB">
        <w:rPr>
          <w:rFonts w:ascii="Arial" w:hAnsi="Arial" w:cs="Arial"/>
        </w:rPr>
        <w:t>In</w:t>
      </w:r>
      <w:r w:rsidRPr="00934F24">
        <w:rPr>
          <w:rFonts w:ascii="Arial" w:hAnsi="Arial" w:cs="Arial"/>
        </w:rPr>
        <w:t xml:space="preserve"> 2018, we can say, they earned 0.0254 BDT from investment </w:t>
      </w:r>
      <w:proofErr w:type="gramStart"/>
      <w:r w:rsidRPr="00934F24">
        <w:rPr>
          <w:rFonts w:ascii="Arial" w:hAnsi="Arial" w:cs="Arial"/>
        </w:rPr>
        <w:t>out of 1 BDT revenue</w:t>
      </w:r>
      <w:proofErr w:type="gramEnd"/>
      <w:r w:rsidRPr="00934F24">
        <w:rPr>
          <w:rFonts w:ascii="Arial" w:hAnsi="Arial" w:cs="Arial"/>
        </w:rPr>
        <w:t xml:space="preserve"> or they had 2.54% investment income over the total revenue. If we consider only the period from 2017 to 2018, we have found the decreased amount of investment income which lead the decreased ratio from 2017 to 2018.</w:t>
      </w:r>
    </w:p>
    <w:p w:rsidR="009C5AAE" w:rsidRPr="00934F24"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52" w:name="_Toc18330045"/>
      <w:r w:rsidRPr="00ED38E8">
        <w:rPr>
          <w:rFonts w:ascii="Arial" w:eastAsia="Calibri" w:hAnsi="Arial" w:cs="Arial"/>
          <w:b/>
          <w:bCs/>
          <w:color w:val="984806" w:themeColor="accent6" w:themeShade="80"/>
          <w:sz w:val="28"/>
          <w:szCs w:val="28"/>
        </w:rPr>
        <w:t>4.1.14: Return on Capital</w:t>
      </w:r>
      <w:bookmarkEnd w:id="52"/>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9941" w:type="dxa"/>
        <w:tblLook w:val="04A0" w:firstRow="1" w:lastRow="0" w:firstColumn="1" w:lastColumn="0" w:noHBand="0" w:noVBand="1"/>
      </w:tblPr>
      <w:tblGrid>
        <w:gridCol w:w="927"/>
        <w:gridCol w:w="1872"/>
        <w:gridCol w:w="1699"/>
        <w:gridCol w:w="1699"/>
        <w:gridCol w:w="1872"/>
        <w:gridCol w:w="1872"/>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755"/>
        </w:trPr>
        <w:tc>
          <w:tcPr>
            <w:cnfStyle w:val="001000000000" w:firstRow="0" w:lastRow="0" w:firstColumn="1" w:lastColumn="0" w:oddVBand="0" w:evenVBand="0" w:oddHBand="0" w:evenHBand="0" w:firstRowFirstColumn="0" w:firstRowLastColumn="0" w:lastRowFirstColumn="0" w:lastRowLastColumn="0"/>
            <w:tcW w:w="9941"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14.  Return On Capital= (Net Profit after tax/Total Capital)</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755"/>
        </w:trPr>
        <w:tc>
          <w:tcPr>
            <w:cnfStyle w:val="001000000000" w:firstRow="0" w:lastRow="0" w:firstColumn="1" w:lastColumn="0" w:oddVBand="0" w:evenVBand="0" w:oddHBand="0" w:evenHBand="0" w:firstRowFirstColumn="0" w:firstRowLastColumn="0" w:lastRowFirstColumn="0" w:lastRowLastColumn="0"/>
            <w:tcW w:w="927"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7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69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9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7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7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755"/>
        </w:trPr>
        <w:tc>
          <w:tcPr>
            <w:cnfStyle w:val="001000000000" w:firstRow="0" w:lastRow="0" w:firstColumn="1" w:lastColumn="0" w:oddVBand="0" w:evenVBand="0" w:oddHBand="0" w:evenHBand="0" w:firstRowFirstColumn="0" w:firstRowLastColumn="0" w:lastRowFirstColumn="0" w:lastRowLastColumn="0"/>
            <w:tcW w:w="927"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7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0.500398655</w:t>
            </w:r>
          </w:p>
        </w:tc>
        <w:tc>
          <w:tcPr>
            <w:tcW w:w="169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0.47452694</w:t>
            </w:r>
          </w:p>
        </w:tc>
        <w:tc>
          <w:tcPr>
            <w:tcW w:w="169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0.46423854</w:t>
            </w:r>
          </w:p>
        </w:tc>
        <w:tc>
          <w:tcPr>
            <w:tcW w:w="187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0.359976799</w:t>
            </w:r>
          </w:p>
        </w:tc>
        <w:tc>
          <w:tcPr>
            <w:tcW w:w="187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0.355963746</w:t>
            </w:r>
          </w:p>
        </w:tc>
      </w:tr>
    </w:tbl>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r w:rsidRPr="00ED38E8">
        <w:rPr>
          <w:rFonts w:ascii="Arial" w:eastAsia="Calibri" w:hAnsi="Arial" w:cs="Arial"/>
          <w:b/>
          <w:color w:val="984806"/>
          <w:sz w:val="28"/>
        </w:rPr>
        <w:t xml:space="preserve"> </w:t>
      </w: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hAnsi="Arial" w:cs="Arial"/>
        </w:rPr>
      </w:pPr>
      <w:r w:rsidRPr="00ED38E8">
        <w:rPr>
          <w:rFonts w:ascii="Arial" w:hAnsi="Arial" w:cs="Arial"/>
          <w:noProof/>
        </w:rPr>
        <w:lastRenderedPageBreak/>
        <w:drawing>
          <wp:inline distT="0" distB="0" distL="0" distR="0" wp14:anchorId="0B803768" wp14:editId="50DA3FE9">
            <wp:extent cx="5943600" cy="2247900"/>
            <wp:effectExtent l="0" t="0" r="19050" b="19050"/>
            <wp:docPr id="165114" name="Chart 16511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157B0158-49E6-4649-ABA7-D3FE16E00F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9C5AAE" w:rsidRPr="00ED38E8" w:rsidRDefault="009C5AAE" w:rsidP="009C5AAE">
      <w:pPr>
        <w:rPr>
          <w:rFonts w:ascii="Arial" w:hAnsi="Arial" w:cs="Arial"/>
        </w:rPr>
      </w:pPr>
    </w:p>
    <w:p w:rsidR="009C5AAE" w:rsidRDefault="009C5AAE" w:rsidP="009C5AAE">
      <w:pPr>
        <w:autoSpaceDE w:val="0"/>
        <w:autoSpaceDN w:val="0"/>
        <w:adjustRightInd w:val="0"/>
        <w:spacing w:after="0" w:line="240" w:lineRule="auto"/>
        <w:jc w:val="both"/>
        <w:rPr>
          <w:rFonts w:ascii="Arial" w:hAnsi="Arial" w:cs="Arial"/>
        </w:rPr>
      </w:pPr>
      <w:r w:rsidRPr="009779F9">
        <w:rPr>
          <w:rFonts w:ascii="Arial" w:hAnsi="Arial" w:cs="Arial"/>
        </w:rPr>
        <w:t xml:space="preserve">Return on capital (ROC) ratio measures the return that an investment generates from the capital contribution or how much return a firm generates from the invested capital. This ratio shows the effectiveness of a firm for turning capital into profits. </w:t>
      </w:r>
    </w:p>
    <w:p w:rsidR="009C5AAE" w:rsidRPr="009779F9" w:rsidRDefault="009C5AAE" w:rsidP="009C5AAE">
      <w:pPr>
        <w:autoSpaceDE w:val="0"/>
        <w:autoSpaceDN w:val="0"/>
        <w:adjustRightInd w:val="0"/>
        <w:spacing w:after="0" w:line="240" w:lineRule="auto"/>
        <w:jc w:val="both"/>
        <w:rPr>
          <w:rFonts w:ascii="Arial" w:hAnsi="Arial" w:cs="Arial"/>
        </w:rPr>
      </w:pPr>
      <w:r w:rsidRPr="009779F9">
        <w:rPr>
          <w:rFonts w:ascii="Arial" w:hAnsi="Arial" w:cs="Arial"/>
        </w:rPr>
        <w:t xml:space="preserve">From the above bar diagram, we </w:t>
      </w:r>
      <w:r>
        <w:rPr>
          <w:rFonts w:ascii="Arial" w:hAnsi="Arial" w:cs="Arial"/>
        </w:rPr>
        <w:t>see that</w:t>
      </w:r>
      <w:r w:rsidRPr="009779F9">
        <w:rPr>
          <w:rFonts w:ascii="Arial" w:hAnsi="Arial" w:cs="Arial"/>
        </w:rPr>
        <w:t xml:space="preserve"> fluctuate rate of this ratio in the last </w:t>
      </w:r>
      <w:r>
        <w:rPr>
          <w:rFonts w:ascii="Arial" w:hAnsi="Arial" w:cs="Arial"/>
        </w:rPr>
        <w:t>5</w:t>
      </w:r>
      <w:r w:rsidRPr="009779F9">
        <w:rPr>
          <w:rFonts w:ascii="Arial" w:hAnsi="Arial" w:cs="Arial"/>
        </w:rPr>
        <w:t xml:space="preserve"> years for fluctuate amount of capital and net profit after tax. </w:t>
      </w:r>
      <w:r w:rsidR="00007BDB">
        <w:rPr>
          <w:rFonts w:ascii="Arial" w:hAnsi="Arial" w:cs="Arial"/>
        </w:rPr>
        <w:t>In</w:t>
      </w:r>
      <w:r w:rsidRPr="009779F9">
        <w:rPr>
          <w:rFonts w:ascii="Arial" w:hAnsi="Arial" w:cs="Arial"/>
        </w:rPr>
        <w:t xml:space="preserve"> 2018, we have found that </w:t>
      </w:r>
      <w:r w:rsidR="00003A48">
        <w:rPr>
          <w:rFonts w:ascii="Arial" w:hAnsi="Arial" w:cs="Arial"/>
        </w:rPr>
        <w:t>IDLC</w:t>
      </w:r>
      <w:r w:rsidRPr="009779F9">
        <w:rPr>
          <w:rFonts w:ascii="Arial" w:hAnsi="Arial" w:cs="Arial"/>
        </w:rPr>
        <w:t xml:space="preserve"> 35.59% return from their invested capital or we can say in another way that, from 1 BDT invested capital, they earned 0.3559 BDT. If we consider only the period from 2016 to 2017, we have found the decreased amount of ROC. Though amount of invested capital had been </w:t>
      </w:r>
      <w:r>
        <w:rPr>
          <w:rFonts w:ascii="Arial" w:hAnsi="Arial" w:cs="Arial"/>
        </w:rPr>
        <w:t>grown from 2016 to 2017, still IDLC</w:t>
      </w:r>
      <w:r w:rsidRPr="009779F9">
        <w:rPr>
          <w:rFonts w:ascii="Arial" w:hAnsi="Arial" w:cs="Arial"/>
        </w:rPr>
        <w:t xml:space="preserve"> net profit after tax had been declined which helped us to make a conclusion that they didn’t efficiently use their invested capital to generate more return.</w:t>
      </w:r>
    </w:p>
    <w:p w:rsidR="009C5AAE" w:rsidRPr="00ED38E8" w:rsidRDefault="009C5AAE" w:rsidP="009C5AAE">
      <w:pPr>
        <w:rPr>
          <w:rFonts w:ascii="Arial" w:hAnsi="Arial" w:cs="Arial"/>
          <w:sz w:val="24"/>
          <w:szCs w:val="24"/>
        </w:rPr>
      </w:pPr>
      <w:r>
        <w:rPr>
          <w:rFonts w:ascii="Arial" w:hAnsi="Arial" w:cs="Arial"/>
          <w:sz w:val="24"/>
          <w:szCs w:val="24"/>
        </w:rPr>
        <w:t xml:space="preserve">      </w:t>
      </w:r>
      <w:r w:rsidRPr="00ED38E8">
        <w:rPr>
          <w:rFonts w:ascii="Arial" w:hAnsi="Arial" w:cs="Arial"/>
          <w:sz w:val="24"/>
          <w:szCs w:val="24"/>
        </w:rPr>
        <w:t xml:space="preserve">                            </w:t>
      </w:r>
    </w:p>
    <w:p w:rsidR="009C5AAE" w:rsidRPr="00ED38E8" w:rsidRDefault="009C5AAE" w:rsidP="009C5AAE">
      <w:pPr>
        <w:pStyle w:val="Heading2"/>
        <w:jc w:val="center"/>
        <w:rPr>
          <w:rFonts w:ascii="Arial" w:hAnsi="Arial" w:cs="Arial"/>
          <w:b/>
          <w:bCs/>
          <w:sz w:val="32"/>
          <w:szCs w:val="32"/>
        </w:rPr>
      </w:pPr>
      <w:bookmarkStart w:id="53" w:name="_Toc18330046"/>
      <w:r w:rsidRPr="00ED38E8">
        <w:rPr>
          <w:rFonts w:ascii="Arial" w:hAnsi="Arial" w:cs="Arial"/>
          <w:b/>
          <w:bCs/>
          <w:sz w:val="32"/>
          <w:szCs w:val="32"/>
        </w:rPr>
        <w:t>Solvency Dimension</w:t>
      </w:r>
      <w:bookmarkEnd w:id="53"/>
    </w:p>
    <w:p w:rsidR="009C5AAE" w:rsidRPr="00ED38E8" w:rsidRDefault="009C5AAE" w:rsidP="009C5AAE">
      <w:pPr>
        <w:rPr>
          <w:rFonts w:ascii="Arial" w:hAnsi="Arial" w:cs="Arial"/>
          <w:sz w:val="24"/>
          <w:szCs w:val="24"/>
        </w:rPr>
      </w:pPr>
    </w:p>
    <w:p w:rsidR="009C5AAE" w:rsidRDefault="009C5AAE" w:rsidP="00003A48">
      <w:pPr>
        <w:jc w:val="both"/>
        <w:rPr>
          <w:rFonts w:ascii="Arial" w:hAnsi="Arial" w:cs="Arial"/>
          <w:color w:val="212121"/>
          <w:shd w:val="clear" w:color="auto" w:fill="FFFFFF"/>
        </w:rPr>
      </w:pPr>
      <w:r w:rsidRPr="009779F9">
        <w:rPr>
          <w:rFonts w:ascii="Arial" w:hAnsi="Arial" w:cs="Arial"/>
          <w:color w:val="212121"/>
          <w:shd w:val="clear" w:color="auto" w:fill="FFFFFF"/>
        </w:rPr>
        <w:t>The </w:t>
      </w:r>
      <w:r w:rsidRPr="009779F9">
        <w:rPr>
          <w:rStyle w:val="Strong"/>
          <w:rFonts w:ascii="Arial" w:hAnsi="Arial" w:cs="Arial"/>
          <w:b w:val="0"/>
          <w:color w:val="212121"/>
          <w:shd w:val="clear" w:color="auto" w:fill="FFFFFF"/>
        </w:rPr>
        <w:t>solvency ratio</w:t>
      </w:r>
      <w:r>
        <w:rPr>
          <w:rFonts w:ascii="Arial" w:hAnsi="Arial" w:cs="Arial"/>
          <w:color w:val="212121"/>
          <w:shd w:val="clear" w:color="auto" w:fill="FFFFFF"/>
        </w:rPr>
        <w:t xml:space="preserve"> of an organization gives </w:t>
      </w:r>
      <w:r w:rsidR="00003A48">
        <w:rPr>
          <w:rFonts w:ascii="Arial" w:hAnsi="Arial" w:cs="Arial"/>
          <w:color w:val="212121"/>
          <w:shd w:val="clear" w:color="auto" w:fill="FFFFFF"/>
        </w:rPr>
        <w:t>sagacity</w:t>
      </w:r>
      <w:r w:rsidRPr="009779F9">
        <w:rPr>
          <w:rFonts w:ascii="Arial" w:hAnsi="Arial" w:cs="Arial"/>
          <w:color w:val="212121"/>
          <w:shd w:val="clear" w:color="auto" w:fill="FFFFFF"/>
        </w:rPr>
        <w:t xml:space="preserve"> </w:t>
      </w:r>
      <w:r>
        <w:rPr>
          <w:rFonts w:ascii="Arial" w:hAnsi="Arial" w:cs="Arial"/>
          <w:color w:val="212121"/>
          <w:shd w:val="clear" w:color="auto" w:fill="FFFFFF"/>
        </w:rPr>
        <w:t>within</w:t>
      </w:r>
      <w:r w:rsidRPr="009779F9">
        <w:rPr>
          <w:rFonts w:ascii="Arial" w:hAnsi="Arial" w:cs="Arial"/>
          <w:color w:val="212121"/>
          <w:shd w:val="clear" w:color="auto" w:fill="FFFFFF"/>
        </w:rPr>
        <w:t xml:space="preserve"> the ability of an organization to meet its financial obligations. Solvency also indicates how much the organization depends on its creditors and banks can use this when the organization applies for a credit facility</w:t>
      </w:r>
      <w:r w:rsidRPr="00ED38E8">
        <w:rPr>
          <w:rFonts w:ascii="Arial" w:hAnsi="Arial" w:cs="Arial"/>
          <w:color w:val="212121"/>
          <w:shd w:val="clear" w:color="auto" w:fill="FFFFFF"/>
        </w:rPr>
        <w:t>.</w:t>
      </w:r>
      <w:bookmarkStart w:id="54" w:name="_Toc18330047"/>
    </w:p>
    <w:p w:rsidR="009C5AAE" w:rsidRPr="009779F9" w:rsidRDefault="009C5AAE" w:rsidP="009C5AAE">
      <w:pPr>
        <w:rPr>
          <w:rFonts w:ascii="Arial" w:hAnsi="Arial" w:cs="Arial"/>
          <w:sz w:val="24"/>
          <w:szCs w:val="24"/>
        </w:rPr>
      </w:pPr>
      <w:r w:rsidRPr="00ED38E8">
        <w:rPr>
          <w:rFonts w:ascii="Arial" w:eastAsia="Calibri" w:hAnsi="Arial" w:cs="Arial"/>
          <w:b/>
          <w:bCs/>
          <w:color w:val="984806" w:themeColor="accent6" w:themeShade="80"/>
          <w:sz w:val="28"/>
          <w:szCs w:val="28"/>
        </w:rPr>
        <w:t>4.1.15: Debt to Equity Ratio</w:t>
      </w:r>
      <w:bookmarkEnd w:id="54"/>
    </w:p>
    <w:p w:rsidR="009C5AAE" w:rsidRPr="00ED38E8" w:rsidRDefault="009C5AAE" w:rsidP="009C5AAE">
      <w:pPr>
        <w:rPr>
          <w:rFonts w:ascii="Arial" w:eastAsia="Calibri" w:hAnsi="Arial" w:cs="Arial"/>
          <w:b/>
          <w:color w:val="984806"/>
          <w:sz w:val="28"/>
        </w:rPr>
      </w:pPr>
    </w:p>
    <w:tbl>
      <w:tblPr>
        <w:tblStyle w:val="GridTable5Dark-Accent11"/>
        <w:tblW w:w="10073" w:type="dxa"/>
        <w:tblLook w:val="04A0" w:firstRow="1" w:lastRow="0" w:firstColumn="1" w:lastColumn="0" w:noHBand="0" w:noVBand="1"/>
      </w:tblPr>
      <w:tblGrid>
        <w:gridCol w:w="920"/>
        <w:gridCol w:w="1865"/>
        <w:gridCol w:w="1865"/>
        <w:gridCol w:w="1693"/>
        <w:gridCol w:w="1865"/>
        <w:gridCol w:w="1865"/>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10072"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15. Debt to Equity Ratio= (Total liabilities/Total shareholders' equity)</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920"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65"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65"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93"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65"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65"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577"/>
        </w:trPr>
        <w:tc>
          <w:tcPr>
            <w:cnfStyle w:val="001000000000" w:firstRow="0" w:lastRow="0" w:firstColumn="1" w:lastColumn="0" w:oddVBand="0" w:evenVBand="0" w:oddHBand="0" w:evenHBand="0" w:firstRowFirstColumn="0" w:firstRowLastColumn="0" w:lastRowFirstColumn="0" w:lastRowLastColumn="0"/>
            <w:tcW w:w="920"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65"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9.038868721</w:t>
            </w:r>
          </w:p>
        </w:tc>
        <w:tc>
          <w:tcPr>
            <w:tcW w:w="1865"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9.653635136</w:t>
            </w:r>
          </w:p>
        </w:tc>
        <w:tc>
          <w:tcPr>
            <w:tcW w:w="1693"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9.06046048</w:t>
            </w:r>
          </w:p>
        </w:tc>
        <w:tc>
          <w:tcPr>
            <w:tcW w:w="1865"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7.762431122</w:t>
            </w:r>
          </w:p>
        </w:tc>
        <w:tc>
          <w:tcPr>
            <w:tcW w:w="1865"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8.537187713</w:t>
            </w:r>
          </w:p>
        </w:tc>
      </w:tr>
    </w:tbl>
    <w:p w:rsidR="009C5AAE" w:rsidRPr="00ED38E8" w:rsidRDefault="009C5AAE" w:rsidP="009C5AAE">
      <w:pPr>
        <w:rPr>
          <w:rFonts w:ascii="Arial" w:hAnsi="Arial" w:cs="Arial"/>
          <w:sz w:val="24"/>
          <w:szCs w:val="24"/>
        </w:rPr>
      </w:pPr>
    </w:p>
    <w:p w:rsidR="009C5AAE" w:rsidRPr="00ED38E8" w:rsidRDefault="009C5AAE" w:rsidP="009C5AAE">
      <w:pPr>
        <w:rPr>
          <w:rFonts w:ascii="Arial" w:hAnsi="Arial" w:cs="Arial"/>
          <w:sz w:val="24"/>
          <w:szCs w:val="24"/>
        </w:rPr>
      </w:pPr>
    </w:p>
    <w:p w:rsidR="009C5AAE" w:rsidRPr="00ED38E8" w:rsidRDefault="009C5AAE" w:rsidP="009C5AAE">
      <w:pPr>
        <w:rPr>
          <w:rFonts w:ascii="Arial" w:hAnsi="Arial" w:cs="Arial"/>
          <w:sz w:val="24"/>
          <w:szCs w:val="24"/>
        </w:rPr>
      </w:pPr>
      <w:r w:rsidRPr="00ED38E8">
        <w:rPr>
          <w:rFonts w:ascii="Arial" w:hAnsi="Arial" w:cs="Arial"/>
          <w:noProof/>
        </w:rPr>
        <w:lastRenderedPageBreak/>
        <w:drawing>
          <wp:inline distT="0" distB="0" distL="0" distR="0" wp14:anchorId="5FD2B126" wp14:editId="30E2E109">
            <wp:extent cx="6302829" cy="2667000"/>
            <wp:effectExtent l="0" t="0" r="22225" b="19050"/>
            <wp:docPr id="165115" name="Chart 16511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5E22E843-EBBD-4FCA-B043-FE560021CF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9C5AAE" w:rsidRPr="00934F24" w:rsidRDefault="009C5AAE" w:rsidP="009C5AAE">
      <w:pPr>
        <w:autoSpaceDE w:val="0"/>
        <w:autoSpaceDN w:val="0"/>
        <w:adjustRightInd w:val="0"/>
        <w:spacing w:after="0" w:line="240" w:lineRule="auto"/>
        <w:jc w:val="both"/>
        <w:rPr>
          <w:rFonts w:ascii="Arial" w:hAnsi="Arial" w:cs="Arial"/>
        </w:rPr>
      </w:pPr>
      <w:r w:rsidRPr="00934F24">
        <w:rPr>
          <w:rFonts w:ascii="Arial" w:hAnsi="Arial" w:cs="Arial"/>
        </w:rPr>
        <w:t xml:space="preserve">Debt to equity ratio refers the leverage position of a firm or how much debt is used for financing compared to the financing through the shareholders’ equity. If we evaluate the last </w:t>
      </w:r>
      <w:r>
        <w:rPr>
          <w:rFonts w:ascii="Arial" w:hAnsi="Arial" w:cs="Arial"/>
        </w:rPr>
        <w:t>2</w:t>
      </w:r>
      <w:r w:rsidRPr="00934F24">
        <w:rPr>
          <w:rFonts w:ascii="Arial" w:hAnsi="Arial" w:cs="Arial"/>
        </w:rPr>
        <w:t xml:space="preserve"> years debt to equity ratio of IDLC, we can see the dependency of IDLC on debt had been increasing than the equity for financing or they are relying more on deposits for the funding. In 2018, their amount of debt is 8.53 times more than the equity financing. This ratio indicates that they were able to </w:t>
      </w:r>
      <w:r>
        <w:rPr>
          <w:rFonts w:ascii="Arial" w:hAnsi="Arial" w:cs="Arial"/>
        </w:rPr>
        <w:t>convince</w:t>
      </w:r>
      <w:r w:rsidRPr="00934F24">
        <w:rPr>
          <w:rFonts w:ascii="Arial" w:hAnsi="Arial" w:cs="Arial"/>
        </w:rPr>
        <w:t xml:space="preserve"> more and more customers for depositing their fund. </w:t>
      </w:r>
      <w:r w:rsidR="00003A48">
        <w:rPr>
          <w:rFonts w:ascii="Arial" w:hAnsi="Arial" w:cs="Arial"/>
        </w:rPr>
        <w:t>Any other way</w:t>
      </w:r>
      <w:r w:rsidRPr="00934F24">
        <w:rPr>
          <w:rFonts w:ascii="Arial" w:hAnsi="Arial" w:cs="Arial"/>
        </w:rPr>
        <w:t>, it negatively affects the solvency because of the high amount of debt over the equity.</w:t>
      </w: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934F24" w:rsidRDefault="009C5AAE" w:rsidP="009C5AAE">
      <w:pPr>
        <w:pStyle w:val="Heading3"/>
        <w:rPr>
          <w:rFonts w:ascii="Arial" w:eastAsia="Calibri" w:hAnsi="Arial" w:cs="Arial"/>
          <w:b/>
          <w:bCs/>
          <w:color w:val="984806" w:themeColor="accent6" w:themeShade="80"/>
          <w:sz w:val="28"/>
          <w:szCs w:val="28"/>
        </w:rPr>
      </w:pPr>
      <w:bookmarkStart w:id="55" w:name="_Toc18330048"/>
      <w:r w:rsidRPr="00ED38E8">
        <w:rPr>
          <w:rFonts w:ascii="Arial" w:eastAsia="Calibri" w:hAnsi="Arial" w:cs="Arial"/>
          <w:b/>
          <w:bCs/>
          <w:color w:val="984806" w:themeColor="accent6" w:themeShade="80"/>
          <w:sz w:val="28"/>
          <w:szCs w:val="28"/>
        </w:rPr>
        <w:t>4.1.16: Total debt to total asset ratio</w:t>
      </w:r>
      <w:bookmarkEnd w:id="55"/>
    </w:p>
    <w:tbl>
      <w:tblPr>
        <w:tblStyle w:val="GridTable5Dark-Accent11"/>
        <w:tblW w:w="9817" w:type="dxa"/>
        <w:tblLook w:val="04A0" w:firstRow="1" w:lastRow="0" w:firstColumn="1" w:lastColumn="0" w:noHBand="0" w:noVBand="1"/>
      </w:tblPr>
      <w:tblGrid>
        <w:gridCol w:w="897"/>
        <w:gridCol w:w="1817"/>
        <w:gridCol w:w="1817"/>
        <w:gridCol w:w="1650"/>
        <w:gridCol w:w="1817"/>
        <w:gridCol w:w="1819"/>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9817"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16. Total debt to total asset ratio= (Total liabilities/Total assets)</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897"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1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1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50"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1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1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518"/>
        </w:trPr>
        <w:tc>
          <w:tcPr>
            <w:cnfStyle w:val="001000000000" w:firstRow="0" w:lastRow="0" w:firstColumn="1" w:lastColumn="0" w:oddVBand="0" w:evenVBand="0" w:oddHBand="0" w:evenHBand="0" w:firstRowFirstColumn="0" w:firstRowLastColumn="0" w:lastRowFirstColumn="0" w:lastRowLastColumn="0"/>
            <w:tcW w:w="897"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1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0.900387182</w:t>
            </w:r>
          </w:p>
        </w:tc>
        <w:tc>
          <w:tcPr>
            <w:tcW w:w="181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0.906135325</w:t>
            </w:r>
          </w:p>
        </w:tc>
        <w:tc>
          <w:tcPr>
            <w:tcW w:w="1650"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0.90060097</w:t>
            </w:r>
          </w:p>
        </w:tc>
        <w:tc>
          <w:tcPr>
            <w:tcW w:w="181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0.885876421</w:t>
            </w:r>
          </w:p>
        </w:tc>
        <w:tc>
          <w:tcPr>
            <w:tcW w:w="181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0.895147288</w:t>
            </w:r>
          </w:p>
        </w:tc>
      </w:tr>
    </w:tbl>
    <w:p w:rsidR="009C5AAE" w:rsidRPr="00ED38E8" w:rsidRDefault="009C5AAE" w:rsidP="009C5AAE">
      <w:pPr>
        <w:autoSpaceDE w:val="0"/>
        <w:autoSpaceDN w:val="0"/>
        <w:adjustRightInd w:val="0"/>
        <w:spacing w:after="0" w:line="240" w:lineRule="auto"/>
        <w:jc w:val="both"/>
        <w:rPr>
          <w:rFonts w:ascii="Arial" w:hAnsi="Arial" w:cs="Arial"/>
        </w:rPr>
      </w:pPr>
      <w:r w:rsidRPr="00ED38E8">
        <w:rPr>
          <w:rFonts w:ascii="Arial" w:hAnsi="Arial" w:cs="Arial"/>
          <w:noProof/>
        </w:rPr>
        <w:drawing>
          <wp:inline distT="0" distB="0" distL="0" distR="0" wp14:anchorId="0ADFF522" wp14:editId="4CCBCB2E">
            <wp:extent cx="5819775" cy="2638425"/>
            <wp:effectExtent l="0" t="0" r="9525" b="9525"/>
            <wp:docPr id="165116" name="Chart 16511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CB7A4426-2771-497D-A91F-1D8F30207C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9C5AAE" w:rsidRPr="009B1661" w:rsidRDefault="009C5AAE" w:rsidP="009C5AAE">
      <w:pPr>
        <w:autoSpaceDE w:val="0"/>
        <w:autoSpaceDN w:val="0"/>
        <w:adjustRightInd w:val="0"/>
        <w:spacing w:after="0" w:line="240" w:lineRule="auto"/>
        <w:jc w:val="both"/>
        <w:rPr>
          <w:rFonts w:ascii="Arial" w:hAnsi="Arial" w:cs="Arial"/>
        </w:rPr>
      </w:pPr>
      <w:r w:rsidRPr="009B1661">
        <w:rPr>
          <w:rFonts w:ascii="Arial" w:hAnsi="Arial" w:cs="Arial"/>
        </w:rPr>
        <w:lastRenderedPageBreak/>
        <w:t xml:space="preserve">Total debt to total asset ratio refers the proportion of total debt over the total assets. It is known to all that the major </w:t>
      </w:r>
      <w:proofErr w:type="gramStart"/>
      <w:r w:rsidRPr="009B1661">
        <w:rPr>
          <w:rFonts w:ascii="Arial" w:hAnsi="Arial" w:cs="Arial"/>
        </w:rPr>
        <w:t>sources of fund of a FI’s is</w:t>
      </w:r>
      <w:proofErr w:type="gramEnd"/>
      <w:r w:rsidRPr="009B1661">
        <w:rPr>
          <w:rFonts w:ascii="Arial" w:hAnsi="Arial" w:cs="Arial"/>
        </w:rPr>
        <w:t xml:space="preserve"> the deposits from the general people and so the amount of debt would be higher relative to other type of institution. That’s the reason we have found a low proportion of debt of IDLC in the last </w:t>
      </w:r>
      <w:r>
        <w:rPr>
          <w:rFonts w:ascii="Arial" w:hAnsi="Arial" w:cs="Arial"/>
        </w:rPr>
        <w:t>5</w:t>
      </w:r>
      <w:r w:rsidRPr="009B1661">
        <w:rPr>
          <w:rFonts w:ascii="Arial" w:hAnsi="Arial" w:cs="Arial"/>
        </w:rPr>
        <w:t xml:space="preserve"> years over the total assets and the proportion had been decreasing year by year. Debt to equity ratio supports this fact.</w:t>
      </w:r>
    </w:p>
    <w:p w:rsidR="009C5AAE" w:rsidRPr="009B1661" w:rsidRDefault="009C5AAE" w:rsidP="009C5AAE">
      <w:pPr>
        <w:autoSpaceDE w:val="0"/>
        <w:autoSpaceDN w:val="0"/>
        <w:adjustRightInd w:val="0"/>
        <w:spacing w:after="0" w:line="240" w:lineRule="auto"/>
        <w:jc w:val="both"/>
        <w:rPr>
          <w:rFonts w:ascii="Arial" w:hAnsi="Arial" w:cs="Arial"/>
        </w:rPr>
      </w:pPr>
    </w:p>
    <w:p w:rsidR="009C5AAE" w:rsidRPr="009B1661" w:rsidRDefault="009C5AAE" w:rsidP="009C5AAE">
      <w:pPr>
        <w:autoSpaceDE w:val="0"/>
        <w:autoSpaceDN w:val="0"/>
        <w:adjustRightInd w:val="0"/>
        <w:spacing w:after="0" w:line="240" w:lineRule="auto"/>
        <w:jc w:val="both"/>
        <w:rPr>
          <w:rFonts w:ascii="Arial" w:hAnsi="Arial" w:cs="Arial"/>
        </w:rPr>
      </w:pPr>
      <w:r w:rsidRPr="009B1661">
        <w:rPr>
          <w:rFonts w:ascii="Arial" w:hAnsi="Arial" w:cs="Arial"/>
        </w:rPr>
        <w:t>In 2018, IDLC had 89.51% debt over the total assets. Higher proportion creates burden for the repayment over the periods which negatively affect the solvency condition of IDLC.</w:t>
      </w: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56" w:name="_Toc18330049"/>
      <w:r w:rsidRPr="00ED38E8">
        <w:rPr>
          <w:rFonts w:ascii="Arial" w:eastAsia="Calibri" w:hAnsi="Arial" w:cs="Arial"/>
          <w:b/>
          <w:bCs/>
          <w:color w:val="984806" w:themeColor="accent6" w:themeShade="80"/>
          <w:sz w:val="28"/>
          <w:szCs w:val="28"/>
        </w:rPr>
        <w:t>4.1.17: Total equity to total assets</w:t>
      </w:r>
      <w:bookmarkEnd w:id="56"/>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9781" w:type="dxa"/>
        <w:tblLook w:val="04A0" w:firstRow="1" w:lastRow="0" w:firstColumn="1" w:lastColumn="0" w:noHBand="0" w:noVBand="1"/>
      </w:tblPr>
      <w:tblGrid>
        <w:gridCol w:w="893"/>
        <w:gridCol w:w="1811"/>
        <w:gridCol w:w="1811"/>
        <w:gridCol w:w="1644"/>
        <w:gridCol w:w="1811"/>
        <w:gridCol w:w="1811"/>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666"/>
        </w:trPr>
        <w:tc>
          <w:tcPr>
            <w:cnfStyle w:val="001000000000" w:firstRow="0" w:lastRow="0" w:firstColumn="1" w:lastColumn="0" w:oddVBand="0" w:evenVBand="0" w:oddHBand="0" w:evenHBand="0" w:firstRowFirstColumn="0" w:firstRowLastColumn="0" w:lastRowFirstColumn="0" w:lastRowLastColumn="0"/>
            <w:tcW w:w="9780"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17. Total equity to total assets= (Total shareholders' equity/Total assets)</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666"/>
        </w:trPr>
        <w:tc>
          <w:tcPr>
            <w:cnfStyle w:val="001000000000" w:firstRow="0" w:lastRow="0" w:firstColumn="1" w:lastColumn="0" w:oddVBand="0" w:evenVBand="0" w:oddHBand="0" w:evenHBand="0" w:firstRowFirstColumn="0" w:firstRowLastColumn="0" w:lastRowFirstColumn="0" w:lastRowLastColumn="0"/>
            <w:tcW w:w="893"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11"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11"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44"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11"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11"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666"/>
        </w:trPr>
        <w:tc>
          <w:tcPr>
            <w:cnfStyle w:val="001000000000" w:firstRow="0" w:lastRow="0" w:firstColumn="1" w:lastColumn="0" w:oddVBand="0" w:evenVBand="0" w:oddHBand="0" w:evenHBand="0" w:firstRowFirstColumn="0" w:firstRowLastColumn="0" w:lastRowFirstColumn="0" w:lastRowLastColumn="0"/>
            <w:tcW w:w="893"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11"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0.099612818</w:t>
            </w:r>
          </w:p>
        </w:tc>
        <w:tc>
          <w:tcPr>
            <w:tcW w:w="1811"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0.093864675</w:t>
            </w:r>
          </w:p>
        </w:tc>
        <w:tc>
          <w:tcPr>
            <w:tcW w:w="1644"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0.09939903</w:t>
            </w:r>
          </w:p>
        </w:tc>
        <w:tc>
          <w:tcPr>
            <w:tcW w:w="1811"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0.114123579</w:t>
            </w:r>
          </w:p>
        </w:tc>
        <w:tc>
          <w:tcPr>
            <w:tcW w:w="1811"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0.104852712</w:t>
            </w:r>
          </w:p>
        </w:tc>
      </w:tr>
    </w:tbl>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r w:rsidRPr="00ED38E8">
        <w:rPr>
          <w:rFonts w:ascii="Arial" w:hAnsi="Arial" w:cs="Arial"/>
          <w:noProof/>
        </w:rPr>
        <w:drawing>
          <wp:inline distT="0" distB="0" distL="0" distR="0" wp14:anchorId="413E7588" wp14:editId="142FC9BC">
            <wp:extent cx="6193971" cy="2819400"/>
            <wp:effectExtent l="0" t="0" r="16510" b="19050"/>
            <wp:docPr id="165117" name="Chart 16511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6FC5E76D-B368-4DF3-9E6E-C66955A0A1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9C5AAE" w:rsidRPr="00ED38E8" w:rsidRDefault="009C5AAE" w:rsidP="009C5AAE">
      <w:pPr>
        <w:rPr>
          <w:rFonts w:ascii="Arial" w:hAnsi="Arial" w:cs="Arial"/>
        </w:rPr>
      </w:pPr>
    </w:p>
    <w:p w:rsidR="009C5AAE" w:rsidRPr="009B1661" w:rsidRDefault="009C5AAE" w:rsidP="009C5AAE">
      <w:pPr>
        <w:autoSpaceDE w:val="0"/>
        <w:autoSpaceDN w:val="0"/>
        <w:adjustRightInd w:val="0"/>
        <w:spacing w:after="0" w:line="240" w:lineRule="auto"/>
        <w:jc w:val="both"/>
        <w:rPr>
          <w:rFonts w:ascii="Arial" w:hAnsi="Arial" w:cs="Arial"/>
        </w:rPr>
      </w:pPr>
      <w:r w:rsidRPr="009B1661">
        <w:rPr>
          <w:rFonts w:ascii="Arial" w:hAnsi="Arial" w:cs="Arial"/>
        </w:rPr>
        <w:t xml:space="preserve">Total equity to total asset ratio refers the proportion of total equity over the total assets. From the nature of FI’s, it is </w:t>
      </w:r>
      <w:r>
        <w:rPr>
          <w:rFonts w:ascii="Arial" w:hAnsi="Arial" w:cs="Arial"/>
        </w:rPr>
        <w:t>simply to</w:t>
      </w:r>
      <w:r w:rsidRPr="009B1661">
        <w:rPr>
          <w:rFonts w:ascii="Arial" w:hAnsi="Arial" w:cs="Arial"/>
        </w:rPr>
        <w:t xml:space="preserve"> understand that major source of financing is deposits and so, the proportion of total equity over the total assets is small and we can see the same thing in terms of financing of IDLC. In 2018, the proportion of total equity over total assets is 10.49% and this ratio was increasing since the last </w:t>
      </w:r>
      <w:r>
        <w:rPr>
          <w:rFonts w:ascii="Arial" w:hAnsi="Arial" w:cs="Arial"/>
        </w:rPr>
        <w:t>5 years. That means</w:t>
      </w:r>
      <w:r w:rsidRPr="009B1661">
        <w:rPr>
          <w:rFonts w:ascii="Arial" w:hAnsi="Arial" w:cs="Arial"/>
        </w:rPr>
        <w:t xml:space="preserve"> they were relying more on shareholders’ equity for the financing.</w:t>
      </w:r>
    </w:p>
    <w:p w:rsidR="009C5AAE" w:rsidRPr="009B1661"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57" w:name="_Toc18330050"/>
      <w:r w:rsidRPr="00ED38E8">
        <w:rPr>
          <w:rFonts w:ascii="Arial" w:eastAsia="Calibri" w:hAnsi="Arial" w:cs="Arial"/>
          <w:b/>
          <w:bCs/>
          <w:color w:val="984806" w:themeColor="accent6" w:themeShade="80"/>
          <w:sz w:val="28"/>
          <w:szCs w:val="28"/>
        </w:rPr>
        <w:t>4.1.18: Loan to Total Asset Ratio</w:t>
      </w:r>
      <w:bookmarkEnd w:id="57"/>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9840" w:type="dxa"/>
        <w:tblLook w:val="04A0" w:firstRow="1" w:lastRow="0" w:firstColumn="1" w:lastColumn="0" w:noHBand="0" w:noVBand="1"/>
      </w:tblPr>
      <w:tblGrid>
        <w:gridCol w:w="918"/>
        <w:gridCol w:w="1853"/>
        <w:gridCol w:w="1853"/>
        <w:gridCol w:w="1510"/>
        <w:gridCol w:w="1853"/>
        <w:gridCol w:w="1853"/>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9838"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18. Loan to Total Asset Ratio= (Loans &amp; Advance/Total Assets)</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918"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53"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53"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510"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53"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53"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655"/>
        </w:trPr>
        <w:tc>
          <w:tcPr>
            <w:cnfStyle w:val="001000000000" w:firstRow="0" w:lastRow="0" w:firstColumn="1" w:lastColumn="0" w:oddVBand="0" w:evenVBand="0" w:oddHBand="0" w:evenHBand="0" w:firstRowFirstColumn="0" w:firstRowLastColumn="0" w:lastRowFirstColumn="0" w:lastRowLastColumn="0"/>
            <w:tcW w:w="918"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53"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0.793370993</w:t>
            </w:r>
          </w:p>
        </w:tc>
        <w:tc>
          <w:tcPr>
            <w:tcW w:w="1853"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0.750434466</w:t>
            </w:r>
          </w:p>
        </w:tc>
        <w:tc>
          <w:tcPr>
            <w:tcW w:w="1510"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0.7991057</w:t>
            </w:r>
          </w:p>
        </w:tc>
        <w:tc>
          <w:tcPr>
            <w:tcW w:w="1853"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0.763037299</w:t>
            </w:r>
          </w:p>
        </w:tc>
        <w:tc>
          <w:tcPr>
            <w:tcW w:w="1853"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0.783497204</w:t>
            </w:r>
          </w:p>
        </w:tc>
      </w:tr>
    </w:tbl>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r w:rsidRPr="00ED38E8">
        <w:rPr>
          <w:rFonts w:ascii="Arial" w:hAnsi="Arial" w:cs="Arial"/>
          <w:noProof/>
        </w:rPr>
        <w:drawing>
          <wp:inline distT="0" distB="0" distL="0" distR="0" wp14:anchorId="085AF749" wp14:editId="24CD51A9">
            <wp:extent cx="6052457" cy="2852057"/>
            <wp:effectExtent l="0" t="0" r="24765" b="24765"/>
            <wp:docPr id="165118" name="Chart 16511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626D7B24-2F47-444C-811D-DDFF364FCE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9C5AAE" w:rsidRPr="00ED38E8" w:rsidRDefault="009C5AAE" w:rsidP="009C5AAE">
      <w:pPr>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9B1661" w:rsidRDefault="009C5AAE" w:rsidP="009C5AAE">
      <w:pPr>
        <w:autoSpaceDE w:val="0"/>
        <w:autoSpaceDN w:val="0"/>
        <w:adjustRightInd w:val="0"/>
        <w:spacing w:after="0" w:line="240" w:lineRule="auto"/>
        <w:jc w:val="both"/>
        <w:rPr>
          <w:rFonts w:ascii="Arial" w:hAnsi="Arial" w:cs="Arial"/>
        </w:rPr>
      </w:pPr>
      <w:r w:rsidRPr="009B1661">
        <w:rPr>
          <w:rFonts w:ascii="Arial" w:hAnsi="Arial" w:cs="Arial"/>
        </w:rPr>
        <w:t>Total loan to total assets refers the proportion of loan among the total assets. As we all know that the major use of fund for any FI’s is providing loan to the borrowers and so, this total loan to total asset ratio would be high and the same scenario in case of IDLC. In 2018, the total loan was 78.35% over total assets.</w:t>
      </w: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Default="009C5AAE" w:rsidP="009C5AAE">
      <w:pPr>
        <w:pStyle w:val="Heading3"/>
        <w:rPr>
          <w:rFonts w:ascii="Arial" w:eastAsia="Calibri" w:hAnsi="Arial" w:cs="Arial"/>
          <w:b/>
          <w:bCs/>
          <w:color w:val="984806" w:themeColor="accent6" w:themeShade="80"/>
          <w:sz w:val="28"/>
          <w:szCs w:val="28"/>
        </w:rPr>
      </w:pPr>
      <w:bookmarkStart w:id="58" w:name="_Toc18330051"/>
    </w:p>
    <w:p w:rsidR="009C5AAE" w:rsidRPr="00ED38E8" w:rsidRDefault="009C5AAE" w:rsidP="009C5AAE">
      <w:pPr>
        <w:pStyle w:val="Heading3"/>
        <w:rPr>
          <w:rFonts w:ascii="Arial" w:eastAsia="Calibri" w:hAnsi="Arial" w:cs="Arial"/>
          <w:b/>
          <w:bCs/>
          <w:color w:val="984806" w:themeColor="accent6" w:themeShade="80"/>
          <w:sz w:val="28"/>
          <w:szCs w:val="28"/>
        </w:rPr>
      </w:pPr>
      <w:r w:rsidRPr="00ED38E8">
        <w:rPr>
          <w:rFonts w:ascii="Arial" w:eastAsia="Calibri" w:hAnsi="Arial" w:cs="Arial"/>
          <w:b/>
          <w:bCs/>
          <w:color w:val="984806" w:themeColor="accent6" w:themeShade="80"/>
          <w:sz w:val="28"/>
          <w:szCs w:val="28"/>
        </w:rPr>
        <w:t>4.1.19:  Loan to Deposit Ratio</w:t>
      </w:r>
      <w:bookmarkEnd w:id="58"/>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9651" w:type="dxa"/>
        <w:tblLook w:val="04A0" w:firstRow="1" w:lastRow="0" w:firstColumn="1" w:lastColumn="0" w:noHBand="0" w:noVBand="1"/>
      </w:tblPr>
      <w:tblGrid>
        <w:gridCol w:w="881"/>
        <w:gridCol w:w="1787"/>
        <w:gridCol w:w="1787"/>
        <w:gridCol w:w="1622"/>
        <w:gridCol w:w="1787"/>
        <w:gridCol w:w="1787"/>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653"/>
        </w:trPr>
        <w:tc>
          <w:tcPr>
            <w:cnfStyle w:val="001000000000" w:firstRow="0" w:lastRow="0" w:firstColumn="1" w:lastColumn="0" w:oddVBand="0" w:evenVBand="0" w:oddHBand="0" w:evenHBand="0" w:firstRowFirstColumn="0" w:firstRowLastColumn="0" w:lastRowFirstColumn="0" w:lastRowLastColumn="0"/>
            <w:tcW w:w="9651"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19. Loan to Deposit Ratio= (Loan &amp; Advance/Total Deposit)</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653"/>
        </w:trPr>
        <w:tc>
          <w:tcPr>
            <w:cnfStyle w:val="001000000000" w:firstRow="0" w:lastRow="0" w:firstColumn="1" w:lastColumn="0" w:oddVBand="0" w:evenVBand="0" w:oddHBand="0" w:evenHBand="0" w:firstRowFirstColumn="0" w:firstRowLastColumn="0" w:lastRowFirstColumn="0" w:lastRowLastColumn="0"/>
            <w:tcW w:w="881"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78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78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2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78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78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653"/>
        </w:trPr>
        <w:tc>
          <w:tcPr>
            <w:cnfStyle w:val="001000000000" w:firstRow="0" w:lastRow="0" w:firstColumn="1" w:lastColumn="0" w:oddVBand="0" w:evenVBand="0" w:oddHBand="0" w:evenHBand="0" w:firstRowFirstColumn="0" w:firstRowLastColumn="0" w:lastRowFirstColumn="0" w:lastRowLastColumn="0"/>
            <w:tcW w:w="881"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78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1.239177108</w:t>
            </w:r>
          </w:p>
        </w:tc>
        <w:tc>
          <w:tcPr>
            <w:tcW w:w="178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1.127665458</w:t>
            </w:r>
          </w:p>
        </w:tc>
        <w:tc>
          <w:tcPr>
            <w:tcW w:w="162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1.23723759</w:t>
            </w:r>
          </w:p>
        </w:tc>
        <w:tc>
          <w:tcPr>
            <w:tcW w:w="178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1.125658573</w:t>
            </w:r>
          </w:p>
        </w:tc>
        <w:tc>
          <w:tcPr>
            <w:tcW w:w="178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1.116765463</w:t>
            </w:r>
          </w:p>
        </w:tc>
      </w:tr>
    </w:tbl>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r w:rsidRPr="00ED38E8">
        <w:rPr>
          <w:rFonts w:ascii="Arial" w:hAnsi="Arial" w:cs="Arial"/>
          <w:noProof/>
        </w:rPr>
        <w:drawing>
          <wp:inline distT="0" distB="0" distL="0" distR="0" wp14:anchorId="73C28553" wp14:editId="0881C58E">
            <wp:extent cx="6153150" cy="2857500"/>
            <wp:effectExtent l="0" t="0" r="19050" b="19050"/>
            <wp:docPr id="165119" name="Chart 16511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2332331B-3734-47D1-B411-801EABBD04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9C5AAE" w:rsidRPr="00ED38E8" w:rsidRDefault="009C5AAE" w:rsidP="009C5AAE">
      <w:pPr>
        <w:rPr>
          <w:rFonts w:ascii="Arial" w:hAnsi="Arial" w:cs="Arial"/>
          <w:sz w:val="24"/>
          <w:szCs w:val="24"/>
        </w:rPr>
      </w:pPr>
    </w:p>
    <w:p w:rsidR="009C5AAE" w:rsidRPr="00ED38E8" w:rsidRDefault="009C5AAE" w:rsidP="009C5AAE">
      <w:pPr>
        <w:rPr>
          <w:rFonts w:ascii="Arial" w:hAnsi="Arial" w:cs="Arial"/>
          <w:sz w:val="24"/>
          <w:szCs w:val="24"/>
        </w:rPr>
      </w:pPr>
    </w:p>
    <w:p w:rsidR="009C5AAE" w:rsidRPr="009B1661" w:rsidRDefault="009C5AAE" w:rsidP="009C5AAE">
      <w:pPr>
        <w:autoSpaceDE w:val="0"/>
        <w:autoSpaceDN w:val="0"/>
        <w:adjustRightInd w:val="0"/>
        <w:spacing w:after="0" w:line="240" w:lineRule="auto"/>
        <w:jc w:val="both"/>
        <w:rPr>
          <w:rFonts w:ascii="Arial" w:hAnsi="Arial" w:cs="Arial"/>
        </w:rPr>
      </w:pPr>
      <w:r w:rsidRPr="009B1661">
        <w:rPr>
          <w:rFonts w:ascii="Arial" w:hAnsi="Arial" w:cs="Arial"/>
        </w:rPr>
        <w:t xml:space="preserve">Loan to deposit ratio refers how much loans are issued against the deposited fund collected from the depositors. This ratio can show the solvency picture of a firm. If we evaluate the last </w:t>
      </w:r>
      <w:r>
        <w:rPr>
          <w:rFonts w:ascii="Arial" w:hAnsi="Arial" w:cs="Arial"/>
        </w:rPr>
        <w:t>5</w:t>
      </w:r>
      <w:r w:rsidRPr="009B1661">
        <w:rPr>
          <w:rFonts w:ascii="Arial" w:hAnsi="Arial" w:cs="Arial"/>
        </w:rPr>
        <w:t xml:space="preserve"> years data of IDLC, we have found that they had been issuing more loans against the deposits and it is very good indication for better solvency of firm. </w:t>
      </w:r>
      <w:r w:rsidR="00007BDB">
        <w:rPr>
          <w:rFonts w:ascii="Arial" w:hAnsi="Arial" w:cs="Arial"/>
        </w:rPr>
        <w:t>In</w:t>
      </w:r>
      <w:r w:rsidRPr="009B1661">
        <w:rPr>
          <w:rFonts w:ascii="Arial" w:hAnsi="Arial" w:cs="Arial"/>
        </w:rPr>
        <w:t xml:space="preserve"> 2018, they issued 1.12 BDT loan against 1 BDT deposits. This ratio indicates that they are enough capable to the deposits and also earning profit.</w:t>
      </w: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59" w:name="_Toc18330052"/>
      <w:r w:rsidRPr="00ED38E8">
        <w:rPr>
          <w:rFonts w:ascii="Arial" w:eastAsia="Calibri" w:hAnsi="Arial" w:cs="Arial"/>
          <w:b/>
          <w:bCs/>
          <w:color w:val="984806" w:themeColor="accent6" w:themeShade="80"/>
          <w:sz w:val="28"/>
          <w:szCs w:val="28"/>
        </w:rPr>
        <w:t>4.1.20: Equity Multiplier</w:t>
      </w:r>
      <w:bookmarkEnd w:id="59"/>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9441" w:type="dxa"/>
        <w:tblLook w:val="04A0" w:firstRow="1" w:lastRow="0" w:firstColumn="1" w:lastColumn="0" w:noHBand="0" w:noVBand="1"/>
      </w:tblPr>
      <w:tblGrid>
        <w:gridCol w:w="862"/>
        <w:gridCol w:w="1748"/>
        <w:gridCol w:w="1748"/>
        <w:gridCol w:w="1587"/>
        <w:gridCol w:w="1748"/>
        <w:gridCol w:w="1748"/>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9440"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20. Equity Multiplier= (Total Assets/Total Shareholders' Equity)</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62"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74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74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58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74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74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624"/>
        </w:trPr>
        <w:tc>
          <w:tcPr>
            <w:cnfStyle w:val="001000000000" w:firstRow="0" w:lastRow="0" w:firstColumn="1" w:lastColumn="0" w:oddVBand="0" w:evenVBand="0" w:oddHBand="0" w:evenHBand="0" w:firstRowFirstColumn="0" w:firstRowLastColumn="0" w:lastRowFirstColumn="0" w:lastRowLastColumn="0"/>
            <w:tcW w:w="862"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74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10.03886872</w:t>
            </w:r>
          </w:p>
        </w:tc>
        <w:tc>
          <w:tcPr>
            <w:tcW w:w="174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10.65363514</w:t>
            </w:r>
          </w:p>
        </w:tc>
        <w:tc>
          <w:tcPr>
            <w:tcW w:w="158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10.0604605</w:t>
            </w:r>
          </w:p>
        </w:tc>
        <w:tc>
          <w:tcPr>
            <w:tcW w:w="174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8.762431122</w:t>
            </w:r>
          </w:p>
        </w:tc>
        <w:tc>
          <w:tcPr>
            <w:tcW w:w="174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9.537187713</w:t>
            </w:r>
          </w:p>
        </w:tc>
      </w:tr>
    </w:tbl>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r w:rsidRPr="00ED38E8">
        <w:rPr>
          <w:rFonts w:ascii="Arial" w:hAnsi="Arial" w:cs="Arial"/>
          <w:noProof/>
        </w:rPr>
        <w:drawing>
          <wp:inline distT="0" distB="0" distL="0" distR="0" wp14:anchorId="75848A8F" wp14:editId="78C49611">
            <wp:extent cx="6096000" cy="2914650"/>
            <wp:effectExtent l="0" t="0" r="19050" b="19050"/>
            <wp:docPr id="32" name="Chart 3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0FB0A2FB-5AB3-49A3-A2FA-C6754641D7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9B1661" w:rsidRDefault="009C5AAE" w:rsidP="009C5AAE">
      <w:pPr>
        <w:autoSpaceDE w:val="0"/>
        <w:autoSpaceDN w:val="0"/>
        <w:adjustRightInd w:val="0"/>
        <w:spacing w:after="0" w:line="240" w:lineRule="auto"/>
        <w:jc w:val="both"/>
        <w:rPr>
          <w:rFonts w:ascii="Arial" w:hAnsi="Arial" w:cs="Arial"/>
        </w:rPr>
      </w:pPr>
      <w:proofErr w:type="gramStart"/>
      <w:r w:rsidRPr="009B1661">
        <w:rPr>
          <w:rFonts w:ascii="Arial" w:hAnsi="Arial" w:cs="Arial"/>
        </w:rPr>
        <w:t>In simple terms, equity multiplier is a measure of firm’ financial leverage.</w:t>
      </w:r>
      <w:proofErr w:type="gramEnd"/>
      <w:r w:rsidRPr="009B1661">
        <w:rPr>
          <w:rFonts w:ascii="Arial" w:hAnsi="Arial" w:cs="Arial"/>
        </w:rPr>
        <w:t xml:space="preserve"> Higher equity multiplier indicates that a larger portion of total asset is financed with debt. If we evaluate the above bar diagram, we can find the increasing rate of equity multiplier for the last </w:t>
      </w:r>
      <w:r>
        <w:rPr>
          <w:rFonts w:ascii="Arial" w:hAnsi="Arial" w:cs="Arial"/>
        </w:rPr>
        <w:t>5</w:t>
      </w:r>
      <w:r w:rsidRPr="009B1661">
        <w:rPr>
          <w:rFonts w:ascii="Arial" w:hAnsi="Arial" w:cs="Arial"/>
        </w:rPr>
        <w:t xml:space="preserve"> years and IDLC was carrying a high rate of EM in all the years which indicates the more dependency on debt rather equity and this finding is very obvious for us, because of the function of FI’s. In the year 2018, </w:t>
      </w:r>
      <w:r w:rsidR="00003A48">
        <w:rPr>
          <w:rFonts w:ascii="Arial" w:hAnsi="Arial" w:cs="Arial"/>
        </w:rPr>
        <w:t>IDLC</w:t>
      </w:r>
      <w:r w:rsidR="00007BDB">
        <w:rPr>
          <w:rFonts w:ascii="Arial" w:hAnsi="Arial" w:cs="Arial"/>
        </w:rPr>
        <w:t xml:space="preserve"> had 9.53 </w:t>
      </w:r>
      <w:r w:rsidRPr="009B1661">
        <w:rPr>
          <w:rFonts w:ascii="Arial" w:hAnsi="Arial" w:cs="Arial"/>
        </w:rPr>
        <w:t>times more financing by debt than equity. In the aggregate ROE model, we will get more clear knowledge of EM of IDLC.</w:t>
      </w:r>
    </w:p>
    <w:p w:rsidR="009C5AAE" w:rsidRPr="009B1661"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pStyle w:val="Heading2"/>
        <w:jc w:val="center"/>
        <w:rPr>
          <w:rFonts w:ascii="Arial" w:hAnsi="Arial" w:cs="Arial"/>
          <w:b/>
          <w:bCs/>
          <w:sz w:val="32"/>
          <w:szCs w:val="32"/>
        </w:rPr>
      </w:pPr>
      <w:bookmarkStart w:id="60" w:name="_Toc18330053"/>
      <w:r w:rsidRPr="00ED38E8">
        <w:rPr>
          <w:rFonts w:ascii="Arial" w:hAnsi="Arial" w:cs="Arial"/>
          <w:b/>
          <w:bCs/>
          <w:sz w:val="32"/>
          <w:szCs w:val="32"/>
        </w:rPr>
        <w:lastRenderedPageBreak/>
        <w:t>Efficiency Dimension</w:t>
      </w:r>
      <w:bookmarkEnd w:id="60"/>
    </w:p>
    <w:p w:rsidR="009C5AAE" w:rsidRPr="009B1661" w:rsidRDefault="004F236C" w:rsidP="00007BDB">
      <w:pPr>
        <w:tabs>
          <w:tab w:val="left" w:pos="3120"/>
        </w:tabs>
        <w:jc w:val="both"/>
        <w:rPr>
          <w:rFonts w:ascii="Arial" w:eastAsia="Calibri" w:hAnsi="Arial" w:cs="Arial"/>
          <w:b/>
          <w:color w:val="984806"/>
        </w:rPr>
      </w:pPr>
      <w:hyperlink r:id="rId44" w:history="1">
        <w:r w:rsidR="009C5AAE" w:rsidRPr="009B1661">
          <w:rPr>
            <w:rFonts w:ascii="Arial" w:hAnsi="Arial" w:cs="Arial"/>
            <w:shd w:val="clear" w:color="auto" w:fill="FFFFFF"/>
          </w:rPr>
          <w:t>Efficiency ratios</w:t>
        </w:r>
      </w:hyperlink>
      <w:r w:rsidR="009C5AAE" w:rsidRPr="009B1661">
        <w:rPr>
          <w:rFonts w:ascii="Arial" w:hAnsi="Arial" w:cs="Arial"/>
          <w:color w:val="111111"/>
          <w:shd w:val="clear" w:color="auto" w:fill="FFFFFF"/>
        </w:rPr>
        <w:t xml:space="preserve"> measure a company's ability to use its assets and manage its liabilities effectively in the current period or in the short-term. </w:t>
      </w:r>
      <w:r w:rsidR="009C5AAE">
        <w:rPr>
          <w:rFonts w:ascii="Arial" w:hAnsi="Arial" w:cs="Arial"/>
          <w:color w:val="111111"/>
          <w:shd w:val="clear" w:color="auto" w:fill="FFFFFF"/>
        </w:rPr>
        <w:t>T</w:t>
      </w:r>
      <w:r w:rsidR="009C5AAE" w:rsidRPr="009B1661">
        <w:rPr>
          <w:rFonts w:ascii="Arial" w:hAnsi="Arial" w:cs="Arial"/>
          <w:color w:val="111111"/>
          <w:shd w:val="clear" w:color="auto" w:fill="FFFFFF"/>
        </w:rPr>
        <w:t>hey are similar in that they measure the time it takes to generate cash or income from a client or by liquidating inventory.</w:t>
      </w:r>
    </w:p>
    <w:p w:rsidR="009C5AAE" w:rsidRPr="00ED38E8" w:rsidRDefault="009C5AAE" w:rsidP="009C5AAE">
      <w:pPr>
        <w:pStyle w:val="Heading3"/>
        <w:rPr>
          <w:rFonts w:ascii="Arial" w:eastAsia="Calibri" w:hAnsi="Arial" w:cs="Arial"/>
          <w:b/>
          <w:bCs/>
          <w:color w:val="984806" w:themeColor="accent6" w:themeShade="80"/>
          <w:sz w:val="28"/>
          <w:szCs w:val="28"/>
        </w:rPr>
      </w:pPr>
      <w:bookmarkStart w:id="61" w:name="_Toc18330054"/>
      <w:r w:rsidRPr="00ED38E8">
        <w:rPr>
          <w:rFonts w:ascii="Arial" w:eastAsia="Calibri" w:hAnsi="Arial" w:cs="Arial"/>
          <w:b/>
          <w:bCs/>
          <w:color w:val="984806" w:themeColor="accent6" w:themeShade="80"/>
          <w:sz w:val="28"/>
          <w:szCs w:val="28"/>
        </w:rPr>
        <w:t>4.1.21:</w:t>
      </w:r>
      <w:r w:rsidRPr="00ED38E8">
        <w:rPr>
          <w:rFonts w:ascii="Arial" w:eastAsia="Times New Roman" w:hAnsi="Arial" w:cs="Arial"/>
          <w:b/>
          <w:bCs/>
          <w:color w:val="984806" w:themeColor="accent6" w:themeShade="80"/>
          <w:sz w:val="28"/>
          <w:szCs w:val="28"/>
        </w:rPr>
        <w:t xml:space="preserve"> </w:t>
      </w:r>
      <w:r w:rsidRPr="00ED38E8">
        <w:rPr>
          <w:rFonts w:ascii="Arial" w:eastAsia="Calibri" w:hAnsi="Arial" w:cs="Arial"/>
          <w:b/>
          <w:bCs/>
          <w:color w:val="984806" w:themeColor="accent6" w:themeShade="80"/>
          <w:sz w:val="28"/>
          <w:szCs w:val="28"/>
        </w:rPr>
        <w:t>Asset Utilization Ratio</w:t>
      </w:r>
      <w:bookmarkEnd w:id="61"/>
    </w:p>
    <w:p w:rsidR="009C5AAE" w:rsidRPr="00ED38E8" w:rsidRDefault="009C5AAE" w:rsidP="009C5AAE">
      <w:pPr>
        <w:tabs>
          <w:tab w:val="left" w:pos="3120"/>
        </w:tabs>
        <w:rPr>
          <w:rFonts w:ascii="Arial" w:eastAsia="Calibri" w:hAnsi="Arial" w:cs="Arial"/>
          <w:b/>
          <w:color w:val="984806"/>
          <w:sz w:val="28"/>
        </w:rPr>
      </w:pPr>
    </w:p>
    <w:tbl>
      <w:tblPr>
        <w:tblStyle w:val="GridTable5Dark-Accent11"/>
        <w:tblW w:w="9787" w:type="dxa"/>
        <w:tblLook w:val="04A0" w:firstRow="1" w:lastRow="0" w:firstColumn="1" w:lastColumn="0" w:noHBand="0" w:noVBand="1"/>
      </w:tblPr>
      <w:tblGrid>
        <w:gridCol w:w="894"/>
        <w:gridCol w:w="1812"/>
        <w:gridCol w:w="1812"/>
        <w:gridCol w:w="1645"/>
        <w:gridCol w:w="1812"/>
        <w:gridCol w:w="1812"/>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9786"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21. Asset Utilization Ratio= (Total Revenue/Total Assets)</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894"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1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1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45"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1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1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658"/>
        </w:trPr>
        <w:tc>
          <w:tcPr>
            <w:cnfStyle w:val="001000000000" w:firstRow="0" w:lastRow="0" w:firstColumn="1" w:lastColumn="0" w:oddVBand="0" w:evenVBand="0" w:oddHBand="0" w:evenHBand="0" w:firstRowFirstColumn="0" w:firstRowLastColumn="0" w:lastRowFirstColumn="0" w:lastRowLastColumn="0"/>
            <w:tcW w:w="894"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1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0.137449259</w:t>
            </w:r>
          </w:p>
        </w:tc>
        <w:tc>
          <w:tcPr>
            <w:tcW w:w="181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0.122448095</w:t>
            </w:r>
          </w:p>
        </w:tc>
        <w:tc>
          <w:tcPr>
            <w:tcW w:w="1645"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0.11839278</w:t>
            </w:r>
          </w:p>
        </w:tc>
        <w:tc>
          <w:tcPr>
            <w:tcW w:w="181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0.104775358</w:t>
            </w:r>
          </w:p>
        </w:tc>
        <w:tc>
          <w:tcPr>
            <w:tcW w:w="181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0.111435777</w:t>
            </w:r>
          </w:p>
        </w:tc>
      </w:tr>
    </w:tbl>
    <w:p w:rsidR="009C5AAE" w:rsidRPr="00ED38E8" w:rsidRDefault="009C5AAE" w:rsidP="009C5AAE">
      <w:pPr>
        <w:tabs>
          <w:tab w:val="left" w:pos="3120"/>
        </w:tabs>
        <w:rPr>
          <w:rFonts w:ascii="Arial" w:hAnsi="Arial" w:cs="Arial"/>
          <w:sz w:val="32"/>
          <w:szCs w:val="32"/>
          <w:u w:val="single"/>
        </w:rPr>
      </w:pPr>
    </w:p>
    <w:p w:rsidR="009C5AAE" w:rsidRPr="009B1661" w:rsidRDefault="009C5AAE" w:rsidP="009C5AAE">
      <w:pPr>
        <w:tabs>
          <w:tab w:val="left" w:pos="3120"/>
        </w:tabs>
        <w:rPr>
          <w:rFonts w:ascii="Arial" w:hAnsi="Arial" w:cs="Arial"/>
          <w:sz w:val="32"/>
          <w:szCs w:val="32"/>
          <w:u w:val="single"/>
        </w:rPr>
      </w:pPr>
      <w:r w:rsidRPr="00ED38E8">
        <w:rPr>
          <w:rFonts w:ascii="Arial" w:hAnsi="Arial" w:cs="Arial"/>
          <w:noProof/>
        </w:rPr>
        <w:drawing>
          <wp:inline distT="0" distB="0" distL="0" distR="0" wp14:anchorId="28BE0FA0" wp14:editId="1E6A33EF">
            <wp:extent cx="6191250" cy="2962275"/>
            <wp:effectExtent l="0" t="0" r="19050" b="9525"/>
            <wp:docPr id="33" name="Chart 3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81A76A5A-0CBD-47FD-9BDD-1F17A2F9ED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9C5AAE" w:rsidRPr="009B1661" w:rsidRDefault="009C5AAE" w:rsidP="009C5AAE">
      <w:pPr>
        <w:autoSpaceDE w:val="0"/>
        <w:autoSpaceDN w:val="0"/>
        <w:adjustRightInd w:val="0"/>
        <w:spacing w:after="0" w:line="240" w:lineRule="auto"/>
        <w:jc w:val="both"/>
        <w:rPr>
          <w:rFonts w:ascii="Arial" w:hAnsi="Arial" w:cs="Arial"/>
        </w:rPr>
      </w:pPr>
      <w:r w:rsidRPr="009B1661">
        <w:rPr>
          <w:rFonts w:ascii="Arial" w:hAnsi="Arial" w:cs="Arial"/>
        </w:rPr>
        <w:t>Asset utilization ratio refers how much revenue is generated by a firm from every dollar of assets that are invested. More return indicates</w:t>
      </w:r>
      <w:r>
        <w:rPr>
          <w:rFonts w:ascii="Arial" w:hAnsi="Arial" w:cs="Arial"/>
        </w:rPr>
        <w:t xml:space="preserve"> the high efficiency of a firm. W</w:t>
      </w:r>
      <w:r w:rsidRPr="009B1661">
        <w:rPr>
          <w:rFonts w:ascii="Arial" w:hAnsi="Arial" w:cs="Arial"/>
        </w:rPr>
        <w:t xml:space="preserve">e can see a decreasing rate of asset utilization ratio of IDLC for the last </w:t>
      </w:r>
      <w:r>
        <w:rPr>
          <w:rFonts w:ascii="Arial" w:hAnsi="Arial" w:cs="Arial"/>
        </w:rPr>
        <w:t>5</w:t>
      </w:r>
      <w:r w:rsidRPr="009B1661">
        <w:rPr>
          <w:rFonts w:ascii="Arial" w:hAnsi="Arial" w:cs="Arial"/>
        </w:rPr>
        <w:t xml:space="preserve"> years. Though revenue was increasing in those </w:t>
      </w:r>
      <w:r>
        <w:rPr>
          <w:rFonts w:ascii="Arial" w:hAnsi="Arial" w:cs="Arial"/>
        </w:rPr>
        <w:t>5</w:t>
      </w:r>
      <w:r w:rsidRPr="009B1661">
        <w:rPr>
          <w:rFonts w:ascii="Arial" w:hAnsi="Arial" w:cs="Arial"/>
        </w:rPr>
        <w:t xml:space="preserve"> years, still the increasing rate was </w:t>
      </w:r>
      <w:r>
        <w:rPr>
          <w:rFonts w:ascii="Arial" w:hAnsi="Arial" w:cs="Arial"/>
        </w:rPr>
        <w:t>few</w:t>
      </w:r>
      <w:r w:rsidRPr="009B1661">
        <w:rPr>
          <w:rFonts w:ascii="Arial" w:hAnsi="Arial" w:cs="Arial"/>
        </w:rPr>
        <w:t xml:space="preserve"> than the increasing rate of total assets which lead to the decreasing rate of this ratio. We know that, interest income is one of the major components of total revenue that affects the total revenue. We can say, because of the decreased rate of spread, </w:t>
      </w:r>
      <w:r>
        <w:rPr>
          <w:rFonts w:ascii="Arial" w:hAnsi="Arial" w:cs="Arial"/>
        </w:rPr>
        <w:t>grown</w:t>
      </w:r>
      <w:r w:rsidRPr="009B1661">
        <w:rPr>
          <w:rFonts w:ascii="Arial" w:hAnsi="Arial" w:cs="Arial"/>
        </w:rPr>
        <w:t xml:space="preserve"> rate of interest income was not enough to provide the </w:t>
      </w:r>
      <w:r>
        <w:rPr>
          <w:rFonts w:ascii="Arial" w:hAnsi="Arial" w:cs="Arial"/>
        </w:rPr>
        <w:t>grown</w:t>
      </w:r>
      <w:r w:rsidRPr="009B1661">
        <w:rPr>
          <w:rFonts w:ascii="Arial" w:hAnsi="Arial" w:cs="Arial"/>
        </w:rPr>
        <w:t xml:space="preserve"> asset utilization ratio. If we </w:t>
      </w:r>
      <w:r>
        <w:rPr>
          <w:rFonts w:ascii="Arial" w:hAnsi="Arial" w:cs="Arial"/>
        </w:rPr>
        <w:t>see</w:t>
      </w:r>
      <w:r w:rsidRPr="009B1661">
        <w:rPr>
          <w:rFonts w:ascii="Arial" w:hAnsi="Arial" w:cs="Arial"/>
        </w:rPr>
        <w:t xml:space="preserve"> the year 2018, we can see that by investing 1 BDT in asset, IDLC was capable to generate </w:t>
      </w:r>
      <w:proofErr w:type="gramStart"/>
      <w:r w:rsidRPr="009B1661">
        <w:rPr>
          <w:rFonts w:ascii="Arial" w:hAnsi="Arial" w:cs="Arial"/>
        </w:rPr>
        <w:t>0.1114 BDT revenue</w:t>
      </w:r>
      <w:proofErr w:type="gramEnd"/>
      <w:r w:rsidRPr="009B1661">
        <w:rPr>
          <w:rFonts w:ascii="Arial" w:hAnsi="Arial" w:cs="Arial"/>
        </w:rPr>
        <w:t>.</w:t>
      </w:r>
    </w:p>
    <w:p w:rsidR="009C5AAE" w:rsidRPr="009B1661"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62" w:name="_Toc18330055"/>
      <w:r w:rsidRPr="00ED38E8">
        <w:rPr>
          <w:rFonts w:ascii="Arial" w:eastAsia="Calibri" w:hAnsi="Arial" w:cs="Arial"/>
          <w:b/>
          <w:bCs/>
          <w:color w:val="984806" w:themeColor="accent6" w:themeShade="80"/>
          <w:sz w:val="28"/>
          <w:szCs w:val="28"/>
        </w:rPr>
        <w:lastRenderedPageBreak/>
        <w:t>4.1.22:  Loans Utilization Ratio</w:t>
      </w:r>
      <w:bookmarkEnd w:id="62"/>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9891" w:type="dxa"/>
        <w:tblLook w:val="04A0" w:firstRow="1" w:lastRow="0" w:firstColumn="1" w:lastColumn="0" w:noHBand="0" w:noVBand="1"/>
      </w:tblPr>
      <w:tblGrid>
        <w:gridCol w:w="903"/>
        <w:gridCol w:w="1831"/>
        <w:gridCol w:w="1831"/>
        <w:gridCol w:w="1662"/>
        <w:gridCol w:w="1831"/>
        <w:gridCol w:w="1833"/>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9891"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22. Loans Utilization Ratio= (Interest Income/Loans and Advances)</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903"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31"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31"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6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31"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3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559"/>
        </w:trPr>
        <w:tc>
          <w:tcPr>
            <w:cnfStyle w:val="001000000000" w:firstRow="0" w:lastRow="0" w:firstColumn="1" w:lastColumn="0" w:oddVBand="0" w:evenVBand="0" w:oddHBand="0" w:evenHBand="0" w:firstRowFirstColumn="0" w:firstRowLastColumn="0" w:lastRowFirstColumn="0" w:lastRowLastColumn="0"/>
            <w:tcW w:w="903"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31"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0.025437002</w:t>
            </w:r>
          </w:p>
        </w:tc>
        <w:tc>
          <w:tcPr>
            <w:tcW w:w="1831"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0.023094558</w:t>
            </w:r>
          </w:p>
        </w:tc>
        <w:tc>
          <w:tcPr>
            <w:tcW w:w="166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0.02447684</w:t>
            </w:r>
          </w:p>
        </w:tc>
        <w:tc>
          <w:tcPr>
            <w:tcW w:w="1831"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0.022387687</w:t>
            </w:r>
          </w:p>
        </w:tc>
        <w:tc>
          <w:tcPr>
            <w:tcW w:w="183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0.019301723</w:t>
            </w:r>
          </w:p>
        </w:tc>
      </w:tr>
    </w:tbl>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r w:rsidRPr="00ED38E8">
        <w:rPr>
          <w:rFonts w:ascii="Arial" w:hAnsi="Arial" w:cs="Arial"/>
          <w:noProof/>
        </w:rPr>
        <w:drawing>
          <wp:inline distT="0" distB="0" distL="0" distR="0" wp14:anchorId="6B572440" wp14:editId="09168F95">
            <wp:extent cx="6153150" cy="2800350"/>
            <wp:effectExtent l="0" t="0" r="19050" b="19050"/>
            <wp:docPr id="34" name="Chart 3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3BD1C8B1-EB15-47F2-8968-83BEFF10A9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9C5AAE" w:rsidRPr="009B1661" w:rsidRDefault="009C5AAE" w:rsidP="009C5AAE">
      <w:pPr>
        <w:rPr>
          <w:rFonts w:ascii="Arial" w:hAnsi="Arial" w:cs="Arial"/>
        </w:rPr>
      </w:pPr>
    </w:p>
    <w:p w:rsidR="009C5AAE" w:rsidRPr="009B1661" w:rsidRDefault="009C5AAE" w:rsidP="009C5AAE">
      <w:pPr>
        <w:autoSpaceDE w:val="0"/>
        <w:autoSpaceDN w:val="0"/>
        <w:adjustRightInd w:val="0"/>
        <w:spacing w:after="0" w:line="240" w:lineRule="auto"/>
        <w:jc w:val="both"/>
        <w:rPr>
          <w:rFonts w:ascii="Arial" w:hAnsi="Arial" w:cs="Arial"/>
        </w:rPr>
      </w:pPr>
      <w:r w:rsidRPr="009B1661">
        <w:rPr>
          <w:rFonts w:ascii="Arial" w:hAnsi="Arial" w:cs="Arial"/>
        </w:rPr>
        <w:t xml:space="preserve">Loan utilization ratio refers how much income can be generated from issuing loan. From the above bar diagram, we can see the decreasing rate of loan utilization ratio of IDLC for the last </w:t>
      </w:r>
      <w:r>
        <w:rPr>
          <w:rFonts w:ascii="Arial" w:hAnsi="Arial" w:cs="Arial"/>
        </w:rPr>
        <w:t>5</w:t>
      </w:r>
      <w:r w:rsidRPr="009B1661">
        <w:rPr>
          <w:rFonts w:ascii="Arial" w:hAnsi="Arial" w:cs="Arial"/>
        </w:rPr>
        <w:t xml:space="preserve"> years and in the year 2018, they earned 0.019 BDT from issuing loan of 1 BDT or generated 1.93% earning from issuing loan. Decreasing spread is one of the </w:t>
      </w:r>
      <w:r w:rsidR="00007BDB" w:rsidRPr="009B1661">
        <w:rPr>
          <w:rFonts w:ascii="Arial" w:hAnsi="Arial" w:cs="Arial"/>
        </w:rPr>
        <w:t>reasons</w:t>
      </w:r>
      <w:r w:rsidRPr="009B1661">
        <w:rPr>
          <w:rFonts w:ascii="Arial" w:hAnsi="Arial" w:cs="Arial"/>
        </w:rPr>
        <w:t xml:space="preserve"> for the decreased rate of loan utilization ratio.</w:t>
      </w: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63" w:name="_Toc18330056"/>
      <w:r w:rsidRPr="00ED38E8">
        <w:rPr>
          <w:rFonts w:ascii="Arial" w:eastAsia="Calibri" w:hAnsi="Arial" w:cs="Arial"/>
          <w:b/>
          <w:bCs/>
          <w:color w:val="984806" w:themeColor="accent6" w:themeShade="80"/>
          <w:sz w:val="28"/>
          <w:szCs w:val="28"/>
        </w:rPr>
        <w:t>4.1.23:  Operating Ratio</w:t>
      </w:r>
      <w:bookmarkEnd w:id="63"/>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9686" w:type="dxa"/>
        <w:tblLook w:val="04A0" w:firstRow="1" w:lastRow="0" w:firstColumn="1" w:lastColumn="0" w:noHBand="0" w:noVBand="1"/>
      </w:tblPr>
      <w:tblGrid>
        <w:gridCol w:w="886"/>
        <w:gridCol w:w="1828"/>
        <w:gridCol w:w="1828"/>
        <w:gridCol w:w="1658"/>
        <w:gridCol w:w="1828"/>
        <w:gridCol w:w="1658"/>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9686"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23. Operating Ratio= (Total Operating Expenses/Total Revenue)</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886"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2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2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5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2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65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457"/>
        </w:trPr>
        <w:tc>
          <w:tcPr>
            <w:cnfStyle w:val="001000000000" w:firstRow="0" w:lastRow="0" w:firstColumn="1" w:lastColumn="0" w:oddVBand="0" w:evenVBand="0" w:oddHBand="0" w:evenHBand="0" w:firstRowFirstColumn="0" w:firstRowLastColumn="0" w:lastRowFirstColumn="0" w:lastRowLastColumn="0"/>
            <w:tcW w:w="886"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2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0.157421731</w:t>
            </w:r>
          </w:p>
        </w:tc>
        <w:tc>
          <w:tcPr>
            <w:tcW w:w="182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0.158599245</w:t>
            </w:r>
          </w:p>
        </w:tc>
        <w:tc>
          <w:tcPr>
            <w:tcW w:w="165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0.18562019</w:t>
            </w:r>
          </w:p>
        </w:tc>
        <w:tc>
          <w:tcPr>
            <w:tcW w:w="182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0.199329009</w:t>
            </w:r>
          </w:p>
        </w:tc>
        <w:tc>
          <w:tcPr>
            <w:tcW w:w="165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0.16322605</w:t>
            </w:r>
          </w:p>
        </w:tc>
      </w:tr>
    </w:tbl>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r w:rsidRPr="00ED38E8">
        <w:rPr>
          <w:rFonts w:ascii="Arial" w:hAnsi="Arial" w:cs="Arial"/>
          <w:noProof/>
        </w:rPr>
        <w:lastRenderedPageBreak/>
        <w:drawing>
          <wp:inline distT="0" distB="0" distL="0" distR="0" wp14:anchorId="418F02FF" wp14:editId="2672CF7F">
            <wp:extent cx="6038850" cy="2638425"/>
            <wp:effectExtent l="0" t="0" r="19050" b="9525"/>
            <wp:docPr id="35" name="Chart 3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97DF064F-6526-43AE-97F7-C6BB5FB9DE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9C5AAE" w:rsidRPr="00ED38E8" w:rsidRDefault="009C5AAE" w:rsidP="009C5AAE">
      <w:pPr>
        <w:rPr>
          <w:rFonts w:ascii="Arial" w:hAnsi="Arial" w:cs="Arial"/>
          <w:sz w:val="24"/>
          <w:szCs w:val="24"/>
        </w:rPr>
      </w:pPr>
    </w:p>
    <w:p w:rsidR="009C5AAE" w:rsidRPr="009B1661" w:rsidRDefault="009C5AAE" w:rsidP="00007BDB">
      <w:pPr>
        <w:autoSpaceDE w:val="0"/>
        <w:autoSpaceDN w:val="0"/>
        <w:adjustRightInd w:val="0"/>
        <w:spacing w:after="0" w:line="240" w:lineRule="auto"/>
        <w:jc w:val="both"/>
        <w:rPr>
          <w:rFonts w:ascii="Arial" w:hAnsi="Arial" w:cs="Arial"/>
        </w:rPr>
      </w:pPr>
      <w:r w:rsidRPr="009B1661">
        <w:rPr>
          <w:rFonts w:ascii="Arial" w:hAnsi="Arial" w:cs="Arial"/>
        </w:rPr>
        <w:t xml:space="preserve">Operating ratio refers the proportion of operating expenses over the total revenue or how much operating expenses need to be spent for getting the revenues. While evaluating the information of IDLC, we determine the operating ratio of IDLC by dividing the operating expenses by total revenues. We have found an increasing rate of this ratio for the last </w:t>
      </w:r>
      <w:r>
        <w:rPr>
          <w:rFonts w:ascii="Arial" w:hAnsi="Arial" w:cs="Arial"/>
        </w:rPr>
        <w:t>5</w:t>
      </w:r>
      <w:r w:rsidRPr="009B1661">
        <w:rPr>
          <w:rFonts w:ascii="Arial" w:hAnsi="Arial" w:cs="Arial"/>
        </w:rPr>
        <w:t xml:space="preserve"> years which indicates that IDLC needed to spend more money for the purpose of operating expenses for getting revenues. Though it is increasing, the rates were very close especially in the last </w:t>
      </w:r>
      <w:r>
        <w:rPr>
          <w:rFonts w:ascii="Arial" w:hAnsi="Arial" w:cs="Arial"/>
        </w:rPr>
        <w:t>4</w:t>
      </w:r>
      <w:r w:rsidRPr="009B1661">
        <w:rPr>
          <w:rFonts w:ascii="Arial" w:hAnsi="Arial" w:cs="Arial"/>
        </w:rPr>
        <w:t xml:space="preserve"> years.</w:t>
      </w:r>
    </w:p>
    <w:p w:rsidR="009C5AAE" w:rsidRPr="009B1661" w:rsidRDefault="009C5AAE" w:rsidP="009C5AAE">
      <w:pPr>
        <w:autoSpaceDE w:val="0"/>
        <w:autoSpaceDN w:val="0"/>
        <w:adjustRightInd w:val="0"/>
        <w:spacing w:after="0" w:line="240" w:lineRule="auto"/>
        <w:rPr>
          <w:rFonts w:ascii="Arial" w:hAnsi="Arial" w:cs="Arial"/>
        </w:rPr>
      </w:pPr>
    </w:p>
    <w:p w:rsidR="009C5AAE" w:rsidRPr="009B1661" w:rsidRDefault="009C5AAE" w:rsidP="009C5AAE">
      <w:pPr>
        <w:autoSpaceDE w:val="0"/>
        <w:autoSpaceDN w:val="0"/>
        <w:adjustRightInd w:val="0"/>
        <w:spacing w:after="0" w:line="240" w:lineRule="auto"/>
        <w:rPr>
          <w:rFonts w:ascii="Arial" w:hAnsi="Arial" w:cs="Arial"/>
        </w:rPr>
      </w:pPr>
    </w:p>
    <w:p w:rsidR="009C5AAE" w:rsidRPr="009B1661" w:rsidRDefault="009C5AAE" w:rsidP="00007BDB">
      <w:pPr>
        <w:autoSpaceDE w:val="0"/>
        <w:autoSpaceDN w:val="0"/>
        <w:adjustRightInd w:val="0"/>
        <w:spacing w:after="0" w:line="240" w:lineRule="auto"/>
        <w:jc w:val="both"/>
        <w:rPr>
          <w:rFonts w:ascii="Arial" w:hAnsi="Arial" w:cs="Arial"/>
        </w:rPr>
      </w:pPr>
      <w:r w:rsidRPr="009B1661">
        <w:rPr>
          <w:rFonts w:ascii="Arial" w:hAnsi="Arial" w:cs="Arial"/>
        </w:rPr>
        <w:t xml:space="preserve">However, if we consider the period from 2015 to 2016, we have found a high jump of it. </w:t>
      </w:r>
      <w:r w:rsidR="00007BDB">
        <w:rPr>
          <w:rFonts w:ascii="Arial" w:hAnsi="Arial" w:cs="Arial"/>
        </w:rPr>
        <w:t>In</w:t>
      </w:r>
      <w:r w:rsidRPr="009B1661">
        <w:rPr>
          <w:rFonts w:ascii="Arial" w:hAnsi="Arial" w:cs="Arial"/>
        </w:rPr>
        <w:t xml:space="preserve"> 2016, IDLC needed to spend huge for salary and allowance expense compared to 2015. By the way, </w:t>
      </w:r>
      <w:proofErr w:type="gramStart"/>
      <w:r w:rsidR="00007BDB">
        <w:rPr>
          <w:rFonts w:ascii="Arial" w:hAnsi="Arial" w:cs="Arial"/>
        </w:rPr>
        <w:t>In</w:t>
      </w:r>
      <w:proofErr w:type="gramEnd"/>
      <w:r w:rsidRPr="009B1661">
        <w:rPr>
          <w:rFonts w:ascii="Arial" w:hAnsi="Arial" w:cs="Arial"/>
        </w:rPr>
        <w:t xml:space="preserve"> 2018, for generating 1 BDT revenues, IDLC needed to spend 0.1632 BDT for the operating expenses purpose.</w:t>
      </w:r>
    </w:p>
    <w:p w:rsidR="009C5AAE" w:rsidRPr="009B1661" w:rsidRDefault="009C5AAE" w:rsidP="009C5AAE">
      <w:pPr>
        <w:autoSpaceDE w:val="0"/>
        <w:autoSpaceDN w:val="0"/>
        <w:adjustRightInd w:val="0"/>
        <w:spacing w:after="0" w:line="240" w:lineRule="auto"/>
        <w:rPr>
          <w:rFonts w:ascii="Arial" w:hAnsi="Arial" w:cs="Arial"/>
        </w:rPr>
      </w:pPr>
    </w:p>
    <w:p w:rsidR="009C5AAE" w:rsidRPr="00ED38E8" w:rsidRDefault="009C5AAE" w:rsidP="009C5AAE">
      <w:pPr>
        <w:autoSpaceDE w:val="0"/>
        <w:autoSpaceDN w:val="0"/>
        <w:adjustRightInd w:val="0"/>
        <w:spacing w:after="0" w:line="240" w:lineRule="auto"/>
        <w:rPr>
          <w:rFonts w:ascii="Arial" w:hAnsi="Arial" w:cs="Arial"/>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64" w:name="_Toc18330057"/>
      <w:r w:rsidRPr="00ED38E8">
        <w:rPr>
          <w:rFonts w:ascii="Arial" w:eastAsia="Calibri" w:hAnsi="Arial" w:cs="Arial"/>
          <w:b/>
          <w:bCs/>
          <w:color w:val="984806" w:themeColor="accent6" w:themeShade="80"/>
          <w:sz w:val="28"/>
          <w:szCs w:val="28"/>
        </w:rPr>
        <w:t>4.1.24: Yield on Assets</w:t>
      </w:r>
      <w:bookmarkEnd w:id="64"/>
    </w:p>
    <w:p w:rsidR="009C5AAE" w:rsidRPr="00ED38E8" w:rsidRDefault="009C5AAE" w:rsidP="009C5AAE">
      <w:pPr>
        <w:autoSpaceDE w:val="0"/>
        <w:autoSpaceDN w:val="0"/>
        <w:adjustRightInd w:val="0"/>
        <w:spacing w:after="0" w:line="240" w:lineRule="auto"/>
        <w:rPr>
          <w:rFonts w:ascii="Arial" w:eastAsia="Calibri" w:hAnsi="Arial" w:cs="Arial"/>
          <w:b/>
          <w:color w:val="984806"/>
          <w:sz w:val="28"/>
        </w:rPr>
      </w:pPr>
    </w:p>
    <w:tbl>
      <w:tblPr>
        <w:tblStyle w:val="GridTable5Dark-Accent11"/>
        <w:tblW w:w="9735" w:type="dxa"/>
        <w:tblLook w:val="04A0" w:firstRow="1" w:lastRow="0" w:firstColumn="1" w:lastColumn="0" w:noHBand="0" w:noVBand="1"/>
      </w:tblPr>
      <w:tblGrid>
        <w:gridCol w:w="891"/>
        <w:gridCol w:w="1700"/>
        <w:gridCol w:w="1872"/>
        <w:gridCol w:w="1700"/>
        <w:gridCol w:w="1700"/>
        <w:gridCol w:w="1872"/>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9735"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24. Yield on Assets=(Interest Income/Total Assets)</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891"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700"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7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700"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700"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7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609"/>
        </w:trPr>
        <w:tc>
          <w:tcPr>
            <w:cnfStyle w:val="001000000000" w:firstRow="0" w:lastRow="0" w:firstColumn="1" w:lastColumn="0" w:oddVBand="0" w:evenVBand="0" w:oddHBand="0" w:evenHBand="0" w:firstRowFirstColumn="0" w:firstRowLastColumn="0" w:lastRowFirstColumn="0" w:lastRowLastColumn="0"/>
            <w:tcW w:w="891"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700"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0.02018098</w:t>
            </w:r>
          </w:p>
        </w:tc>
        <w:tc>
          <w:tcPr>
            <w:tcW w:w="187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0.017330953</w:t>
            </w:r>
          </w:p>
        </w:tc>
        <w:tc>
          <w:tcPr>
            <w:tcW w:w="1700"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0.01955958</w:t>
            </w:r>
          </w:p>
        </w:tc>
        <w:tc>
          <w:tcPr>
            <w:tcW w:w="1700"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0.01708264</w:t>
            </w:r>
          </w:p>
        </w:tc>
        <w:tc>
          <w:tcPr>
            <w:tcW w:w="187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0.015122846</w:t>
            </w:r>
          </w:p>
        </w:tc>
      </w:tr>
    </w:tbl>
    <w:p w:rsidR="009C5AAE" w:rsidRPr="00ED38E8" w:rsidRDefault="009C5AAE" w:rsidP="009C5AAE">
      <w:pPr>
        <w:autoSpaceDE w:val="0"/>
        <w:autoSpaceDN w:val="0"/>
        <w:adjustRightInd w:val="0"/>
        <w:spacing w:after="0" w:line="240" w:lineRule="auto"/>
        <w:rPr>
          <w:rFonts w:ascii="Arial" w:hAnsi="Arial" w:cs="Arial"/>
        </w:rPr>
      </w:pPr>
    </w:p>
    <w:p w:rsidR="009C5AAE" w:rsidRPr="00ED38E8" w:rsidRDefault="009C5AAE" w:rsidP="009C5AAE">
      <w:pPr>
        <w:autoSpaceDE w:val="0"/>
        <w:autoSpaceDN w:val="0"/>
        <w:adjustRightInd w:val="0"/>
        <w:spacing w:after="0" w:line="240" w:lineRule="auto"/>
        <w:rPr>
          <w:rFonts w:ascii="Arial" w:hAnsi="Arial" w:cs="Arial"/>
        </w:rPr>
      </w:pPr>
    </w:p>
    <w:p w:rsidR="009C5AAE" w:rsidRPr="00ED38E8" w:rsidRDefault="009C5AAE" w:rsidP="009C5AAE">
      <w:pPr>
        <w:autoSpaceDE w:val="0"/>
        <w:autoSpaceDN w:val="0"/>
        <w:adjustRightInd w:val="0"/>
        <w:spacing w:after="0" w:line="240" w:lineRule="auto"/>
        <w:rPr>
          <w:rFonts w:ascii="Arial" w:hAnsi="Arial" w:cs="Arial"/>
        </w:rPr>
      </w:pPr>
    </w:p>
    <w:p w:rsidR="009C5AAE" w:rsidRPr="00ED38E8" w:rsidRDefault="009C5AAE" w:rsidP="009C5AAE">
      <w:pPr>
        <w:autoSpaceDE w:val="0"/>
        <w:autoSpaceDN w:val="0"/>
        <w:adjustRightInd w:val="0"/>
        <w:spacing w:after="0" w:line="240" w:lineRule="auto"/>
        <w:rPr>
          <w:rFonts w:ascii="Arial" w:hAnsi="Arial" w:cs="Arial"/>
        </w:rPr>
      </w:pPr>
      <w:r w:rsidRPr="00ED38E8">
        <w:rPr>
          <w:rFonts w:ascii="Arial" w:hAnsi="Arial" w:cs="Arial"/>
          <w:noProof/>
        </w:rPr>
        <w:lastRenderedPageBreak/>
        <w:drawing>
          <wp:inline distT="0" distB="0" distL="0" distR="0" wp14:anchorId="1D8F1354" wp14:editId="14E54F57">
            <wp:extent cx="6048375" cy="2581275"/>
            <wp:effectExtent l="0" t="0" r="9525" b="9525"/>
            <wp:docPr id="36" name="Chart 3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EEBA63D4-D5E3-450F-814F-2C70200973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9B1661" w:rsidRDefault="009C5AAE" w:rsidP="009C5AAE">
      <w:pPr>
        <w:autoSpaceDE w:val="0"/>
        <w:autoSpaceDN w:val="0"/>
        <w:adjustRightInd w:val="0"/>
        <w:spacing w:after="0" w:line="240" w:lineRule="auto"/>
        <w:jc w:val="both"/>
        <w:rPr>
          <w:rFonts w:ascii="Arial" w:hAnsi="Arial" w:cs="Arial"/>
        </w:rPr>
      </w:pPr>
      <w:r w:rsidRPr="009B1661">
        <w:rPr>
          <w:rFonts w:ascii="Arial" w:hAnsi="Arial" w:cs="Arial"/>
        </w:rPr>
        <w:t xml:space="preserve">Yield on asset refers the interest income that a firm generates from every dollar of investment in total assets. From the above bar diagram, we can find a declining yield on asset for IDLC for the last </w:t>
      </w:r>
      <w:r>
        <w:rPr>
          <w:rFonts w:ascii="Arial" w:hAnsi="Arial" w:cs="Arial"/>
        </w:rPr>
        <w:t>5</w:t>
      </w:r>
      <w:r w:rsidRPr="009B1661">
        <w:rPr>
          <w:rFonts w:ascii="Arial" w:hAnsi="Arial" w:cs="Arial"/>
        </w:rPr>
        <w:t xml:space="preserve"> years. Though in the last </w:t>
      </w:r>
      <w:r w:rsidR="00003A48">
        <w:rPr>
          <w:rFonts w:ascii="Arial" w:hAnsi="Arial" w:cs="Arial"/>
        </w:rPr>
        <w:t>5</w:t>
      </w:r>
      <w:r w:rsidRPr="009B1661">
        <w:rPr>
          <w:rFonts w:ascii="Arial" w:hAnsi="Arial" w:cs="Arial"/>
        </w:rPr>
        <w:t xml:space="preserve"> years, their total interest income had been </w:t>
      </w:r>
      <w:r>
        <w:rPr>
          <w:rFonts w:ascii="Arial" w:hAnsi="Arial" w:cs="Arial"/>
        </w:rPr>
        <w:t>grown</w:t>
      </w:r>
      <w:r w:rsidRPr="009B1661">
        <w:rPr>
          <w:rFonts w:ascii="Arial" w:hAnsi="Arial" w:cs="Arial"/>
        </w:rPr>
        <w:t xml:space="preserve">, still the </w:t>
      </w:r>
      <w:r>
        <w:rPr>
          <w:rFonts w:ascii="Arial" w:hAnsi="Arial" w:cs="Arial"/>
        </w:rPr>
        <w:t>grown</w:t>
      </w:r>
      <w:r w:rsidRPr="009B1661">
        <w:rPr>
          <w:rFonts w:ascii="Arial" w:hAnsi="Arial" w:cs="Arial"/>
        </w:rPr>
        <w:t xml:space="preserve"> rate of interest income was less than the </w:t>
      </w:r>
      <w:r>
        <w:rPr>
          <w:rFonts w:ascii="Arial" w:hAnsi="Arial" w:cs="Arial"/>
        </w:rPr>
        <w:t>grown</w:t>
      </w:r>
      <w:r w:rsidRPr="009B1661">
        <w:rPr>
          <w:rFonts w:ascii="Arial" w:hAnsi="Arial" w:cs="Arial"/>
        </w:rPr>
        <w:t xml:space="preserve"> rate of total assets invested which lead to this decreased rate of yield on assets. Firm might have issued more </w:t>
      </w:r>
      <w:proofErr w:type="gramStart"/>
      <w:r w:rsidRPr="009B1661">
        <w:rPr>
          <w:rFonts w:ascii="Arial" w:hAnsi="Arial" w:cs="Arial"/>
        </w:rPr>
        <w:t>loan</w:t>
      </w:r>
      <w:proofErr w:type="gramEnd"/>
      <w:r w:rsidRPr="009B1661">
        <w:rPr>
          <w:rFonts w:ascii="Arial" w:hAnsi="Arial" w:cs="Arial"/>
        </w:rPr>
        <w:t xml:space="preserve">, but they couldn’t earn that much interest. Decreased spread is one of the reasons of it. </w:t>
      </w:r>
      <w:r>
        <w:rPr>
          <w:rFonts w:ascii="Arial" w:hAnsi="Arial" w:cs="Arial"/>
        </w:rPr>
        <w:t xml:space="preserve">In </w:t>
      </w:r>
      <w:r w:rsidRPr="009B1661">
        <w:rPr>
          <w:rFonts w:ascii="Arial" w:hAnsi="Arial" w:cs="Arial"/>
        </w:rPr>
        <w:t>2018, they generated 1.51% interest income from the total assets.</w:t>
      </w:r>
    </w:p>
    <w:p w:rsidR="009C5AAE" w:rsidRPr="009B1661" w:rsidRDefault="009C5AAE" w:rsidP="009C5AAE">
      <w:pPr>
        <w:autoSpaceDE w:val="0"/>
        <w:autoSpaceDN w:val="0"/>
        <w:adjustRightInd w:val="0"/>
        <w:spacing w:after="0" w:line="240" w:lineRule="auto"/>
        <w:jc w:val="both"/>
        <w:rPr>
          <w:rFonts w:ascii="Arial" w:hAnsi="Arial" w:cs="Arial"/>
        </w:rPr>
      </w:pPr>
    </w:p>
    <w:p w:rsidR="009C5AAE" w:rsidRPr="009B1661"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65" w:name="_Toc18330058"/>
      <w:r w:rsidRPr="00ED38E8">
        <w:rPr>
          <w:rFonts w:ascii="Arial" w:eastAsia="Calibri" w:hAnsi="Arial" w:cs="Arial"/>
          <w:b/>
          <w:bCs/>
          <w:color w:val="984806" w:themeColor="accent6" w:themeShade="80"/>
          <w:sz w:val="28"/>
          <w:szCs w:val="28"/>
        </w:rPr>
        <w:t>4.1.25: Expense Ratio</w:t>
      </w:r>
      <w:bookmarkEnd w:id="65"/>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9643" w:type="dxa"/>
        <w:tblLook w:val="04A0" w:firstRow="1" w:lastRow="0" w:firstColumn="1" w:lastColumn="0" w:noHBand="0" w:noVBand="1"/>
      </w:tblPr>
      <w:tblGrid>
        <w:gridCol w:w="899"/>
        <w:gridCol w:w="1648"/>
        <w:gridCol w:w="1816"/>
        <w:gridCol w:w="1648"/>
        <w:gridCol w:w="1816"/>
        <w:gridCol w:w="1816"/>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9642"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25. Expense Ratio= (Total Expense/Total Assets)</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899"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64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16"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4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16"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16"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696"/>
        </w:trPr>
        <w:tc>
          <w:tcPr>
            <w:cnfStyle w:val="001000000000" w:firstRow="0" w:lastRow="0" w:firstColumn="1" w:lastColumn="0" w:oddVBand="0" w:evenVBand="0" w:oddHBand="0" w:evenHBand="0" w:firstRowFirstColumn="0" w:firstRowLastColumn="0" w:lastRowFirstColumn="0" w:lastRowLastColumn="0"/>
            <w:tcW w:w="899"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64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0.10194981</w:t>
            </w:r>
          </w:p>
        </w:tc>
        <w:tc>
          <w:tcPr>
            <w:tcW w:w="1816"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0.090741808</w:t>
            </w:r>
          </w:p>
        </w:tc>
        <w:tc>
          <w:tcPr>
            <w:tcW w:w="164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0.08465838</w:t>
            </w:r>
          </w:p>
        </w:tc>
        <w:tc>
          <w:tcPr>
            <w:tcW w:w="1816"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0.076280667</w:t>
            </w:r>
          </w:p>
        </w:tc>
        <w:tc>
          <w:tcPr>
            <w:tcW w:w="1816"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0.088371402</w:t>
            </w:r>
          </w:p>
        </w:tc>
      </w:tr>
    </w:tbl>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r w:rsidRPr="00ED38E8">
        <w:rPr>
          <w:rFonts w:ascii="Arial" w:hAnsi="Arial" w:cs="Arial"/>
          <w:noProof/>
        </w:rPr>
        <w:lastRenderedPageBreak/>
        <w:drawing>
          <wp:inline distT="0" distB="0" distL="0" distR="0" wp14:anchorId="3C217D92" wp14:editId="6BDB1005">
            <wp:extent cx="6076950" cy="2924175"/>
            <wp:effectExtent l="0" t="0" r="19050" b="9525"/>
            <wp:docPr id="40" name="Chart 4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91617E84-E4D3-4AC5-AC50-DCD201F654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9C5AAE" w:rsidRPr="00ED38E8" w:rsidRDefault="009C5AAE" w:rsidP="009C5AAE">
      <w:pPr>
        <w:rPr>
          <w:rFonts w:ascii="Arial" w:hAnsi="Arial" w:cs="Arial"/>
        </w:rPr>
      </w:pPr>
    </w:p>
    <w:p w:rsidR="009C5AAE" w:rsidRPr="00ED38E8" w:rsidRDefault="009C5AAE" w:rsidP="009C5AAE">
      <w:pPr>
        <w:rPr>
          <w:rFonts w:ascii="Arial" w:hAnsi="Arial" w:cs="Arial"/>
        </w:rPr>
      </w:pPr>
    </w:p>
    <w:p w:rsidR="009C5AAE" w:rsidRPr="009B1661" w:rsidRDefault="009C5AAE" w:rsidP="009C5AAE">
      <w:pPr>
        <w:autoSpaceDE w:val="0"/>
        <w:autoSpaceDN w:val="0"/>
        <w:adjustRightInd w:val="0"/>
        <w:spacing w:after="0" w:line="240" w:lineRule="auto"/>
        <w:jc w:val="both"/>
        <w:rPr>
          <w:rFonts w:ascii="Arial" w:hAnsi="Arial" w:cs="Arial"/>
        </w:rPr>
      </w:pPr>
      <w:r>
        <w:rPr>
          <w:rFonts w:ascii="Arial" w:hAnsi="Arial" w:cs="Arial"/>
        </w:rPr>
        <w:t>T</w:t>
      </w:r>
      <w:r w:rsidRPr="009B1661">
        <w:rPr>
          <w:rFonts w:ascii="Arial" w:hAnsi="Arial" w:cs="Arial"/>
        </w:rPr>
        <w:t xml:space="preserve">otal expense ratio refers the proportion of total expense over the total assets. While calculating the total expense ratio, we find the total expense from the sum of interest expense, overhead expense and provisions. In the last </w:t>
      </w:r>
      <w:r>
        <w:rPr>
          <w:rFonts w:ascii="Arial" w:hAnsi="Arial" w:cs="Arial"/>
        </w:rPr>
        <w:t>5</w:t>
      </w:r>
      <w:r w:rsidRPr="009B1661">
        <w:rPr>
          <w:rFonts w:ascii="Arial" w:hAnsi="Arial" w:cs="Arial"/>
        </w:rPr>
        <w:t xml:space="preserve"> years, we have found fluctuate rate of this ratio and </w:t>
      </w:r>
      <w:proofErr w:type="gramStart"/>
      <w:r w:rsidR="00007BDB">
        <w:rPr>
          <w:rFonts w:ascii="Arial" w:hAnsi="Arial" w:cs="Arial"/>
        </w:rPr>
        <w:t>In</w:t>
      </w:r>
      <w:proofErr w:type="gramEnd"/>
      <w:r w:rsidRPr="009B1661">
        <w:rPr>
          <w:rFonts w:ascii="Arial" w:hAnsi="Arial" w:cs="Arial"/>
        </w:rPr>
        <w:t xml:space="preserve"> 2018, total expense of IDLC was 8.83% over the total assets. Though all the three components of total expense had been </w:t>
      </w:r>
      <w:r>
        <w:rPr>
          <w:rFonts w:ascii="Arial" w:hAnsi="Arial" w:cs="Arial"/>
        </w:rPr>
        <w:t>grown</w:t>
      </w:r>
      <w:r w:rsidRPr="009B1661">
        <w:rPr>
          <w:rFonts w:ascii="Arial" w:hAnsi="Arial" w:cs="Arial"/>
        </w:rPr>
        <w:t xml:space="preserve"> in the last three years, we have found a decreased rate of this ratio because </w:t>
      </w:r>
      <w:r>
        <w:rPr>
          <w:rFonts w:ascii="Arial" w:hAnsi="Arial" w:cs="Arial"/>
        </w:rPr>
        <w:t>grown</w:t>
      </w:r>
      <w:r w:rsidRPr="009B1661">
        <w:rPr>
          <w:rFonts w:ascii="Arial" w:hAnsi="Arial" w:cs="Arial"/>
        </w:rPr>
        <w:t xml:space="preserve"> rate of total assets was more than the </w:t>
      </w:r>
      <w:r>
        <w:rPr>
          <w:rFonts w:ascii="Arial" w:hAnsi="Arial" w:cs="Arial"/>
        </w:rPr>
        <w:t>grown</w:t>
      </w:r>
      <w:r w:rsidRPr="009B1661">
        <w:rPr>
          <w:rFonts w:ascii="Arial" w:hAnsi="Arial" w:cs="Arial"/>
        </w:rPr>
        <w:t xml:space="preserve"> rate of these three components.</w:t>
      </w:r>
    </w:p>
    <w:p w:rsidR="009C5AAE" w:rsidRPr="009B1661"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tabs>
          <w:tab w:val="left" w:pos="3375"/>
        </w:tabs>
        <w:autoSpaceDE w:val="0"/>
        <w:autoSpaceDN w:val="0"/>
        <w:adjustRightInd w:val="0"/>
        <w:spacing w:after="0" w:line="240" w:lineRule="auto"/>
        <w:jc w:val="both"/>
        <w:rPr>
          <w:rFonts w:ascii="Arial" w:hAnsi="Arial" w:cs="Arial"/>
          <w:sz w:val="24"/>
          <w:szCs w:val="24"/>
        </w:rPr>
      </w:pPr>
      <w:r w:rsidRPr="00ED38E8">
        <w:rPr>
          <w:rFonts w:ascii="Arial" w:hAnsi="Arial" w:cs="Arial"/>
          <w:sz w:val="24"/>
          <w:szCs w:val="24"/>
        </w:rPr>
        <w:tab/>
      </w:r>
    </w:p>
    <w:p w:rsidR="009C5AAE" w:rsidRPr="00ED38E8" w:rsidRDefault="009C5AAE" w:rsidP="009C5AAE">
      <w:pPr>
        <w:tabs>
          <w:tab w:val="left" w:pos="3375"/>
        </w:tabs>
        <w:autoSpaceDE w:val="0"/>
        <w:autoSpaceDN w:val="0"/>
        <w:adjustRightInd w:val="0"/>
        <w:spacing w:after="0" w:line="240" w:lineRule="auto"/>
        <w:jc w:val="both"/>
        <w:rPr>
          <w:rFonts w:ascii="Arial" w:hAnsi="Arial" w:cs="Arial"/>
          <w:sz w:val="24"/>
          <w:szCs w:val="24"/>
        </w:rPr>
      </w:pPr>
    </w:p>
    <w:p w:rsidR="009C5AAE" w:rsidRPr="00ED38E8" w:rsidRDefault="009C5AAE" w:rsidP="009C5AAE">
      <w:pPr>
        <w:pStyle w:val="Heading2"/>
        <w:jc w:val="center"/>
        <w:rPr>
          <w:rFonts w:ascii="Arial" w:hAnsi="Arial" w:cs="Arial"/>
          <w:b/>
          <w:bCs/>
          <w:sz w:val="32"/>
          <w:szCs w:val="32"/>
        </w:rPr>
      </w:pPr>
      <w:bookmarkStart w:id="66" w:name="_Toc18330059"/>
      <w:r w:rsidRPr="00ED38E8">
        <w:rPr>
          <w:rFonts w:ascii="Arial" w:hAnsi="Arial" w:cs="Arial"/>
          <w:b/>
          <w:bCs/>
          <w:sz w:val="32"/>
          <w:szCs w:val="32"/>
        </w:rPr>
        <w:t>Market Value Dimension</w:t>
      </w:r>
      <w:bookmarkEnd w:id="66"/>
    </w:p>
    <w:p w:rsidR="009C5AAE" w:rsidRPr="00ED38E8" w:rsidRDefault="009C5AAE" w:rsidP="009C5AAE">
      <w:pPr>
        <w:rPr>
          <w:rFonts w:ascii="Arial" w:hAnsi="Arial" w:cs="Arial"/>
        </w:rPr>
      </w:pPr>
    </w:p>
    <w:p w:rsidR="009C5AAE" w:rsidRPr="00ED38E8" w:rsidRDefault="009C5AAE" w:rsidP="00007BDB">
      <w:pPr>
        <w:tabs>
          <w:tab w:val="left" w:pos="3375"/>
        </w:tabs>
        <w:autoSpaceDE w:val="0"/>
        <w:autoSpaceDN w:val="0"/>
        <w:adjustRightInd w:val="0"/>
        <w:spacing w:after="0" w:line="240" w:lineRule="auto"/>
        <w:jc w:val="both"/>
        <w:rPr>
          <w:rFonts w:ascii="Arial" w:hAnsi="Arial" w:cs="Arial"/>
          <w:sz w:val="32"/>
          <w:szCs w:val="32"/>
          <w:u w:val="single"/>
        </w:rPr>
      </w:pPr>
      <w:r w:rsidRPr="00ED38E8">
        <w:rPr>
          <w:rFonts w:ascii="Arial" w:hAnsi="Arial" w:cs="Arial"/>
          <w:spacing w:val="5"/>
          <w:sz w:val="23"/>
          <w:szCs w:val="23"/>
          <w:shd w:val="clear" w:color="auto" w:fill="FFFFFF"/>
        </w:rPr>
        <w:t xml:space="preserve">Market value ratios are used to evaluate the current share price of a </w:t>
      </w:r>
      <w:hyperlink r:id="rId50" w:history="1">
        <w:r w:rsidRPr="00ED38E8">
          <w:rPr>
            <w:rFonts w:ascii="Arial" w:hAnsi="Arial" w:cs="Arial"/>
            <w:spacing w:val="5"/>
            <w:sz w:val="23"/>
            <w:szCs w:val="23"/>
            <w:shd w:val="clear" w:color="auto" w:fill="FFFFFF"/>
          </w:rPr>
          <w:t>publicly-held</w:t>
        </w:r>
      </w:hyperlink>
      <w:r w:rsidRPr="00ED38E8">
        <w:rPr>
          <w:rFonts w:ascii="Arial" w:hAnsi="Arial" w:cs="Arial"/>
          <w:spacing w:val="5"/>
          <w:sz w:val="23"/>
          <w:szCs w:val="23"/>
          <w:shd w:val="clear" w:color="auto" w:fill="FFFFFF"/>
        </w:rPr>
        <w:t xml:space="preserve"> company's </w:t>
      </w:r>
      <w:hyperlink r:id="rId51" w:history="1">
        <w:r w:rsidRPr="00ED38E8">
          <w:rPr>
            <w:rFonts w:ascii="Arial" w:hAnsi="Arial" w:cs="Arial"/>
            <w:spacing w:val="5"/>
            <w:sz w:val="23"/>
            <w:szCs w:val="23"/>
            <w:shd w:val="clear" w:color="auto" w:fill="FFFFFF"/>
          </w:rPr>
          <w:t>stock</w:t>
        </w:r>
      </w:hyperlink>
      <w:r w:rsidRPr="00ED38E8">
        <w:rPr>
          <w:rFonts w:ascii="Arial" w:hAnsi="Arial" w:cs="Arial"/>
          <w:spacing w:val="5"/>
          <w:sz w:val="23"/>
          <w:szCs w:val="23"/>
          <w:shd w:val="clear" w:color="auto" w:fill="FFFFFF"/>
        </w:rPr>
        <w:t xml:space="preserve">. These ratios are employed by current and potential </w:t>
      </w:r>
      <w:hyperlink r:id="rId52" w:history="1">
        <w:r w:rsidRPr="00ED38E8">
          <w:rPr>
            <w:rFonts w:ascii="Arial" w:hAnsi="Arial" w:cs="Arial"/>
            <w:spacing w:val="5"/>
            <w:sz w:val="23"/>
            <w:szCs w:val="23"/>
            <w:shd w:val="clear" w:color="auto" w:fill="FFFFFF"/>
          </w:rPr>
          <w:t>investors</w:t>
        </w:r>
      </w:hyperlink>
      <w:r w:rsidRPr="00ED38E8">
        <w:rPr>
          <w:rFonts w:ascii="Arial" w:hAnsi="Arial" w:cs="Arial"/>
          <w:spacing w:val="5"/>
          <w:sz w:val="23"/>
          <w:szCs w:val="23"/>
          <w:shd w:val="clear" w:color="auto" w:fill="FFFFFF"/>
        </w:rPr>
        <w:t xml:space="preserve"> to determine whether a company's shares are over-priced or under-priced.</w:t>
      </w:r>
    </w:p>
    <w:p w:rsidR="009C5AAE" w:rsidRPr="00ED38E8" w:rsidRDefault="009C5AAE" w:rsidP="009C5AAE">
      <w:pPr>
        <w:tabs>
          <w:tab w:val="left" w:pos="3375"/>
        </w:tabs>
        <w:autoSpaceDE w:val="0"/>
        <w:autoSpaceDN w:val="0"/>
        <w:adjustRightInd w:val="0"/>
        <w:spacing w:after="0" w:line="240" w:lineRule="auto"/>
        <w:jc w:val="both"/>
        <w:rPr>
          <w:rFonts w:ascii="Arial" w:hAnsi="Arial" w:cs="Arial"/>
          <w:sz w:val="32"/>
          <w:szCs w:val="32"/>
          <w:u w:val="single"/>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67" w:name="_Toc18330060"/>
      <w:r w:rsidRPr="00ED38E8">
        <w:rPr>
          <w:rFonts w:ascii="Arial" w:eastAsia="Calibri" w:hAnsi="Arial" w:cs="Arial"/>
          <w:b/>
          <w:bCs/>
          <w:color w:val="984806" w:themeColor="accent6" w:themeShade="80"/>
          <w:sz w:val="28"/>
          <w:szCs w:val="28"/>
        </w:rPr>
        <w:t>4.1.26:  Earning per Share</w:t>
      </w:r>
      <w:bookmarkEnd w:id="67"/>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10038" w:type="dxa"/>
        <w:tblLook w:val="04A0" w:firstRow="1" w:lastRow="0" w:firstColumn="1" w:lastColumn="0" w:noHBand="0" w:noVBand="1"/>
      </w:tblPr>
      <w:tblGrid>
        <w:gridCol w:w="1843"/>
        <w:gridCol w:w="1639"/>
        <w:gridCol w:w="1639"/>
        <w:gridCol w:w="1639"/>
        <w:gridCol w:w="1639"/>
        <w:gridCol w:w="1639"/>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0037"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26.Earning per Share</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843"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63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63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3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63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63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551"/>
        </w:trPr>
        <w:tc>
          <w:tcPr>
            <w:cnfStyle w:val="001000000000" w:firstRow="0" w:lastRow="0" w:firstColumn="1" w:lastColumn="0" w:oddVBand="0" w:evenVBand="0" w:oddHBand="0" w:evenHBand="0" w:firstRowFirstColumn="0" w:firstRowLastColumn="0" w:lastRowFirstColumn="0" w:lastRowLastColumn="0"/>
            <w:tcW w:w="1843"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63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3.56</w:t>
            </w:r>
          </w:p>
        </w:tc>
        <w:tc>
          <w:tcPr>
            <w:tcW w:w="163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3.84</w:t>
            </w:r>
          </w:p>
        </w:tc>
        <w:tc>
          <w:tcPr>
            <w:tcW w:w="163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4.62</w:t>
            </w:r>
          </w:p>
        </w:tc>
        <w:tc>
          <w:tcPr>
            <w:tcW w:w="163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4.26</w:t>
            </w:r>
          </w:p>
        </w:tc>
        <w:tc>
          <w:tcPr>
            <w:tcW w:w="163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4.22</w:t>
            </w:r>
          </w:p>
        </w:tc>
      </w:tr>
    </w:tbl>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r w:rsidRPr="00ED38E8">
        <w:rPr>
          <w:rFonts w:ascii="Arial" w:hAnsi="Arial" w:cs="Arial"/>
          <w:noProof/>
        </w:rPr>
        <w:drawing>
          <wp:inline distT="0" distB="0" distL="0" distR="0" wp14:anchorId="4E0282AE" wp14:editId="515C3895">
            <wp:extent cx="6134100" cy="2819400"/>
            <wp:effectExtent l="0" t="0" r="19050" b="19050"/>
            <wp:docPr id="41" name="Chart 4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3DB1F082-7279-484D-9D1C-FDA138B4AD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9C5AAE" w:rsidRPr="00ED38E8" w:rsidRDefault="009C5AAE" w:rsidP="009C5AAE">
      <w:pPr>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roofErr w:type="gramStart"/>
      <w:r w:rsidRPr="009B1661">
        <w:rPr>
          <w:rFonts w:ascii="Arial" w:hAnsi="Arial" w:cs="Arial"/>
        </w:rPr>
        <w:t>Earnings per share is</w:t>
      </w:r>
      <w:proofErr w:type="gramEnd"/>
      <w:r w:rsidRPr="009B1661">
        <w:rPr>
          <w:rFonts w:ascii="Arial" w:hAnsi="Arial" w:cs="Arial"/>
        </w:rPr>
        <w:t xml:space="preserve"> the portion of a firm’s profit allocated to each of the ordinary shares. EPS can be calculated from net income available to ordinary shareholders’ divided by number of ordinary shares outstanding. From the above bar diagram, we can see fluctuate rate of EPS over the last </w:t>
      </w:r>
      <w:r w:rsidR="00003A48">
        <w:rPr>
          <w:rFonts w:ascii="Arial" w:hAnsi="Arial" w:cs="Arial"/>
        </w:rPr>
        <w:t>5</w:t>
      </w:r>
      <w:r w:rsidRPr="009B1661">
        <w:rPr>
          <w:rFonts w:ascii="Arial" w:hAnsi="Arial" w:cs="Arial"/>
        </w:rPr>
        <w:t xml:space="preserve"> years because of the differences of net income and number of shares outstanding</w:t>
      </w:r>
      <w:r w:rsidRPr="00ED38E8">
        <w:rPr>
          <w:rFonts w:ascii="Arial" w:hAnsi="Arial" w:cs="Arial"/>
          <w:sz w:val="24"/>
          <w:szCs w:val="24"/>
        </w:rPr>
        <w:t>.</w:t>
      </w: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68" w:name="_Toc18330061"/>
      <w:r w:rsidRPr="00ED38E8">
        <w:rPr>
          <w:rFonts w:ascii="Arial" w:eastAsia="Calibri" w:hAnsi="Arial" w:cs="Arial"/>
          <w:b/>
          <w:bCs/>
          <w:color w:val="984806" w:themeColor="accent6" w:themeShade="80"/>
          <w:sz w:val="28"/>
          <w:szCs w:val="28"/>
        </w:rPr>
        <w:t>4.1.27:  Dividend Payout Ratio</w:t>
      </w:r>
      <w:bookmarkEnd w:id="68"/>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10208" w:type="dxa"/>
        <w:tblLook w:val="04A0" w:firstRow="1" w:lastRow="0" w:firstColumn="1" w:lastColumn="0" w:noHBand="0" w:noVBand="1"/>
      </w:tblPr>
      <w:tblGrid>
        <w:gridCol w:w="951"/>
        <w:gridCol w:w="1886"/>
        <w:gridCol w:w="1886"/>
        <w:gridCol w:w="1712"/>
        <w:gridCol w:w="1886"/>
        <w:gridCol w:w="1887"/>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648"/>
        </w:trPr>
        <w:tc>
          <w:tcPr>
            <w:cnfStyle w:val="001000000000" w:firstRow="0" w:lastRow="0" w:firstColumn="1" w:lastColumn="0" w:oddVBand="0" w:evenVBand="0" w:oddHBand="0" w:evenHBand="0" w:firstRowFirstColumn="0" w:firstRowLastColumn="0" w:lastRowFirstColumn="0" w:lastRowLastColumn="0"/>
            <w:tcW w:w="10208"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27. Dividend Payout Ratio= (Dividend per Share/EPS)</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648"/>
        </w:trPr>
        <w:tc>
          <w:tcPr>
            <w:cnfStyle w:val="001000000000" w:firstRow="0" w:lastRow="0" w:firstColumn="1" w:lastColumn="0" w:oddVBand="0" w:evenVBand="0" w:oddHBand="0" w:evenHBand="0" w:firstRowFirstColumn="0" w:firstRowLastColumn="0" w:lastRowFirstColumn="0" w:lastRowLastColumn="0"/>
            <w:tcW w:w="951"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86"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86"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712"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86"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86"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648"/>
        </w:trPr>
        <w:tc>
          <w:tcPr>
            <w:cnfStyle w:val="001000000000" w:firstRow="0" w:lastRow="0" w:firstColumn="1" w:lastColumn="0" w:oddVBand="0" w:evenVBand="0" w:oddHBand="0" w:evenHBand="0" w:firstRowFirstColumn="0" w:firstRowLastColumn="0" w:lastRowFirstColumn="0" w:lastRowLastColumn="0"/>
            <w:tcW w:w="951"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86"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0.983146067</w:t>
            </w:r>
          </w:p>
        </w:tc>
        <w:tc>
          <w:tcPr>
            <w:tcW w:w="1886"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0.651041667</w:t>
            </w:r>
          </w:p>
        </w:tc>
        <w:tc>
          <w:tcPr>
            <w:tcW w:w="1712"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0.64935065</w:t>
            </w:r>
          </w:p>
        </w:tc>
        <w:tc>
          <w:tcPr>
            <w:tcW w:w="1886"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0.704225352</w:t>
            </w:r>
          </w:p>
        </w:tc>
        <w:tc>
          <w:tcPr>
            <w:tcW w:w="1886"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0.829383886</w:t>
            </w:r>
          </w:p>
        </w:tc>
      </w:tr>
    </w:tbl>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r w:rsidRPr="00ED38E8">
        <w:rPr>
          <w:rFonts w:ascii="Arial" w:hAnsi="Arial" w:cs="Arial"/>
          <w:noProof/>
        </w:rPr>
        <w:lastRenderedPageBreak/>
        <w:drawing>
          <wp:inline distT="0" distB="0" distL="0" distR="0" wp14:anchorId="59F39122" wp14:editId="7013997E">
            <wp:extent cx="6010275" cy="2505075"/>
            <wp:effectExtent l="0" t="0" r="9525" b="9525"/>
            <wp:docPr id="42" name="Chart 4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4C218419-F98E-4688-A1DD-999FDF362F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9C5AAE" w:rsidRPr="00ED38E8" w:rsidRDefault="009C5AAE" w:rsidP="009C5AAE">
      <w:pPr>
        <w:rPr>
          <w:rFonts w:ascii="Arial" w:hAnsi="Arial" w:cs="Arial"/>
          <w:sz w:val="24"/>
          <w:szCs w:val="24"/>
        </w:rPr>
      </w:pPr>
    </w:p>
    <w:p w:rsidR="009C5AAE" w:rsidRPr="009B1661" w:rsidRDefault="009C5AAE" w:rsidP="009C5AAE">
      <w:pPr>
        <w:autoSpaceDE w:val="0"/>
        <w:autoSpaceDN w:val="0"/>
        <w:adjustRightInd w:val="0"/>
        <w:spacing w:after="0" w:line="240" w:lineRule="auto"/>
        <w:jc w:val="both"/>
        <w:rPr>
          <w:rFonts w:ascii="Arial" w:hAnsi="Arial" w:cs="Arial"/>
        </w:rPr>
      </w:pPr>
      <w:r w:rsidRPr="009B1661">
        <w:rPr>
          <w:rFonts w:ascii="Arial" w:hAnsi="Arial" w:cs="Arial"/>
        </w:rPr>
        <w:t xml:space="preserve">Dividend payout ratio refers how much earnings per share is given as dividend per share to the investors. It is very obvious that investors will prefer high dividend payout ratio. Last </w:t>
      </w:r>
      <w:r w:rsidR="00003A48">
        <w:rPr>
          <w:rFonts w:ascii="Arial" w:hAnsi="Arial" w:cs="Arial"/>
        </w:rPr>
        <w:t>5</w:t>
      </w:r>
      <w:r w:rsidRPr="009B1661">
        <w:rPr>
          <w:rFonts w:ascii="Arial" w:hAnsi="Arial" w:cs="Arial"/>
        </w:rPr>
        <w:t xml:space="preserve"> years data of IDLC have showed us the fluctuate rate of this dividend payout ratio because of the changes of earning per share and company’s own policy also affects it. </w:t>
      </w:r>
      <w:r w:rsidR="00007BDB">
        <w:rPr>
          <w:rFonts w:ascii="Arial" w:hAnsi="Arial" w:cs="Arial"/>
        </w:rPr>
        <w:t>In</w:t>
      </w:r>
      <w:r w:rsidRPr="009B1661">
        <w:rPr>
          <w:rFonts w:ascii="Arial" w:hAnsi="Arial" w:cs="Arial"/>
        </w:rPr>
        <w:t xml:space="preserve"> 2018,</w:t>
      </w:r>
      <w:r w:rsidR="00007BDB">
        <w:rPr>
          <w:rFonts w:ascii="Arial" w:hAnsi="Arial" w:cs="Arial"/>
        </w:rPr>
        <w:t xml:space="preserve"> </w:t>
      </w:r>
      <w:r w:rsidRPr="009B1661">
        <w:rPr>
          <w:rFonts w:ascii="Arial" w:hAnsi="Arial" w:cs="Arial"/>
        </w:rPr>
        <w:t>IDLC paid 82.93% dividend of their total earning per share.</w:t>
      </w: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69" w:name="_Toc18330062"/>
      <w:r w:rsidRPr="00ED38E8">
        <w:rPr>
          <w:rFonts w:ascii="Arial" w:eastAsia="Calibri" w:hAnsi="Arial" w:cs="Arial"/>
          <w:b/>
          <w:bCs/>
          <w:color w:val="984806" w:themeColor="accent6" w:themeShade="80"/>
          <w:sz w:val="28"/>
          <w:szCs w:val="28"/>
        </w:rPr>
        <w:t>4.1.28:  Price Ratio</w:t>
      </w:r>
      <w:bookmarkEnd w:id="69"/>
    </w:p>
    <w:p w:rsidR="009C5AAE" w:rsidRPr="00ED38E8" w:rsidRDefault="009C5AAE" w:rsidP="009C5AAE">
      <w:pPr>
        <w:autoSpaceDE w:val="0"/>
        <w:autoSpaceDN w:val="0"/>
        <w:adjustRightInd w:val="0"/>
        <w:spacing w:after="0" w:line="240" w:lineRule="auto"/>
        <w:rPr>
          <w:rFonts w:ascii="Arial" w:eastAsia="Calibri" w:hAnsi="Arial" w:cs="Arial"/>
          <w:b/>
          <w:color w:val="984806"/>
          <w:sz w:val="28"/>
        </w:rPr>
      </w:pPr>
    </w:p>
    <w:tbl>
      <w:tblPr>
        <w:tblStyle w:val="GridTable5Dark-Accent11"/>
        <w:tblW w:w="9836" w:type="dxa"/>
        <w:tblLook w:val="04A0" w:firstRow="1" w:lastRow="0" w:firstColumn="1" w:lastColumn="0" w:noHBand="0" w:noVBand="1"/>
      </w:tblPr>
      <w:tblGrid>
        <w:gridCol w:w="916"/>
        <w:gridCol w:w="1817"/>
        <w:gridCol w:w="1817"/>
        <w:gridCol w:w="1650"/>
        <w:gridCol w:w="1817"/>
        <w:gridCol w:w="1819"/>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646"/>
        </w:trPr>
        <w:tc>
          <w:tcPr>
            <w:cnfStyle w:val="001000000000" w:firstRow="0" w:lastRow="0" w:firstColumn="1" w:lastColumn="0" w:oddVBand="0" w:evenVBand="0" w:oddHBand="0" w:evenHBand="0" w:firstRowFirstColumn="0" w:firstRowLastColumn="0" w:lastRowFirstColumn="0" w:lastRowLastColumn="0"/>
            <w:tcW w:w="9836"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28. Price Ratio=(Market Price per Share/Earning Per Share)</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646"/>
        </w:trPr>
        <w:tc>
          <w:tcPr>
            <w:cnfStyle w:val="001000000000" w:firstRow="0" w:lastRow="0" w:firstColumn="1" w:lastColumn="0" w:oddVBand="0" w:evenVBand="0" w:oddHBand="0" w:evenHBand="0" w:firstRowFirstColumn="0" w:firstRowLastColumn="0" w:lastRowFirstColumn="0" w:lastRowLastColumn="0"/>
            <w:tcW w:w="916"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81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1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50"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1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19"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646"/>
        </w:trPr>
        <w:tc>
          <w:tcPr>
            <w:cnfStyle w:val="001000000000" w:firstRow="0" w:lastRow="0" w:firstColumn="1" w:lastColumn="0" w:oddVBand="0" w:evenVBand="0" w:oddHBand="0" w:evenHBand="0" w:firstRowFirstColumn="0" w:firstRowLastColumn="0" w:lastRowFirstColumn="0" w:lastRowLastColumn="0"/>
            <w:tcW w:w="916"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81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7.012048193</w:t>
            </w:r>
          </w:p>
        </w:tc>
        <w:tc>
          <w:tcPr>
            <w:tcW w:w="181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7.771428571</w:t>
            </w:r>
          </w:p>
        </w:tc>
        <w:tc>
          <w:tcPr>
            <w:tcW w:w="1650"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7.66756032</w:t>
            </w:r>
          </w:p>
        </w:tc>
        <w:tc>
          <w:tcPr>
            <w:tcW w:w="181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7.880434783</w:t>
            </w:r>
          </w:p>
        </w:tc>
        <w:tc>
          <w:tcPr>
            <w:tcW w:w="1819"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15.53191489</w:t>
            </w:r>
          </w:p>
        </w:tc>
      </w:tr>
    </w:tbl>
    <w:p w:rsidR="009C5AAE" w:rsidRPr="00ED38E8" w:rsidRDefault="009C5AAE" w:rsidP="009C5AAE">
      <w:pPr>
        <w:autoSpaceDE w:val="0"/>
        <w:autoSpaceDN w:val="0"/>
        <w:adjustRightInd w:val="0"/>
        <w:spacing w:after="0" w:line="240" w:lineRule="auto"/>
        <w:rPr>
          <w:rFonts w:ascii="Arial" w:hAnsi="Arial" w:cs="Arial"/>
          <w:b/>
        </w:rPr>
      </w:pPr>
    </w:p>
    <w:p w:rsidR="009C5AAE" w:rsidRPr="00ED38E8" w:rsidRDefault="009C5AAE" w:rsidP="009C5AAE">
      <w:pPr>
        <w:autoSpaceDE w:val="0"/>
        <w:autoSpaceDN w:val="0"/>
        <w:adjustRightInd w:val="0"/>
        <w:spacing w:after="0" w:line="240" w:lineRule="auto"/>
        <w:rPr>
          <w:rFonts w:ascii="Arial" w:hAnsi="Arial" w:cs="Arial"/>
          <w:b/>
        </w:rPr>
      </w:pPr>
    </w:p>
    <w:p w:rsidR="009C5AAE" w:rsidRPr="009B1661" w:rsidRDefault="009C5AAE" w:rsidP="009C5AAE">
      <w:pPr>
        <w:autoSpaceDE w:val="0"/>
        <w:autoSpaceDN w:val="0"/>
        <w:adjustRightInd w:val="0"/>
        <w:spacing w:after="0" w:line="240" w:lineRule="auto"/>
        <w:rPr>
          <w:rFonts w:ascii="Arial" w:hAnsi="Arial" w:cs="Arial"/>
          <w:b/>
        </w:rPr>
      </w:pPr>
      <w:r w:rsidRPr="00ED38E8">
        <w:rPr>
          <w:rFonts w:ascii="Arial" w:hAnsi="Arial" w:cs="Arial"/>
          <w:noProof/>
        </w:rPr>
        <w:drawing>
          <wp:inline distT="0" distB="0" distL="0" distR="0" wp14:anchorId="3AF4764D" wp14:editId="4F6B47A8">
            <wp:extent cx="5800725" cy="2362200"/>
            <wp:effectExtent l="0" t="0" r="9525" b="19050"/>
            <wp:docPr id="43" name="Chart 4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A0DC83B4-A982-40FF-95C4-468E13527A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9C5AAE" w:rsidRPr="009B1661" w:rsidRDefault="009C5AAE" w:rsidP="009C5AAE">
      <w:pPr>
        <w:autoSpaceDE w:val="0"/>
        <w:autoSpaceDN w:val="0"/>
        <w:adjustRightInd w:val="0"/>
        <w:spacing w:after="0" w:line="240" w:lineRule="auto"/>
        <w:jc w:val="both"/>
        <w:rPr>
          <w:rFonts w:ascii="Arial" w:hAnsi="Arial" w:cs="Arial"/>
        </w:rPr>
      </w:pPr>
      <w:r w:rsidRPr="009B1661">
        <w:rPr>
          <w:rFonts w:ascii="Arial" w:hAnsi="Arial" w:cs="Arial"/>
        </w:rPr>
        <w:lastRenderedPageBreak/>
        <w:t xml:space="preserve">Price ratio refers how much investors are willing to pay per dollar of reported profits. This price ratio shows the growth prospective of a firm so that higher ratio is a good sign, because investors would be ready to give more to buy the shares of that firm. If we evaluate the last </w:t>
      </w:r>
      <w:r>
        <w:rPr>
          <w:rFonts w:ascii="Arial" w:hAnsi="Arial" w:cs="Arial"/>
        </w:rPr>
        <w:t>5</w:t>
      </w:r>
      <w:r w:rsidRPr="009B1661">
        <w:rPr>
          <w:rFonts w:ascii="Arial" w:hAnsi="Arial" w:cs="Arial"/>
        </w:rPr>
        <w:t xml:space="preserve"> years data regarding this ratio for IDLC, we have found that from the 2014 to 2017, they had almost same price ratio because on these period, market price per share didn’t increase too much. </w:t>
      </w:r>
    </w:p>
    <w:p w:rsidR="009C5AAE" w:rsidRPr="009B1661"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sz w:val="24"/>
          <w:szCs w:val="24"/>
        </w:rPr>
      </w:pPr>
      <w:r w:rsidRPr="009B1661">
        <w:rPr>
          <w:rFonts w:ascii="Arial" w:hAnsi="Arial" w:cs="Arial"/>
        </w:rPr>
        <w:t xml:space="preserve">However, </w:t>
      </w:r>
      <w:proofErr w:type="gramStart"/>
      <w:r w:rsidR="00007BDB">
        <w:rPr>
          <w:rFonts w:ascii="Arial" w:hAnsi="Arial" w:cs="Arial"/>
        </w:rPr>
        <w:t>In</w:t>
      </w:r>
      <w:proofErr w:type="gramEnd"/>
      <w:r w:rsidRPr="009B1661">
        <w:rPr>
          <w:rFonts w:ascii="Arial" w:hAnsi="Arial" w:cs="Arial"/>
        </w:rPr>
        <w:t xml:space="preserve"> 2018, there was a sharp jump of market price of per share which lead the IDLC to achieve a high price ratio in this year and the rate is 15.53% for per dollar of reported profit. This high price ratio is very good sign for collecting more funds from the investors in the future which will increase the total equity to total asset ratio and so, it would reduce burden of debt</w:t>
      </w:r>
      <w:r w:rsidRPr="00ED38E8">
        <w:rPr>
          <w:rFonts w:ascii="Arial" w:hAnsi="Arial" w:cs="Arial"/>
          <w:sz w:val="24"/>
          <w:szCs w:val="24"/>
        </w:rPr>
        <w:t>.</w:t>
      </w:r>
    </w:p>
    <w:p w:rsidR="009C5AAE" w:rsidRPr="00ED38E8" w:rsidRDefault="009C5AAE" w:rsidP="009C5AAE">
      <w:pPr>
        <w:autoSpaceDE w:val="0"/>
        <w:autoSpaceDN w:val="0"/>
        <w:adjustRightInd w:val="0"/>
        <w:spacing w:after="0" w:line="240" w:lineRule="auto"/>
        <w:jc w:val="both"/>
        <w:rPr>
          <w:rFonts w:ascii="Arial" w:hAnsi="Arial" w:cs="Arial"/>
          <w:sz w:val="24"/>
          <w:szCs w:val="24"/>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70" w:name="_Toc18330063"/>
      <w:r w:rsidRPr="00ED38E8">
        <w:rPr>
          <w:rFonts w:ascii="Arial" w:eastAsia="Calibri" w:hAnsi="Arial" w:cs="Arial"/>
          <w:b/>
          <w:bCs/>
          <w:color w:val="984806" w:themeColor="accent6" w:themeShade="80"/>
          <w:sz w:val="28"/>
          <w:szCs w:val="28"/>
        </w:rPr>
        <w:t>4.1.29: Market/Book Ratio</w:t>
      </w:r>
      <w:bookmarkEnd w:id="70"/>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tbl>
      <w:tblPr>
        <w:tblStyle w:val="GridTable5Dark-Accent11"/>
        <w:tblW w:w="9809" w:type="dxa"/>
        <w:tblLook w:val="04A0" w:firstRow="1" w:lastRow="0" w:firstColumn="1" w:lastColumn="0" w:noHBand="0" w:noVBand="1"/>
      </w:tblPr>
      <w:tblGrid>
        <w:gridCol w:w="915"/>
        <w:gridCol w:w="1676"/>
        <w:gridCol w:w="1847"/>
        <w:gridCol w:w="1676"/>
        <w:gridCol w:w="1847"/>
        <w:gridCol w:w="1848"/>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9807"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29. Market/Book Ratio= (Market Price per Share/Book value per Share)</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915"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1676"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4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76"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47"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48"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614"/>
        </w:trPr>
        <w:tc>
          <w:tcPr>
            <w:cnfStyle w:val="001000000000" w:firstRow="0" w:lastRow="0" w:firstColumn="1" w:lastColumn="0" w:oddVBand="0" w:evenVBand="0" w:oddHBand="0" w:evenHBand="0" w:firstRowFirstColumn="0" w:firstRowLastColumn="0" w:lastRowFirstColumn="0" w:lastRowLastColumn="0"/>
            <w:tcW w:w="915"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1676"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0.96389533</w:t>
            </w:r>
          </w:p>
        </w:tc>
        <w:tc>
          <w:tcPr>
            <w:tcW w:w="184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0.827502282</w:t>
            </w:r>
          </w:p>
        </w:tc>
        <w:tc>
          <w:tcPr>
            <w:tcW w:w="1676"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0.85271318</w:t>
            </w:r>
          </w:p>
        </w:tc>
        <w:tc>
          <w:tcPr>
            <w:tcW w:w="1847"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1.027275948</w:t>
            </w:r>
          </w:p>
        </w:tc>
        <w:tc>
          <w:tcPr>
            <w:tcW w:w="1848"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1.724021592</w:t>
            </w:r>
          </w:p>
        </w:tc>
      </w:tr>
    </w:tbl>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jc w:val="both"/>
        <w:rPr>
          <w:rFonts w:ascii="Arial" w:eastAsia="Calibri" w:hAnsi="Arial" w:cs="Arial"/>
          <w:b/>
          <w:color w:val="984806"/>
          <w:sz w:val="28"/>
        </w:rPr>
      </w:pPr>
      <w:r w:rsidRPr="00ED38E8">
        <w:rPr>
          <w:rFonts w:ascii="Arial" w:hAnsi="Arial" w:cs="Arial"/>
          <w:noProof/>
        </w:rPr>
        <w:drawing>
          <wp:inline distT="0" distB="0" distL="0" distR="0" wp14:anchorId="61A8D025" wp14:editId="24460CA9">
            <wp:extent cx="6324600" cy="2943225"/>
            <wp:effectExtent l="0" t="0" r="19050" b="9525"/>
            <wp:docPr id="44" name="Chart 4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35825D2E-88F1-4DD0-893A-1A60E1A5D8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9B1661" w:rsidRDefault="009C5AAE" w:rsidP="009C5AAE">
      <w:pPr>
        <w:autoSpaceDE w:val="0"/>
        <w:autoSpaceDN w:val="0"/>
        <w:adjustRightInd w:val="0"/>
        <w:spacing w:after="0" w:line="240" w:lineRule="auto"/>
        <w:jc w:val="both"/>
        <w:rPr>
          <w:rFonts w:ascii="Arial" w:hAnsi="Arial" w:cs="Arial"/>
        </w:rPr>
      </w:pPr>
      <w:r w:rsidRPr="009B1661">
        <w:rPr>
          <w:rFonts w:ascii="Arial" w:hAnsi="Arial" w:cs="Arial"/>
        </w:rPr>
        <w:t xml:space="preserve">Market ratio refers how much investors are willing to pay for buying the stock of a firm compared to the book value of that stock. From the above bar diagram of IDLC regarding market ratio, we have found the almost similar value of this ratio from 2014-2017. However, because of the high jump of market price per share, market ratio </w:t>
      </w:r>
      <w:proofErr w:type="gramStart"/>
      <w:r w:rsidR="00007BDB">
        <w:rPr>
          <w:rFonts w:ascii="Arial" w:hAnsi="Arial" w:cs="Arial"/>
        </w:rPr>
        <w:t>In</w:t>
      </w:r>
      <w:proofErr w:type="gramEnd"/>
      <w:r w:rsidRPr="009B1661">
        <w:rPr>
          <w:rFonts w:ascii="Arial" w:hAnsi="Arial" w:cs="Arial"/>
        </w:rPr>
        <w:t xml:space="preserve"> 2018 had been increases too much and which is </w:t>
      </w:r>
      <w:r w:rsidRPr="009B1661">
        <w:rPr>
          <w:rFonts w:ascii="Arial" w:hAnsi="Arial" w:cs="Arial"/>
        </w:rPr>
        <w:lastRenderedPageBreak/>
        <w:t>good sign for IDLC. That means</w:t>
      </w:r>
      <w:proofErr w:type="gramStart"/>
      <w:r w:rsidRPr="009B1661">
        <w:rPr>
          <w:rFonts w:ascii="Arial" w:hAnsi="Arial" w:cs="Arial"/>
        </w:rPr>
        <w:t>,</w:t>
      </w:r>
      <w:proofErr w:type="gramEnd"/>
      <w:r w:rsidRPr="009B1661">
        <w:rPr>
          <w:rFonts w:ascii="Arial" w:hAnsi="Arial" w:cs="Arial"/>
        </w:rPr>
        <w:t xml:space="preserve"> investors are willing to pay 1.72 times more than the book value of s</w:t>
      </w:r>
      <w:r>
        <w:rPr>
          <w:rFonts w:ascii="Arial" w:hAnsi="Arial" w:cs="Arial"/>
        </w:rPr>
        <w:t>tock at the time of purchasing.</w:t>
      </w:r>
    </w:p>
    <w:p w:rsidR="009C5AAE" w:rsidRPr="00ED38E8" w:rsidRDefault="009C5AAE" w:rsidP="009C5AAE">
      <w:pPr>
        <w:autoSpaceDE w:val="0"/>
        <w:autoSpaceDN w:val="0"/>
        <w:adjustRightInd w:val="0"/>
        <w:spacing w:after="0" w:line="240" w:lineRule="auto"/>
        <w:rPr>
          <w:rFonts w:ascii="Arial" w:eastAsia="Calibri" w:hAnsi="Arial" w:cs="Arial"/>
          <w:b/>
          <w:color w:val="984806"/>
          <w:sz w:val="28"/>
        </w:rPr>
      </w:pPr>
    </w:p>
    <w:p w:rsidR="009C5AAE" w:rsidRPr="00ED38E8" w:rsidRDefault="009C5AAE" w:rsidP="009C5AAE">
      <w:pPr>
        <w:pStyle w:val="Heading3"/>
        <w:rPr>
          <w:rFonts w:ascii="Arial" w:eastAsia="Calibri" w:hAnsi="Arial" w:cs="Arial"/>
          <w:b/>
          <w:bCs/>
          <w:color w:val="984806" w:themeColor="accent6" w:themeShade="80"/>
          <w:sz w:val="28"/>
          <w:szCs w:val="28"/>
        </w:rPr>
      </w:pPr>
      <w:bookmarkStart w:id="71" w:name="_Toc18330064"/>
      <w:r w:rsidRPr="00ED38E8">
        <w:rPr>
          <w:rFonts w:ascii="Arial" w:eastAsia="Calibri" w:hAnsi="Arial" w:cs="Arial"/>
          <w:b/>
          <w:bCs/>
          <w:color w:val="984806" w:themeColor="accent6" w:themeShade="80"/>
          <w:sz w:val="28"/>
          <w:szCs w:val="28"/>
        </w:rPr>
        <w:t>4.1.30: Net Asset Value (NAV) per Share</w:t>
      </w:r>
      <w:bookmarkEnd w:id="71"/>
    </w:p>
    <w:p w:rsidR="009C5AAE" w:rsidRPr="00ED38E8" w:rsidRDefault="009C5AAE" w:rsidP="009C5AAE">
      <w:pPr>
        <w:autoSpaceDE w:val="0"/>
        <w:autoSpaceDN w:val="0"/>
        <w:adjustRightInd w:val="0"/>
        <w:spacing w:after="0" w:line="240" w:lineRule="auto"/>
        <w:rPr>
          <w:rFonts w:ascii="Arial" w:eastAsia="Calibri" w:hAnsi="Arial" w:cs="Arial"/>
          <w:b/>
          <w:color w:val="984806"/>
          <w:sz w:val="28"/>
        </w:rPr>
      </w:pPr>
    </w:p>
    <w:p w:rsidR="009C5AAE" w:rsidRPr="00ED38E8" w:rsidRDefault="009C5AAE" w:rsidP="009C5AAE">
      <w:pPr>
        <w:autoSpaceDE w:val="0"/>
        <w:autoSpaceDN w:val="0"/>
        <w:adjustRightInd w:val="0"/>
        <w:spacing w:after="0" w:line="240" w:lineRule="auto"/>
        <w:rPr>
          <w:rFonts w:ascii="Arial" w:eastAsia="Calibri" w:hAnsi="Arial" w:cs="Arial"/>
          <w:b/>
          <w:color w:val="984806"/>
          <w:sz w:val="28"/>
        </w:rPr>
      </w:pPr>
    </w:p>
    <w:tbl>
      <w:tblPr>
        <w:tblStyle w:val="GridTable5Dark-Accent11"/>
        <w:tblW w:w="10576" w:type="dxa"/>
        <w:tblLook w:val="04A0" w:firstRow="1" w:lastRow="0" w:firstColumn="1" w:lastColumn="0" w:noHBand="0" w:noVBand="1"/>
      </w:tblPr>
      <w:tblGrid>
        <w:gridCol w:w="918"/>
        <w:gridCol w:w="2491"/>
        <w:gridCol w:w="1834"/>
        <w:gridCol w:w="1665"/>
        <w:gridCol w:w="1834"/>
        <w:gridCol w:w="1834"/>
      </w:tblGrid>
      <w:tr w:rsidR="009C5AAE" w:rsidRPr="00ED38E8" w:rsidTr="008C2D73">
        <w:trPr>
          <w:cnfStyle w:val="100000000000" w:firstRow="1" w:lastRow="0" w:firstColumn="0" w:lastColumn="0" w:oddVBand="0" w:evenVBand="0" w:oddHBand="0"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0576" w:type="dxa"/>
            <w:gridSpan w:val="6"/>
            <w:noWrap/>
            <w:hideMark/>
          </w:tcPr>
          <w:p w:rsidR="009C5AAE" w:rsidRPr="00ED38E8" w:rsidRDefault="009C5AAE" w:rsidP="008C2D73">
            <w:pPr>
              <w:spacing w:after="0" w:line="240" w:lineRule="auto"/>
              <w:jc w:val="center"/>
              <w:rPr>
                <w:rFonts w:ascii="Arial" w:eastAsia="Times New Roman" w:hAnsi="Arial" w:cs="Arial"/>
                <w:color w:val="000000"/>
              </w:rPr>
            </w:pPr>
            <w:r w:rsidRPr="00ED38E8">
              <w:rPr>
                <w:rFonts w:ascii="Arial" w:eastAsia="Times New Roman" w:hAnsi="Arial" w:cs="Arial"/>
                <w:color w:val="000000"/>
              </w:rPr>
              <w:t xml:space="preserve">30. Net Asset Value(NAV) per Share={ (Total Assets-Total Liabilities)/No. of shares </w:t>
            </w:r>
            <w:proofErr w:type="spellStart"/>
            <w:r w:rsidRPr="00ED38E8">
              <w:rPr>
                <w:rFonts w:ascii="Arial" w:eastAsia="Times New Roman" w:hAnsi="Arial" w:cs="Arial"/>
                <w:color w:val="000000"/>
              </w:rPr>
              <w:t>Outstandings</w:t>
            </w:r>
            <w:proofErr w:type="spellEnd"/>
            <w:r w:rsidRPr="00ED38E8">
              <w:rPr>
                <w:rFonts w:ascii="Arial" w:eastAsia="Times New Roman" w:hAnsi="Arial" w:cs="Arial"/>
                <w:color w:val="000000"/>
              </w:rPr>
              <w:t>}</w:t>
            </w:r>
          </w:p>
        </w:tc>
      </w:tr>
      <w:tr w:rsidR="009C5AAE" w:rsidRPr="00ED38E8" w:rsidTr="008C2D73">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918"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Year</w:t>
            </w:r>
          </w:p>
        </w:tc>
        <w:tc>
          <w:tcPr>
            <w:tcW w:w="2491"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2014</w:t>
            </w:r>
          </w:p>
        </w:tc>
        <w:tc>
          <w:tcPr>
            <w:tcW w:w="1834"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2015</w:t>
            </w:r>
          </w:p>
        </w:tc>
        <w:tc>
          <w:tcPr>
            <w:tcW w:w="1665"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2016</w:t>
            </w:r>
          </w:p>
        </w:tc>
        <w:tc>
          <w:tcPr>
            <w:tcW w:w="1834"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2017</w:t>
            </w:r>
          </w:p>
        </w:tc>
        <w:tc>
          <w:tcPr>
            <w:tcW w:w="1834" w:type="dxa"/>
            <w:noWrap/>
            <w:hideMark/>
          </w:tcPr>
          <w:p w:rsidR="009C5AAE" w:rsidRPr="00ED38E8" w:rsidRDefault="009C5AAE" w:rsidP="008C2D7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2018</w:t>
            </w:r>
          </w:p>
        </w:tc>
      </w:tr>
      <w:tr w:rsidR="009C5AAE" w:rsidRPr="00ED38E8" w:rsidTr="008C2D73">
        <w:trPr>
          <w:trHeight w:val="500"/>
        </w:trPr>
        <w:tc>
          <w:tcPr>
            <w:cnfStyle w:val="001000000000" w:firstRow="0" w:lastRow="0" w:firstColumn="1" w:lastColumn="0" w:oddVBand="0" w:evenVBand="0" w:oddHBand="0" w:evenHBand="0" w:firstRowFirstColumn="0" w:firstRowLastColumn="0" w:lastRowFirstColumn="0" w:lastRowLastColumn="0"/>
            <w:tcW w:w="918" w:type="dxa"/>
            <w:noWrap/>
            <w:hideMark/>
          </w:tcPr>
          <w:p w:rsidR="009C5AAE" w:rsidRPr="00ED38E8" w:rsidRDefault="009C5AAE" w:rsidP="008C2D73">
            <w:pPr>
              <w:spacing w:after="0" w:line="240" w:lineRule="auto"/>
              <w:rPr>
                <w:rFonts w:ascii="Arial" w:eastAsia="Times New Roman" w:hAnsi="Arial" w:cs="Arial"/>
                <w:color w:val="000000"/>
              </w:rPr>
            </w:pPr>
            <w:r w:rsidRPr="00ED38E8">
              <w:rPr>
                <w:rFonts w:ascii="Arial" w:eastAsia="Times New Roman" w:hAnsi="Arial" w:cs="Arial"/>
                <w:color w:val="000000"/>
              </w:rPr>
              <w:t>Value</w:t>
            </w:r>
          </w:p>
        </w:tc>
        <w:tc>
          <w:tcPr>
            <w:tcW w:w="2491"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28.31425816</w:t>
            </w:r>
          </w:p>
        </w:tc>
        <w:tc>
          <w:tcPr>
            <w:tcW w:w="1834"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26.79962648</w:t>
            </w:r>
          </w:p>
        </w:tc>
        <w:tc>
          <w:tcPr>
            <w:tcW w:w="1665"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30.2527042</w:t>
            </w:r>
          </w:p>
        </w:tc>
        <w:tc>
          <w:tcPr>
            <w:tcW w:w="1834"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28.03096383</w:t>
            </w:r>
          </w:p>
        </w:tc>
        <w:tc>
          <w:tcPr>
            <w:tcW w:w="1834" w:type="dxa"/>
            <w:noWrap/>
            <w:hideMark/>
          </w:tcPr>
          <w:p w:rsidR="009C5AAE" w:rsidRPr="00ED38E8" w:rsidRDefault="009C5AAE" w:rsidP="008C2D7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ED38E8">
              <w:rPr>
                <w:rFonts w:ascii="Arial" w:eastAsia="Times New Roman" w:hAnsi="Arial" w:cs="Arial"/>
                <w:color w:val="000000"/>
              </w:rPr>
              <w:t>29.24961946</w:t>
            </w:r>
          </w:p>
        </w:tc>
      </w:tr>
    </w:tbl>
    <w:p w:rsidR="009C5AAE" w:rsidRPr="00ED38E8" w:rsidRDefault="009C5AAE" w:rsidP="009C5AAE">
      <w:pPr>
        <w:autoSpaceDE w:val="0"/>
        <w:autoSpaceDN w:val="0"/>
        <w:adjustRightInd w:val="0"/>
        <w:spacing w:after="0" w:line="240" w:lineRule="auto"/>
        <w:rPr>
          <w:rFonts w:ascii="Arial" w:hAnsi="Arial" w:cs="Arial"/>
          <w:sz w:val="24"/>
          <w:szCs w:val="24"/>
        </w:rPr>
      </w:pPr>
    </w:p>
    <w:p w:rsidR="009C5AAE" w:rsidRPr="00ED38E8" w:rsidRDefault="009C5AAE" w:rsidP="009C5AAE">
      <w:pPr>
        <w:autoSpaceDE w:val="0"/>
        <w:autoSpaceDN w:val="0"/>
        <w:adjustRightInd w:val="0"/>
        <w:spacing w:after="0" w:line="240" w:lineRule="auto"/>
        <w:rPr>
          <w:rFonts w:ascii="Arial" w:hAnsi="Arial" w:cs="Arial"/>
          <w:sz w:val="24"/>
          <w:szCs w:val="24"/>
        </w:rPr>
      </w:pPr>
    </w:p>
    <w:p w:rsidR="009C5AAE" w:rsidRPr="00ED38E8" w:rsidRDefault="009C5AAE" w:rsidP="009C5AAE">
      <w:pPr>
        <w:autoSpaceDE w:val="0"/>
        <w:autoSpaceDN w:val="0"/>
        <w:adjustRightInd w:val="0"/>
        <w:spacing w:after="0" w:line="240" w:lineRule="auto"/>
        <w:rPr>
          <w:rFonts w:ascii="Arial" w:hAnsi="Arial" w:cs="Arial"/>
          <w:sz w:val="24"/>
          <w:szCs w:val="24"/>
        </w:rPr>
      </w:pPr>
    </w:p>
    <w:p w:rsidR="009C5AAE" w:rsidRPr="00ED38E8" w:rsidRDefault="009C5AAE" w:rsidP="009C5AAE">
      <w:pPr>
        <w:autoSpaceDE w:val="0"/>
        <w:autoSpaceDN w:val="0"/>
        <w:adjustRightInd w:val="0"/>
        <w:spacing w:after="0" w:line="240" w:lineRule="auto"/>
        <w:rPr>
          <w:rFonts w:ascii="Arial" w:hAnsi="Arial" w:cs="Arial"/>
          <w:sz w:val="24"/>
          <w:szCs w:val="24"/>
        </w:rPr>
      </w:pPr>
    </w:p>
    <w:p w:rsidR="009C5AAE" w:rsidRPr="00ED38E8" w:rsidRDefault="009C5AAE" w:rsidP="009C5AAE">
      <w:pPr>
        <w:autoSpaceDE w:val="0"/>
        <w:autoSpaceDN w:val="0"/>
        <w:adjustRightInd w:val="0"/>
        <w:spacing w:after="0" w:line="240" w:lineRule="auto"/>
        <w:rPr>
          <w:rFonts w:ascii="Arial" w:hAnsi="Arial" w:cs="Arial"/>
          <w:sz w:val="24"/>
          <w:szCs w:val="24"/>
        </w:rPr>
      </w:pPr>
      <w:r w:rsidRPr="00ED38E8">
        <w:rPr>
          <w:rFonts w:ascii="Arial" w:hAnsi="Arial" w:cs="Arial"/>
          <w:noProof/>
        </w:rPr>
        <w:drawing>
          <wp:inline distT="0" distB="0" distL="0" distR="0" wp14:anchorId="2E60747B" wp14:editId="4561584B">
            <wp:extent cx="6267450" cy="2743200"/>
            <wp:effectExtent l="0" t="0" r="19050" b="19050"/>
            <wp:docPr id="45" name="Chart 4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92C7C206-024C-4C9E-9B2C-ADE0AFB65F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9C5AAE" w:rsidRPr="00ED38E8" w:rsidRDefault="009C5AAE" w:rsidP="009C5AAE">
      <w:pPr>
        <w:rPr>
          <w:rFonts w:ascii="Arial" w:hAnsi="Arial" w:cs="Arial"/>
          <w:sz w:val="24"/>
          <w:szCs w:val="24"/>
        </w:rPr>
      </w:pPr>
    </w:p>
    <w:p w:rsidR="009C5AAE" w:rsidRPr="009B1661" w:rsidRDefault="009C5AAE" w:rsidP="009C5AAE">
      <w:pPr>
        <w:rPr>
          <w:rFonts w:ascii="Arial" w:hAnsi="Arial" w:cs="Arial"/>
        </w:rPr>
      </w:pPr>
    </w:p>
    <w:p w:rsidR="009C5AAE" w:rsidRPr="009B1661" w:rsidRDefault="009C5AAE" w:rsidP="009C5AAE">
      <w:pPr>
        <w:autoSpaceDE w:val="0"/>
        <w:autoSpaceDN w:val="0"/>
        <w:adjustRightInd w:val="0"/>
        <w:spacing w:after="0" w:line="240" w:lineRule="auto"/>
        <w:jc w:val="both"/>
        <w:rPr>
          <w:rFonts w:ascii="Arial" w:hAnsi="Arial" w:cs="Arial"/>
        </w:rPr>
      </w:pPr>
      <w:r w:rsidRPr="009B1661">
        <w:rPr>
          <w:rFonts w:ascii="Arial" w:hAnsi="Arial" w:cs="Arial"/>
        </w:rPr>
        <w:t xml:space="preserve">Net asset value per share is the value of a firm’s assets minus the value of its liabilities in relation to open-end or mutual funds. In another words, it is the price at which shares in that fund can be bought and sold. While evaluating the data of IDLC for the last </w:t>
      </w:r>
      <w:r>
        <w:rPr>
          <w:rFonts w:ascii="Arial" w:hAnsi="Arial" w:cs="Arial"/>
        </w:rPr>
        <w:t>5</w:t>
      </w:r>
      <w:r w:rsidRPr="009B1661">
        <w:rPr>
          <w:rFonts w:ascii="Arial" w:hAnsi="Arial" w:cs="Arial"/>
        </w:rPr>
        <w:t xml:space="preserve"> years, we have determined the NAVPS from net asset value divided by the number of shares outstanding. We can see fluctuate rate of this value over the last </w:t>
      </w:r>
      <w:r w:rsidR="00003A48">
        <w:rPr>
          <w:rFonts w:ascii="Arial" w:hAnsi="Arial" w:cs="Arial"/>
        </w:rPr>
        <w:t>5</w:t>
      </w:r>
      <w:r w:rsidRPr="009B1661">
        <w:rPr>
          <w:rFonts w:ascii="Arial" w:hAnsi="Arial" w:cs="Arial"/>
        </w:rPr>
        <w:t xml:space="preserve"> years and </w:t>
      </w:r>
      <w:proofErr w:type="gramStart"/>
      <w:r w:rsidR="00007BDB">
        <w:rPr>
          <w:rFonts w:ascii="Arial" w:hAnsi="Arial" w:cs="Arial"/>
        </w:rPr>
        <w:t>In</w:t>
      </w:r>
      <w:proofErr w:type="gramEnd"/>
      <w:r w:rsidRPr="009B1661">
        <w:rPr>
          <w:rFonts w:ascii="Arial" w:hAnsi="Arial" w:cs="Arial"/>
        </w:rPr>
        <w:t xml:space="preserve"> 2018, NAVPS was 29.25 BDT.</w:t>
      </w:r>
    </w:p>
    <w:p w:rsidR="009C5AAE" w:rsidRPr="00ED38E8" w:rsidRDefault="009C5AAE" w:rsidP="009C5AAE">
      <w:pPr>
        <w:autoSpaceDE w:val="0"/>
        <w:autoSpaceDN w:val="0"/>
        <w:adjustRightInd w:val="0"/>
        <w:spacing w:after="0" w:line="240" w:lineRule="auto"/>
        <w:jc w:val="both"/>
        <w:rPr>
          <w:rFonts w:ascii="Arial" w:hAnsi="Arial" w:cs="Arial"/>
        </w:rPr>
      </w:pPr>
    </w:p>
    <w:p w:rsidR="009C5AAE" w:rsidRPr="00ED38E8" w:rsidRDefault="009C5AAE" w:rsidP="009C5AAE">
      <w:pPr>
        <w:spacing w:after="200" w:line="276" w:lineRule="auto"/>
        <w:rPr>
          <w:rFonts w:ascii="Arial" w:hAnsi="Arial" w:cs="Arial"/>
        </w:rPr>
      </w:pPr>
      <w:r w:rsidRPr="00ED38E8">
        <w:rPr>
          <w:rFonts w:ascii="Arial" w:hAnsi="Arial" w:cs="Arial"/>
        </w:rPr>
        <w:br w:type="page"/>
      </w:r>
    </w:p>
    <w:p w:rsidR="009C5AAE" w:rsidRPr="00ED38E8" w:rsidRDefault="009C5AAE" w:rsidP="009C5AAE">
      <w:pPr>
        <w:spacing w:after="200" w:line="276" w:lineRule="auto"/>
        <w:jc w:val="both"/>
        <w:rPr>
          <w:rFonts w:ascii="Arial" w:hAnsi="Arial" w:cs="Arial"/>
          <w:color w:val="984806" w:themeColor="accent6" w:themeShade="80"/>
          <w:sz w:val="28"/>
          <w:szCs w:val="28"/>
        </w:rPr>
      </w:pPr>
      <w:r w:rsidRPr="00ED38E8">
        <w:rPr>
          <w:rFonts w:ascii="Arial" w:hAnsi="Arial" w:cs="Arial"/>
          <w:color w:val="984806" w:themeColor="accent6" w:themeShade="80"/>
          <w:sz w:val="28"/>
          <w:szCs w:val="28"/>
        </w:rPr>
        <w:lastRenderedPageBreak/>
        <w:t>4.2:</w:t>
      </w:r>
      <w:r w:rsidRPr="00ED38E8">
        <w:rPr>
          <w:rFonts w:ascii="Arial" w:eastAsia="Calibri" w:hAnsi="Arial" w:cs="Arial"/>
          <w:b/>
          <w:color w:val="984806" w:themeColor="accent6" w:themeShade="80"/>
          <w:sz w:val="28"/>
          <w:szCs w:val="28"/>
        </w:rPr>
        <w:t xml:space="preserve"> The Aggregate ROE Model for IDLC</w:t>
      </w:r>
      <w:r w:rsidRPr="00ED38E8">
        <w:rPr>
          <w:rFonts w:ascii="Arial" w:hAnsi="Arial" w:cs="Arial"/>
          <w:color w:val="984806" w:themeColor="accent6" w:themeShade="80"/>
          <w:sz w:val="28"/>
          <w:szCs w:val="28"/>
        </w:rPr>
        <w:t xml:space="preserve"> </w:t>
      </w:r>
    </w:p>
    <w:p w:rsidR="009C5AAE" w:rsidRPr="009779F9" w:rsidRDefault="009C5AAE" w:rsidP="009C5AAE">
      <w:pPr>
        <w:autoSpaceDE w:val="0"/>
        <w:autoSpaceDN w:val="0"/>
        <w:adjustRightInd w:val="0"/>
        <w:spacing w:after="0" w:line="240" w:lineRule="auto"/>
        <w:jc w:val="both"/>
        <w:rPr>
          <w:rFonts w:ascii="Arial" w:hAnsi="Arial" w:cs="Arial"/>
        </w:rPr>
      </w:pPr>
      <w:r w:rsidRPr="009779F9">
        <w:rPr>
          <w:rFonts w:ascii="Arial" w:hAnsi="Arial" w:cs="Arial"/>
        </w:rPr>
        <w:t>In simple terms, return on equity means how much return the shareholders are generating against every dollar of investment. For evaluating the performance of IDLC, aggregate ROE model is one of the important tools. As every aspects of day to day activities of IDLC can be described by ROE, that’s why it’s called the aggregate ROE model. The general ROE equation is,</w:t>
      </w:r>
    </w:p>
    <w:p w:rsidR="009C5AAE" w:rsidRPr="009779F9" w:rsidRDefault="009C5AAE" w:rsidP="009C5AAE">
      <w:pPr>
        <w:autoSpaceDE w:val="0"/>
        <w:autoSpaceDN w:val="0"/>
        <w:adjustRightInd w:val="0"/>
        <w:spacing w:after="0" w:line="240" w:lineRule="auto"/>
        <w:jc w:val="both"/>
        <w:rPr>
          <w:rFonts w:ascii="Arial" w:eastAsiaTheme="minorEastAsia" w:hAnsi="Arial" w:cs="Arial"/>
        </w:rPr>
      </w:pPr>
      <w:r w:rsidRPr="009779F9">
        <w:rPr>
          <w:rFonts w:ascii="Arial" w:hAnsi="Arial" w:cs="Arial"/>
        </w:rPr>
        <w:t>ROE =Net income / Total equity</w:t>
      </w:r>
    </w:p>
    <w:p w:rsidR="009C5AAE" w:rsidRPr="009779F9" w:rsidRDefault="009C5AAE" w:rsidP="009C5AAE">
      <w:pPr>
        <w:autoSpaceDE w:val="0"/>
        <w:autoSpaceDN w:val="0"/>
        <w:adjustRightInd w:val="0"/>
        <w:spacing w:after="0" w:line="240" w:lineRule="auto"/>
        <w:jc w:val="both"/>
        <w:rPr>
          <w:rFonts w:ascii="Arial" w:hAnsi="Arial" w:cs="Arial"/>
        </w:rPr>
      </w:pPr>
    </w:p>
    <w:p w:rsidR="009C5AAE" w:rsidRPr="009779F9" w:rsidRDefault="009C5AAE" w:rsidP="009C5AAE">
      <w:pPr>
        <w:autoSpaceDE w:val="0"/>
        <w:autoSpaceDN w:val="0"/>
        <w:adjustRightInd w:val="0"/>
        <w:spacing w:after="0" w:line="240" w:lineRule="auto"/>
        <w:jc w:val="both"/>
        <w:rPr>
          <w:rFonts w:ascii="Arial" w:eastAsia="CambriaMath" w:hAnsi="Arial" w:cs="Arial"/>
        </w:rPr>
      </w:pPr>
      <w:r w:rsidRPr="009779F9">
        <w:rPr>
          <w:rFonts w:ascii="Arial" w:hAnsi="Arial" w:cs="Arial"/>
        </w:rPr>
        <w:t xml:space="preserve">By using this simple ROE equation, we have calculated the last </w:t>
      </w:r>
      <w:r w:rsidR="00003A48">
        <w:rPr>
          <w:rFonts w:ascii="Arial" w:hAnsi="Arial" w:cs="Arial"/>
        </w:rPr>
        <w:t>5</w:t>
      </w:r>
      <w:r w:rsidRPr="009779F9">
        <w:rPr>
          <w:rFonts w:ascii="Arial" w:hAnsi="Arial" w:cs="Arial"/>
        </w:rPr>
        <w:t xml:space="preserve"> years ROE of IDLC as follows,</w:t>
      </w:r>
    </w:p>
    <w:tbl>
      <w:tblPr>
        <w:tblStyle w:val="GridTable5Dark-Accent11"/>
        <w:tblW w:w="9841" w:type="dxa"/>
        <w:tblLook w:val="04A0" w:firstRow="1" w:lastRow="0" w:firstColumn="1" w:lastColumn="0" w:noHBand="0" w:noVBand="1"/>
      </w:tblPr>
      <w:tblGrid>
        <w:gridCol w:w="900"/>
        <w:gridCol w:w="1857"/>
        <w:gridCol w:w="1685"/>
        <w:gridCol w:w="1685"/>
        <w:gridCol w:w="1857"/>
        <w:gridCol w:w="1857"/>
      </w:tblGrid>
      <w:tr w:rsidR="009C5AAE" w:rsidRPr="009779F9" w:rsidTr="008C2D73">
        <w:trPr>
          <w:cnfStyle w:val="100000000000" w:firstRow="1" w:lastRow="0" w:firstColumn="0" w:lastColumn="0" w:oddVBand="0" w:evenVBand="0" w:oddHBand="0"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9841" w:type="dxa"/>
            <w:gridSpan w:val="6"/>
            <w:noWrap/>
            <w:hideMark/>
          </w:tcPr>
          <w:p w:rsidR="009C5AAE" w:rsidRPr="009779F9" w:rsidRDefault="009C5AAE" w:rsidP="008C2D73">
            <w:pPr>
              <w:tabs>
                <w:tab w:val="left" w:pos="390"/>
                <w:tab w:val="center" w:pos="4812"/>
              </w:tabs>
              <w:spacing w:after="0" w:line="240" w:lineRule="auto"/>
              <w:jc w:val="both"/>
              <w:rPr>
                <w:rFonts w:ascii="Arial" w:eastAsia="Times New Roman" w:hAnsi="Arial" w:cs="Arial"/>
                <w:color w:val="000000"/>
              </w:rPr>
            </w:pPr>
            <w:r w:rsidRPr="009779F9">
              <w:rPr>
                <w:rFonts w:ascii="Arial" w:eastAsia="Times New Roman" w:hAnsi="Arial" w:cs="Arial"/>
                <w:color w:val="000000"/>
              </w:rPr>
              <w:t xml:space="preserve">                                                      Return on Equity</w:t>
            </w:r>
          </w:p>
        </w:tc>
      </w:tr>
      <w:tr w:rsidR="009C5AAE" w:rsidRPr="009779F9" w:rsidTr="008C2D73">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900" w:type="dxa"/>
            <w:noWrap/>
            <w:hideMark/>
          </w:tcPr>
          <w:p w:rsidR="009C5AAE" w:rsidRPr="009779F9" w:rsidRDefault="009C5AAE" w:rsidP="008C2D73">
            <w:pPr>
              <w:spacing w:after="0" w:line="240" w:lineRule="auto"/>
              <w:jc w:val="both"/>
              <w:rPr>
                <w:rFonts w:ascii="Arial" w:eastAsia="Times New Roman" w:hAnsi="Arial" w:cs="Arial"/>
                <w:color w:val="000000"/>
              </w:rPr>
            </w:pPr>
            <w:r w:rsidRPr="009779F9">
              <w:rPr>
                <w:rFonts w:ascii="Arial" w:eastAsia="Times New Roman" w:hAnsi="Arial" w:cs="Arial"/>
                <w:color w:val="000000"/>
              </w:rPr>
              <w:t>Year</w:t>
            </w:r>
          </w:p>
        </w:tc>
        <w:tc>
          <w:tcPr>
            <w:tcW w:w="1857" w:type="dxa"/>
            <w:noWrap/>
            <w:hideMark/>
          </w:tcPr>
          <w:p w:rsidR="009C5AAE" w:rsidRPr="009779F9" w:rsidRDefault="009C5AAE" w:rsidP="008C2D7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2014</w:t>
            </w:r>
          </w:p>
        </w:tc>
        <w:tc>
          <w:tcPr>
            <w:tcW w:w="1685" w:type="dxa"/>
            <w:noWrap/>
            <w:hideMark/>
          </w:tcPr>
          <w:p w:rsidR="009C5AAE" w:rsidRPr="009779F9" w:rsidRDefault="009C5AAE" w:rsidP="008C2D7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2015</w:t>
            </w:r>
          </w:p>
        </w:tc>
        <w:tc>
          <w:tcPr>
            <w:tcW w:w="1685" w:type="dxa"/>
            <w:noWrap/>
            <w:hideMark/>
          </w:tcPr>
          <w:p w:rsidR="009C5AAE" w:rsidRPr="009779F9" w:rsidRDefault="009C5AAE" w:rsidP="008C2D7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2016</w:t>
            </w:r>
          </w:p>
        </w:tc>
        <w:tc>
          <w:tcPr>
            <w:tcW w:w="1857" w:type="dxa"/>
            <w:noWrap/>
            <w:hideMark/>
          </w:tcPr>
          <w:p w:rsidR="009C5AAE" w:rsidRPr="009779F9" w:rsidRDefault="009C5AAE" w:rsidP="008C2D7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2017</w:t>
            </w:r>
          </w:p>
        </w:tc>
        <w:tc>
          <w:tcPr>
            <w:tcW w:w="1857" w:type="dxa"/>
            <w:noWrap/>
            <w:hideMark/>
          </w:tcPr>
          <w:p w:rsidR="009C5AAE" w:rsidRPr="009779F9" w:rsidRDefault="009C5AAE" w:rsidP="008C2D7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2018</w:t>
            </w:r>
          </w:p>
        </w:tc>
      </w:tr>
      <w:tr w:rsidR="009C5AAE" w:rsidRPr="009779F9" w:rsidTr="008C2D73">
        <w:trPr>
          <w:trHeight w:val="627"/>
        </w:trPr>
        <w:tc>
          <w:tcPr>
            <w:cnfStyle w:val="001000000000" w:firstRow="0" w:lastRow="0" w:firstColumn="1" w:lastColumn="0" w:oddVBand="0" w:evenVBand="0" w:oddHBand="0" w:evenHBand="0" w:firstRowFirstColumn="0" w:firstRowLastColumn="0" w:lastRowFirstColumn="0" w:lastRowLastColumn="0"/>
            <w:tcW w:w="900" w:type="dxa"/>
            <w:noWrap/>
            <w:hideMark/>
          </w:tcPr>
          <w:p w:rsidR="009C5AAE" w:rsidRPr="009779F9" w:rsidRDefault="009C5AAE" w:rsidP="008C2D73">
            <w:pPr>
              <w:spacing w:after="0" w:line="240" w:lineRule="auto"/>
              <w:jc w:val="both"/>
              <w:rPr>
                <w:rFonts w:ascii="Arial" w:eastAsia="Times New Roman" w:hAnsi="Arial" w:cs="Arial"/>
                <w:color w:val="000000"/>
              </w:rPr>
            </w:pPr>
            <w:r w:rsidRPr="009779F9">
              <w:rPr>
                <w:rFonts w:ascii="Arial" w:eastAsia="Times New Roman" w:hAnsi="Arial" w:cs="Arial"/>
                <w:color w:val="000000"/>
              </w:rPr>
              <w:t>Value</w:t>
            </w:r>
          </w:p>
        </w:tc>
        <w:tc>
          <w:tcPr>
            <w:tcW w:w="1857" w:type="dxa"/>
            <w:noWrap/>
            <w:hideMark/>
          </w:tcPr>
          <w:p w:rsidR="009C5AAE" w:rsidRPr="009779F9" w:rsidRDefault="009C5AAE" w:rsidP="008C2D7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0.500398655</w:t>
            </w:r>
          </w:p>
        </w:tc>
        <w:tc>
          <w:tcPr>
            <w:tcW w:w="1685" w:type="dxa"/>
            <w:noWrap/>
            <w:hideMark/>
          </w:tcPr>
          <w:p w:rsidR="009C5AAE" w:rsidRPr="009779F9" w:rsidRDefault="009C5AAE" w:rsidP="008C2D7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0.47452694</w:t>
            </w:r>
          </w:p>
        </w:tc>
        <w:tc>
          <w:tcPr>
            <w:tcW w:w="1685" w:type="dxa"/>
            <w:noWrap/>
            <w:hideMark/>
          </w:tcPr>
          <w:p w:rsidR="009C5AAE" w:rsidRPr="009779F9" w:rsidRDefault="009C5AAE" w:rsidP="008C2D7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0.46423854</w:t>
            </w:r>
          </w:p>
        </w:tc>
        <w:tc>
          <w:tcPr>
            <w:tcW w:w="1857" w:type="dxa"/>
            <w:noWrap/>
            <w:hideMark/>
          </w:tcPr>
          <w:p w:rsidR="009C5AAE" w:rsidRPr="009779F9" w:rsidRDefault="009C5AAE" w:rsidP="008C2D7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0.359976799</w:t>
            </w:r>
          </w:p>
        </w:tc>
        <w:tc>
          <w:tcPr>
            <w:tcW w:w="1857" w:type="dxa"/>
            <w:noWrap/>
            <w:hideMark/>
          </w:tcPr>
          <w:p w:rsidR="009C5AAE" w:rsidRPr="009779F9" w:rsidRDefault="009C5AAE" w:rsidP="008C2D7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0.355963746</w:t>
            </w:r>
          </w:p>
        </w:tc>
      </w:tr>
    </w:tbl>
    <w:p w:rsidR="009C5AAE" w:rsidRPr="009779F9" w:rsidRDefault="009C5AAE" w:rsidP="009C5AAE">
      <w:pPr>
        <w:autoSpaceDE w:val="0"/>
        <w:autoSpaceDN w:val="0"/>
        <w:adjustRightInd w:val="0"/>
        <w:spacing w:after="0" w:line="240" w:lineRule="auto"/>
        <w:jc w:val="both"/>
        <w:rPr>
          <w:rFonts w:ascii="Arial" w:hAnsi="Arial" w:cs="Arial"/>
        </w:rPr>
      </w:pPr>
    </w:p>
    <w:p w:rsidR="009C5AAE" w:rsidRPr="009779F9" w:rsidRDefault="009C5AAE" w:rsidP="009C5AAE">
      <w:pPr>
        <w:autoSpaceDE w:val="0"/>
        <w:autoSpaceDN w:val="0"/>
        <w:adjustRightInd w:val="0"/>
        <w:spacing w:after="0" w:line="240" w:lineRule="auto"/>
        <w:jc w:val="both"/>
        <w:rPr>
          <w:rFonts w:ascii="Arial" w:hAnsi="Arial" w:cs="Arial"/>
        </w:rPr>
      </w:pPr>
      <w:r>
        <w:rPr>
          <w:rFonts w:ascii="Arial" w:hAnsi="Arial" w:cs="Arial"/>
        </w:rPr>
        <w:t xml:space="preserve">It </w:t>
      </w:r>
      <w:r w:rsidRPr="009779F9">
        <w:rPr>
          <w:rFonts w:ascii="Arial" w:hAnsi="Arial" w:cs="Arial"/>
        </w:rPr>
        <w:t xml:space="preserve">can be showed the changes of ROE from one year to another year, but we cannot say for which components had affected for the changes of this ROE or on which components, </w:t>
      </w:r>
      <w:r w:rsidR="00003A48">
        <w:rPr>
          <w:rFonts w:ascii="Arial" w:hAnsi="Arial" w:cs="Arial"/>
        </w:rPr>
        <w:t>IDLC</w:t>
      </w:r>
      <w:r w:rsidRPr="009779F9">
        <w:rPr>
          <w:rFonts w:ascii="Arial" w:hAnsi="Arial" w:cs="Arial"/>
        </w:rPr>
        <w:t xml:space="preserve"> should rely for improving the ROE. That’s why we need to do decomposition</w:t>
      </w:r>
    </w:p>
    <w:p w:rsidR="009C5AAE" w:rsidRPr="009779F9" w:rsidRDefault="009C5AAE" w:rsidP="009C5AAE">
      <w:pPr>
        <w:spacing w:after="200" w:line="276" w:lineRule="auto"/>
        <w:jc w:val="both"/>
        <w:rPr>
          <w:rFonts w:ascii="Arial" w:hAnsi="Arial" w:cs="Arial"/>
        </w:rPr>
      </w:pPr>
      <w:r w:rsidRPr="009779F9">
        <w:rPr>
          <w:rFonts w:ascii="Arial" w:hAnsi="Arial" w:cs="Arial"/>
        </w:rPr>
        <w:t xml:space="preserve">ROE = (Net </w:t>
      </w:r>
      <w:proofErr w:type="gramStart"/>
      <w:r w:rsidRPr="009779F9">
        <w:rPr>
          <w:rFonts w:ascii="Arial" w:hAnsi="Arial" w:cs="Arial"/>
        </w:rPr>
        <w:t>income  /</w:t>
      </w:r>
      <w:proofErr w:type="gramEnd"/>
      <w:r w:rsidRPr="009779F9">
        <w:rPr>
          <w:rFonts w:ascii="Arial" w:hAnsi="Arial" w:cs="Arial"/>
        </w:rPr>
        <w:t xml:space="preserve"> Total asset) * (Total assets / Total equity)</w:t>
      </w:r>
    </w:p>
    <w:p w:rsidR="009C5AAE" w:rsidRPr="009779F9" w:rsidRDefault="009C5AAE" w:rsidP="009C5AAE">
      <w:pPr>
        <w:spacing w:after="200" w:line="276" w:lineRule="auto"/>
        <w:jc w:val="both"/>
        <w:rPr>
          <w:rFonts w:ascii="Arial" w:hAnsi="Arial" w:cs="Arial"/>
        </w:rPr>
      </w:pPr>
      <w:r w:rsidRPr="009779F9">
        <w:rPr>
          <w:rFonts w:ascii="Arial" w:hAnsi="Arial" w:cs="Arial"/>
        </w:rPr>
        <w:t>= Return on assets + equity Multiplier</w:t>
      </w:r>
    </w:p>
    <w:p w:rsidR="009C5AAE" w:rsidRPr="009779F9" w:rsidRDefault="009C5AAE" w:rsidP="009C5AAE">
      <w:pPr>
        <w:autoSpaceDE w:val="0"/>
        <w:autoSpaceDN w:val="0"/>
        <w:adjustRightInd w:val="0"/>
        <w:spacing w:after="0" w:line="240" w:lineRule="auto"/>
        <w:jc w:val="both"/>
        <w:rPr>
          <w:rFonts w:ascii="Arial" w:hAnsi="Arial" w:cs="Arial"/>
        </w:rPr>
      </w:pPr>
      <w:r w:rsidRPr="009779F9">
        <w:rPr>
          <w:rFonts w:ascii="Arial" w:hAnsi="Arial" w:cs="Arial"/>
        </w:rPr>
        <w:t xml:space="preserve">So from the decomposition, it can be said that ROE depends on these two components and if any firm needs to improve ROE, they have to improve any of them. Now we will use these two components to show the impact of these two on the changes of ROE of IDLC.  </w:t>
      </w:r>
    </w:p>
    <w:p w:rsidR="009C5AAE" w:rsidRPr="009779F9" w:rsidRDefault="009C5AAE" w:rsidP="009C5AAE">
      <w:pPr>
        <w:autoSpaceDE w:val="0"/>
        <w:autoSpaceDN w:val="0"/>
        <w:adjustRightInd w:val="0"/>
        <w:spacing w:after="0" w:line="240" w:lineRule="auto"/>
        <w:jc w:val="both"/>
        <w:rPr>
          <w:rFonts w:ascii="Arial" w:hAnsi="Arial" w:cs="Arial"/>
        </w:rPr>
      </w:pPr>
    </w:p>
    <w:p w:rsidR="009C5AAE" w:rsidRPr="009779F9" w:rsidRDefault="009C5AAE" w:rsidP="009C5AAE">
      <w:pPr>
        <w:autoSpaceDE w:val="0"/>
        <w:autoSpaceDN w:val="0"/>
        <w:adjustRightInd w:val="0"/>
        <w:spacing w:after="0" w:line="240" w:lineRule="auto"/>
        <w:jc w:val="both"/>
        <w:rPr>
          <w:rFonts w:ascii="Arial" w:hAnsi="Arial" w:cs="Arial"/>
          <w:b/>
          <w:bCs/>
        </w:rPr>
      </w:pPr>
      <w:r w:rsidRPr="009779F9">
        <w:rPr>
          <w:rFonts w:ascii="Arial" w:hAnsi="Arial" w:cs="Arial"/>
          <w:b/>
          <w:bCs/>
        </w:rPr>
        <w:t>Equity Multiplier</w:t>
      </w:r>
    </w:p>
    <w:p w:rsidR="009C5AAE" w:rsidRPr="009779F9" w:rsidRDefault="009C5AAE" w:rsidP="009C5AAE">
      <w:pPr>
        <w:autoSpaceDE w:val="0"/>
        <w:autoSpaceDN w:val="0"/>
        <w:adjustRightInd w:val="0"/>
        <w:spacing w:after="0" w:line="240" w:lineRule="auto"/>
        <w:jc w:val="both"/>
        <w:rPr>
          <w:rFonts w:ascii="Arial" w:hAnsi="Arial" w:cs="Arial"/>
        </w:rPr>
      </w:pPr>
      <w:r w:rsidRPr="009779F9">
        <w:rPr>
          <w:rFonts w:ascii="Arial" w:hAnsi="Arial" w:cs="Arial"/>
        </w:rPr>
        <w:t xml:space="preserve">We know that the financial leverage of a firm can be determined by the equity multiplier and firm can improve ROE by taking more debt. Last </w:t>
      </w:r>
      <w:r w:rsidR="00003A48">
        <w:rPr>
          <w:rFonts w:ascii="Arial" w:hAnsi="Arial" w:cs="Arial"/>
        </w:rPr>
        <w:t>5</w:t>
      </w:r>
      <w:r w:rsidRPr="009779F9">
        <w:rPr>
          <w:rFonts w:ascii="Arial" w:hAnsi="Arial" w:cs="Arial"/>
        </w:rPr>
        <w:t xml:space="preserve"> years EM of IDLC is given below,    </w:t>
      </w:r>
    </w:p>
    <w:p w:rsidR="009C5AAE" w:rsidRPr="009779F9" w:rsidRDefault="009C5AAE" w:rsidP="009C5AAE">
      <w:pPr>
        <w:autoSpaceDE w:val="0"/>
        <w:autoSpaceDN w:val="0"/>
        <w:adjustRightInd w:val="0"/>
        <w:spacing w:after="0" w:line="240" w:lineRule="auto"/>
        <w:jc w:val="both"/>
        <w:rPr>
          <w:rFonts w:ascii="Arial" w:hAnsi="Arial" w:cs="Arial"/>
        </w:rPr>
      </w:pPr>
    </w:p>
    <w:tbl>
      <w:tblPr>
        <w:tblStyle w:val="GridTable5Dark-Accent11"/>
        <w:tblW w:w="9441" w:type="dxa"/>
        <w:tblLook w:val="04A0" w:firstRow="1" w:lastRow="0" w:firstColumn="1" w:lastColumn="0" w:noHBand="0" w:noVBand="1"/>
      </w:tblPr>
      <w:tblGrid>
        <w:gridCol w:w="862"/>
        <w:gridCol w:w="1748"/>
        <w:gridCol w:w="1748"/>
        <w:gridCol w:w="1587"/>
        <w:gridCol w:w="1748"/>
        <w:gridCol w:w="1748"/>
      </w:tblGrid>
      <w:tr w:rsidR="009C5AAE" w:rsidRPr="009779F9" w:rsidTr="008C2D73">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9441" w:type="dxa"/>
            <w:gridSpan w:val="6"/>
            <w:noWrap/>
            <w:hideMark/>
          </w:tcPr>
          <w:p w:rsidR="009C5AAE" w:rsidRPr="009779F9" w:rsidRDefault="009C5AAE" w:rsidP="008C2D73">
            <w:pPr>
              <w:spacing w:after="0" w:line="240" w:lineRule="auto"/>
              <w:jc w:val="both"/>
              <w:rPr>
                <w:rFonts w:ascii="Arial" w:eastAsia="Times New Roman" w:hAnsi="Arial" w:cs="Arial"/>
                <w:color w:val="000000"/>
              </w:rPr>
            </w:pPr>
            <w:r w:rsidRPr="009779F9">
              <w:rPr>
                <w:rFonts w:ascii="Arial" w:eastAsia="Times New Roman" w:hAnsi="Arial" w:cs="Arial"/>
                <w:color w:val="000000"/>
              </w:rPr>
              <w:t>Equity Multiplier</w:t>
            </w:r>
          </w:p>
        </w:tc>
      </w:tr>
      <w:tr w:rsidR="009C5AAE" w:rsidRPr="009779F9" w:rsidTr="008C2D73">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62" w:type="dxa"/>
            <w:noWrap/>
            <w:hideMark/>
          </w:tcPr>
          <w:p w:rsidR="009C5AAE" w:rsidRPr="009779F9" w:rsidRDefault="009C5AAE" w:rsidP="008C2D73">
            <w:pPr>
              <w:spacing w:after="0" w:line="240" w:lineRule="auto"/>
              <w:jc w:val="both"/>
              <w:rPr>
                <w:rFonts w:ascii="Arial" w:eastAsia="Times New Roman" w:hAnsi="Arial" w:cs="Arial"/>
                <w:color w:val="000000"/>
              </w:rPr>
            </w:pPr>
            <w:r w:rsidRPr="009779F9">
              <w:rPr>
                <w:rFonts w:ascii="Arial" w:eastAsia="Times New Roman" w:hAnsi="Arial" w:cs="Arial"/>
                <w:color w:val="000000"/>
              </w:rPr>
              <w:t>Year</w:t>
            </w:r>
          </w:p>
        </w:tc>
        <w:tc>
          <w:tcPr>
            <w:tcW w:w="1748" w:type="dxa"/>
            <w:noWrap/>
            <w:hideMark/>
          </w:tcPr>
          <w:p w:rsidR="009C5AAE" w:rsidRPr="009779F9" w:rsidRDefault="009C5AAE" w:rsidP="008C2D7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2014</w:t>
            </w:r>
          </w:p>
        </w:tc>
        <w:tc>
          <w:tcPr>
            <w:tcW w:w="1748" w:type="dxa"/>
            <w:noWrap/>
            <w:hideMark/>
          </w:tcPr>
          <w:p w:rsidR="009C5AAE" w:rsidRPr="009779F9" w:rsidRDefault="009C5AAE" w:rsidP="008C2D7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2015</w:t>
            </w:r>
          </w:p>
        </w:tc>
        <w:tc>
          <w:tcPr>
            <w:tcW w:w="1587" w:type="dxa"/>
            <w:noWrap/>
            <w:hideMark/>
          </w:tcPr>
          <w:p w:rsidR="009C5AAE" w:rsidRPr="009779F9" w:rsidRDefault="009C5AAE" w:rsidP="008C2D7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2016</w:t>
            </w:r>
          </w:p>
        </w:tc>
        <w:tc>
          <w:tcPr>
            <w:tcW w:w="1748" w:type="dxa"/>
            <w:noWrap/>
            <w:hideMark/>
          </w:tcPr>
          <w:p w:rsidR="009C5AAE" w:rsidRPr="009779F9" w:rsidRDefault="009C5AAE" w:rsidP="008C2D7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2017</w:t>
            </w:r>
          </w:p>
        </w:tc>
        <w:tc>
          <w:tcPr>
            <w:tcW w:w="1748" w:type="dxa"/>
            <w:noWrap/>
            <w:hideMark/>
          </w:tcPr>
          <w:p w:rsidR="009C5AAE" w:rsidRPr="009779F9" w:rsidRDefault="009C5AAE" w:rsidP="008C2D7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2018</w:t>
            </w:r>
          </w:p>
        </w:tc>
      </w:tr>
      <w:tr w:rsidR="009C5AAE" w:rsidRPr="009779F9" w:rsidTr="008C2D73">
        <w:trPr>
          <w:trHeight w:val="624"/>
        </w:trPr>
        <w:tc>
          <w:tcPr>
            <w:cnfStyle w:val="001000000000" w:firstRow="0" w:lastRow="0" w:firstColumn="1" w:lastColumn="0" w:oddVBand="0" w:evenVBand="0" w:oddHBand="0" w:evenHBand="0" w:firstRowFirstColumn="0" w:firstRowLastColumn="0" w:lastRowFirstColumn="0" w:lastRowLastColumn="0"/>
            <w:tcW w:w="862" w:type="dxa"/>
            <w:noWrap/>
            <w:hideMark/>
          </w:tcPr>
          <w:p w:rsidR="009C5AAE" w:rsidRPr="009779F9" w:rsidRDefault="009C5AAE" w:rsidP="008C2D73">
            <w:pPr>
              <w:spacing w:after="0" w:line="240" w:lineRule="auto"/>
              <w:jc w:val="both"/>
              <w:rPr>
                <w:rFonts w:ascii="Arial" w:eastAsia="Times New Roman" w:hAnsi="Arial" w:cs="Arial"/>
                <w:color w:val="000000"/>
              </w:rPr>
            </w:pPr>
            <w:r w:rsidRPr="009779F9">
              <w:rPr>
                <w:rFonts w:ascii="Arial" w:eastAsia="Times New Roman" w:hAnsi="Arial" w:cs="Arial"/>
                <w:color w:val="000000"/>
              </w:rPr>
              <w:t>Value</w:t>
            </w:r>
          </w:p>
        </w:tc>
        <w:tc>
          <w:tcPr>
            <w:tcW w:w="1748" w:type="dxa"/>
            <w:noWrap/>
            <w:hideMark/>
          </w:tcPr>
          <w:p w:rsidR="009C5AAE" w:rsidRPr="009779F9" w:rsidRDefault="009C5AAE" w:rsidP="008C2D7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10.03886872</w:t>
            </w:r>
          </w:p>
        </w:tc>
        <w:tc>
          <w:tcPr>
            <w:tcW w:w="1748" w:type="dxa"/>
            <w:noWrap/>
            <w:hideMark/>
          </w:tcPr>
          <w:p w:rsidR="009C5AAE" w:rsidRPr="009779F9" w:rsidRDefault="009C5AAE" w:rsidP="008C2D7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10.65363514</w:t>
            </w:r>
          </w:p>
        </w:tc>
        <w:tc>
          <w:tcPr>
            <w:tcW w:w="1587" w:type="dxa"/>
            <w:noWrap/>
            <w:hideMark/>
          </w:tcPr>
          <w:p w:rsidR="009C5AAE" w:rsidRPr="009779F9" w:rsidRDefault="009C5AAE" w:rsidP="008C2D7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10.0604605</w:t>
            </w:r>
          </w:p>
        </w:tc>
        <w:tc>
          <w:tcPr>
            <w:tcW w:w="1748" w:type="dxa"/>
            <w:noWrap/>
            <w:hideMark/>
          </w:tcPr>
          <w:p w:rsidR="009C5AAE" w:rsidRPr="009779F9" w:rsidRDefault="009C5AAE" w:rsidP="008C2D7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8.762431122</w:t>
            </w:r>
          </w:p>
        </w:tc>
        <w:tc>
          <w:tcPr>
            <w:tcW w:w="1748" w:type="dxa"/>
            <w:noWrap/>
            <w:hideMark/>
          </w:tcPr>
          <w:p w:rsidR="009C5AAE" w:rsidRPr="009779F9" w:rsidRDefault="009C5AAE" w:rsidP="008C2D7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9779F9">
              <w:rPr>
                <w:rFonts w:ascii="Arial" w:eastAsia="Times New Roman" w:hAnsi="Arial" w:cs="Arial"/>
                <w:color w:val="000000"/>
              </w:rPr>
              <w:t>9.537187713</w:t>
            </w:r>
          </w:p>
        </w:tc>
      </w:tr>
    </w:tbl>
    <w:p w:rsidR="009C5AAE" w:rsidRPr="009779F9" w:rsidRDefault="009C5AAE" w:rsidP="009C5AAE">
      <w:pPr>
        <w:autoSpaceDE w:val="0"/>
        <w:autoSpaceDN w:val="0"/>
        <w:adjustRightInd w:val="0"/>
        <w:spacing w:after="0" w:line="240" w:lineRule="auto"/>
        <w:jc w:val="both"/>
        <w:rPr>
          <w:rFonts w:ascii="Arial" w:hAnsi="Arial" w:cs="Arial"/>
        </w:rPr>
      </w:pPr>
    </w:p>
    <w:p w:rsidR="009C5AAE" w:rsidRPr="009779F9" w:rsidRDefault="009C5AAE" w:rsidP="009C5AAE">
      <w:pPr>
        <w:autoSpaceDE w:val="0"/>
        <w:autoSpaceDN w:val="0"/>
        <w:adjustRightInd w:val="0"/>
        <w:spacing w:after="0" w:line="240" w:lineRule="auto"/>
        <w:jc w:val="both"/>
        <w:rPr>
          <w:rFonts w:ascii="Arial" w:hAnsi="Arial" w:cs="Arial"/>
        </w:rPr>
      </w:pPr>
      <w:r w:rsidRPr="009779F9">
        <w:rPr>
          <w:rFonts w:ascii="Arial" w:hAnsi="Arial" w:cs="Arial"/>
        </w:rPr>
        <w:t xml:space="preserve">From the table, it can be easily understood that IDLC had been increasing debt from one year to another year and a financial institution like bank, IDLC’s main source of fund is depositors fund and so high amount of debt is very obvious. Now because of the high debt, ROE would be </w:t>
      </w:r>
      <w:r>
        <w:rPr>
          <w:rFonts w:ascii="Arial" w:hAnsi="Arial" w:cs="Arial"/>
        </w:rPr>
        <w:t>grown</w:t>
      </w:r>
      <w:r w:rsidRPr="009779F9">
        <w:rPr>
          <w:rFonts w:ascii="Arial" w:hAnsi="Arial" w:cs="Arial"/>
        </w:rPr>
        <w:t xml:space="preserve">. Detail result will be discussed at the later part of the model. Before going to the next topic, we want to mention that high leverage for IDLC would not be suitable for them, as more and more leverage can create more </w:t>
      </w:r>
      <w:proofErr w:type="gramStart"/>
      <w:r w:rsidRPr="009779F9">
        <w:rPr>
          <w:rFonts w:ascii="Arial" w:hAnsi="Arial" w:cs="Arial"/>
        </w:rPr>
        <w:t>burden</w:t>
      </w:r>
      <w:proofErr w:type="gramEnd"/>
      <w:r w:rsidRPr="009779F9">
        <w:rPr>
          <w:rFonts w:ascii="Arial" w:hAnsi="Arial" w:cs="Arial"/>
        </w:rPr>
        <w:t xml:space="preserve"> on them in the future. So it is better that, IDLCL can focus on improving ROA and which will ultimately improve the ROE.</w:t>
      </w:r>
    </w:p>
    <w:p w:rsidR="009C5AAE" w:rsidRPr="009779F9" w:rsidRDefault="009C5AAE" w:rsidP="009C5AAE">
      <w:pPr>
        <w:autoSpaceDE w:val="0"/>
        <w:autoSpaceDN w:val="0"/>
        <w:adjustRightInd w:val="0"/>
        <w:spacing w:after="0" w:line="240" w:lineRule="auto"/>
        <w:jc w:val="both"/>
        <w:rPr>
          <w:rFonts w:ascii="Arial" w:hAnsi="Arial" w:cs="Arial"/>
        </w:rPr>
      </w:pPr>
    </w:p>
    <w:p w:rsidR="009C5AAE" w:rsidRPr="009779F9" w:rsidRDefault="009C5AAE" w:rsidP="009C5AAE">
      <w:pPr>
        <w:autoSpaceDE w:val="0"/>
        <w:autoSpaceDN w:val="0"/>
        <w:adjustRightInd w:val="0"/>
        <w:spacing w:after="0" w:line="240" w:lineRule="auto"/>
        <w:jc w:val="both"/>
        <w:rPr>
          <w:rFonts w:ascii="Arial" w:hAnsi="Arial" w:cs="Arial"/>
          <w:b/>
          <w:bCs/>
        </w:rPr>
      </w:pPr>
      <w:r w:rsidRPr="009779F9">
        <w:rPr>
          <w:rFonts w:ascii="Arial" w:hAnsi="Arial" w:cs="Arial"/>
          <w:b/>
          <w:bCs/>
        </w:rPr>
        <w:t>Return on Asset</w:t>
      </w:r>
    </w:p>
    <w:p w:rsidR="009C5AAE" w:rsidRPr="009779F9" w:rsidRDefault="009C5AAE" w:rsidP="009C5AAE">
      <w:pPr>
        <w:autoSpaceDE w:val="0"/>
        <w:autoSpaceDN w:val="0"/>
        <w:adjustRightInd w:val="0"/>
        <w:spacing w:after="0" w:line="240" w:lineRule="auto"/>
        <w:jc w:val="both"/>
        <w:rPr>
          <w:rFonts w:ascii="Arial" w:hAnsi="Arial" w:cs="Arial"/>
          <w:b/>
          <w:bCs/>
        </w:rPr>
      </w:pPr>
    </w:p>
    <w:p w:rsidR="009C5AAE" w:rsidRPr="009779F9" w:rsidRDefault="009C5AAE" w:rsidP="009C5AAE">
      <w:pPr>
        <w:autoSpaceDE w:val="0"/>
        <w:autoSpaceDN w:val="0"/>
        <w:adjustRightInd w:val="0"/>
        <w:spacing w:after="0" w:line="240" w:lineRule="auto"/>
        <w:jc w:val="both"/>
        <w:rPr>
          <w:rFonts w:ascii="Arial" w:hAnsi="Arial" w:cs="Arial"/>
        </w:rPr>
      </w:pPr>
      <w:r w:rsidRPr="009779F9">
        <w:rPr>
          <w:rFonts w:ascii="Arial" w:hAnsi="Arial" w:cs="Arial"/>
        </w:rPr>
        <w:t>ROA is the reflection of day to day activities of a firm and if a firm can efficiently manage their day to day activities, they can improve their ROA. The general equation of ROA is,</w:t>
      </w:r>
    </w:p>
    <w:p w:rsidR="009C5AAE" w:rsidRPr="009779F9" w:rsidRDefault="009C5AAE" w:rsidP="009C5AAE">
      <w:pPr>
        <w:autoSpaceDE w:val="0"/>
        <w:autoSpaceDN w:val="0"/>
        <w:adjustRightInd w:val="0"/>
        <w:spacing w:after="0" w:line="240" w:lineRule="auto"/>
        <w:jc w:val="both"/>
        <w:rPr>
          <w:rFonts w:ascii="Arial" w:hAnsi="Arial" w:cs="Arial"/>
        </w:rPr>
      </w:pPr>
    </w:p>
    <w:p w:rsidR="009C5AAE" w:rsidRPr="009779F9" w:rsidRDefault="009C5AAE" w:rsidP="009C5AAE">
      <w:pPr>
        <w:autoSpaceDE w:val="0"/>
        <w:autoSpaceDN w:val="0"/>
        <w:adjustRightInd w:val="0"/>
        <w:spacing w:after="0" w:line="240" w:lineRule="auto"/>
        <w:jc w:val="both"/>
        <w:rPr>
          <w:rFonts w:ascii="Arial" w:hAnsi="Arial" w:cs="Arial"/>
        </w:rPr>
      </w:pPr>
      <w:r w:rsidRPr="009779F9">
        <w:rPr>
          <w:rFonts w:ascii="Arial" w:hAnsi="Arial" w:cs="Arial"/>
        </w:rPr>
        <w:t>ROA =Net income / Total assets</w:t>
      </w:r>
    </w:p>
    <w:p w:rsidR="009C5AAE" w:rsidRPr="009779F9" w:rsidRDefault="009C5AAE" w:rsidP="009C5AAE">
      <w:pPr>
        <w:autoSpaceDE w:val="0"/>
        <w:autoSpaceDN w:val="0"/>
        <w:adjustRightInd w:val="0"/>
        <w:spacing w:after="0" w:line="240" w:lineRule="auto"/>
        <w:jc w:val="both"/>
        <w:rPr>
          <w:rFonts w:ascii="Arial" w:hAnsi="Arial" w:cs="Arial"/>
        </w:rPr>
      </w:pPr>
    </w:p>
    <w:p w:rsidR="009C5AAE" w:rsidRPr="009779F9" w:rsidRDefault="009C5AAE" w:rsidP="009C5AAE">
      <w:pPr>
        <w:autoSpaceDE w:val="0"/>
        <w:autoSpaceDN w:val="0"/>
        <w:adjustRightInd w:val="0"/>
        <w:spacing w:after="0" w:line="240" w:lineRule="auto"/>
        <w:jc w:val="both"/>
        <w:rPr>
          <w:rFonts w:ascii="Arial" w:hAnsi="Arial" w:cs="Arial"/>
        </w:rPr>
      </w:pPr>
      <w:r w:rsidRPr="009779F9">
        <w:rPr>
          <w:rFonts w:ascii="Arial" w:hAnsi="Arial" w:cs="Arial"/>
        </w:rPr>
        <w:t>From this simple equation, we cannot say which components affect the ROA or how to improve ROA and that’s why we need decomposition again. We know the net income equals to</w:t>
      </w:r>
    </w:p>
    <w:p w:rsidR="009C5AAE" w:rsidRPr="009779F9" w:rsidRDefault="009C5AAE" w:rsidP="009C5AAE">
      <w:pPr>
        <w:autoSpaceDE w:val="0"/>
        <w:autoSpaceDN w:val="0"/>
        <w:adjustRightInd w:val="0"/>
        <w:spacing w:after="0" w:line="240" w:lineRule="auto"/>
        <w:jc w:val="both"/>
        <w:rPr>
          <w:rFonts w:ascii="Arial" w:hAnsi="Arial" w:cs="Arial"/>
        </w:rPr>
      </w:pPr>
    </w:p>
    <w:p w:rsidR="009C5AAE" w:rsidRPr="009779F9" w:rsidRDefault="009C5AAE" w:rsidP="009C5AAE">
      <w:pPr>
        <w:autoSpaceDE w:val="0"/>
        <w:autoSpaceDN w:val="0"/>
        <w:adjustRightInd w:val="0"/>
        <w:spacing w:after="0" w:line="240" w:lineRule="auto"/>
        <w:jc w:val="both"/>
        <w:rPr>
          <w:rFonts w:ascii="Arial" w:hAnsi="Arial" w:cs="Arial"/>
        </w:rPr>
      </w:pPr>
      <w:r w:rsidRPr="009779F9">
        <w:rPr>
          <w:rFonts w:ascii="Arial" w:hAnsi="Arial" w:cs="Arial"/>
        </w:rPr>
        <w:t>Net Income = Total Revenue – Total Expense</w:t>
      </w:r>
    </w:p>
    <w:p w:rsidR="009C5AAE" w:rsidRPr="009779F9" w:rsidRDefault="009C5AAE" w:rsidP="009C5AAE">
      <w:pPr>
        <w:autoSpaceDE w:val="0"/>
        <w:autoSpaceDN w:val="0"/>
        <w:adjustRightInd w:val="0"/>
        <w:spacing w:after="0" w:line="240" w:lineRule="auto"/>
        <w:jc w:val="both"/>
        <w:rPr>
          <w:rFonts w:ascii="Arial" w:hAnsi="Arial" w:cs="Arial"/>
        </w:rPr>
      </w:pPr>
      <w:r w:rsidRPr="009779F9">
        <w:rPr>
          <w:rFonts w:ascii="Arial" w:hAnsi="Arial" w:cs="Arial"/>
        </w:rPr>
        <w:t>Now by dividing the both sides with total assets we get,</w:t>
      </w:r>
    </w:p>
    <w:p w:rsidR="009C5AAE" w:rsidRPr="009779F9" w:rsidRDefault="009C5AAE" w:rsidP="009C5AAE">
      <w:pPr>
        <w:autoSpaceDE w:val="0"/>
        <w:autoSpaceDN w:val="0"/>
        <w:adjustRightInd w:val="0"/>
        <w:spacing w:after="0" w:line="240" w:lineRule="auto"/>
        <w:jc w:val="both"/>
        <w:rPr>
          <w:rFonts w:ascii="Arial" w:hAnsi="Arial" w:cs="Arial"/>
        </w:rPr>
      </w:pPr>
      <w:r w:rsidRPr="009779F9">
        <w:rPr>
          <w:rFonts w:ascii="Arial" w:hAnsi="Arial" w:cs="Arial"/>
        </w:rPr>
        <w:t>Net income/Total assets= (Total Revenue/total assets)-(Total expenses/Total assets)</w:t>
      </w:r>
    </w:p>
    <w:p w:rsidR="009C5AAE" w:rsidRPr="009779F9" w:rsidRDefault="009C5AAE" w:rsidP="009C5AAE">
      <w:pPr>
        <w:autoSpaceDE w:val="0"/>
        <w:autoSpaceDN w:val="0"/>
        <w:adjustRightInd w:val="0"/>
        <w:spacing w:after="0" w:line="240" w:lineRule="auto"/>
        <w:jc w:val="both"/>
        <w:rPr>
          <w:rFonts w:ascii="Arial" w:hAnsi="Arial" w:cs="Arial"/>
        </w:rPr>
      </w:pPr>
      <w:r w:rsidRPr="009779F9">
        <w:rPr>
          <w:rFonts w:ascii="Arial" w:hAnsi="Arial" w:cs="Arial"/>
        </w:rPr>
        <w:t xml:space="preserve">                                 ROA =Asset Utilization Ratio – Expense Ratio</w:t>
      </w:r>
    </w:p>
    <w:p w:rsidR="009C5AAE" w:rsidRPr="009779F9" w:rsidRDefault="009C5AAE" w:rsidP="009C5AAE">
      <w:pPr>
        <w:autoSpaceDE w:val="0"/>
        <w:autoSpaceDN w:val="0"/>
        <w:adjustRightInd w:val="0"/>
        <w:spacing w:after="0" w:line="240" w:lineRule="auto"/>
        <w:jc w:val="both"/>
        <w:rPr>
          <w:rFonts w:ascii="Arial" w:hAnsi="Arial" w:cs="Arial"/>
        </w:rPr>
      </w:pPr>
    </w:p>
    <w:p w:rsidR="009C5AAE" w:rsidRPr="009779F9" w:rsidRDefault="009C5AAE" w:rsidP="009C5AAE">
      <w:pPr>
        <w:autoSpaceDE w:val="0"/>
        <w:autoSpaceDN w:val="0"/>
        <w:adjustRightInd w:val="0"/>
        <w:spacing w:after="0" w:line="240" w:lineRule="auto"/>
        <w:jc w:val="both"/>
        <w:rPr>
          <w:rFonts w:ascii="Arial" w:hAnsi="Arial" w:cs="Arial"/>
        </w:rPr>
      </w:pPr>
      <w:r w:rsidRPr="009779F9">
        <w:rPr>
          <w:rFonts w:ascii="Arial" w:hAnsi="Arial" w:cs="Arial"/>
        </w:rPr>
        <w:t>Now from the above decomposition, it can be said that ROA can be affected because of asset utilization ratio or expense ratio and ROA can be improved either by improving asset utilization ratio or by decreasing expense ratio. Now we will separately discuss these two components to show how these two components affect ROA of IDLC.</w:t>
      </w:r>
    </w:p>
    <w:p w:rsidR="009C5AAE" w:rsidRPr="009779F9" w:rsidRDefault="009C5AAE" w:rsidP="009C5AAE">
      <w:pPr>
        <w:autoSpaceDE w:val="0"/>
        <w:autoSpaceDN w:val="0"/>
        <w:adjustRightInd w:val="0"/>
        <w:spacing w:after="0" w:line="240" w:lineRule="auto"/>
        <w:jc w:val="both"/>
        <w:rPr>
          <w:rFonts w:ascii="Arial" w:hAnsi="Arial" w:cs="Arial"/>
        </w:rPr>
      </w:pPr>
      <w:r w:rsidRPr="009779F9">
        <w:rPr>
          <w:rFonts w:ascii="Arial" w:hAnsi="Arial" w:cs="Arial"/>
        </w:rPr>
        <w:t>Now again if we decompose ROA (Net income/Total Assets), it comprises of Asset utilization ratio (Total Revenue/Total Assets) minus Expense ratio (Total Expense/Total Assets).</w:t>
      </w:r>
    </w:p>
    <w:p w:rsidR="009C5AAE" w:rsidRPr="009779F9" w:rsidRDefault="009C5AAE" w:rsidP="009C5AAE">
      <w:pPr>
        <w:autoSpaceDE w:val="0"/>
        <w:autoSpaceDN w:val="0"/>
        <w:adjustRightInd w:val="0"/>
        <w:spacing w:after="0" w:line="240" w:lineRule="auto"/>
        <w:jc w:val="both"/>
        <w:rPr>
          <w:rFonts w:ascii="Arial" w:hAnsi="Arial" w:cs="Arial"/>
        </w:rPr>
      </w:pPr>
    </w:p>
    <w:p w:rsidR="009C5AAE" w:rsidRPr="009779F9" w:rsidRDefault="009C5AAE" w:rsidP="009C5AAE">
      <w:pPr>
        <w:autoSpaceDE w:val="0"/>
        <w:autoSpaceDN w:val="0"/>
        <w:adjustRightInd w:val="0"/>
        <w:spacing w:after="0" w:line="240" w:lineRule="auto"/>
        <w:jc w:val="both"/>
        <w:rPr>
          <w:rFonts w:ascii="Arial" w:hAnsi="Arial" w:cs="Arial"/>
          <w:b/>
          <w:bCs/>
        </w:rPr>
      </w:pPr>
      <w:r w:rsidRPr="009779F9">
        <w:rPr>
          <w:rFonts w:ascii="Arial" w:hAnsi="Arial" w:cs="Arial"/>
          <w:b/>
          <w:bCs/>
        </w:rPr>
        <w:t>Asset Utilization</w:t>
      </w:r>
    </w:p>
    <w:p w:rsidR="009C5AAE" w:rsidRPr="009779F9" w:rsidRDefault="009C5AAE" w:rsidP="009C5AAE">
      <w:pPr>
        <w:autoSpaceDE w:val="0"/>
        <w:autoSpaceDN w:val="0"/>
        <w:adjustRightInd w:val="0"/>
        <w:spacing w:after="0" w:line="240" w:lineRule="auto"/>
        <w:jc w:val="both"/>
        <w:rPr>
          <w:rFonts w:ascii="Arial" w:hAnsi="Arial" w:cs="Arial"/>
        </w:rPr>
      </w:pPr>
      <w:r w:rsidRPr="009779F9">
        <w:rPr>
          <w:rFonts w:ascii="Arial" w:hAnsi="Arial" w:cs="Arial"/>
        </w:rPr>
        <w:t>First, if we see Asset utilization ratio of IDLC from 2014 to 2018 it is between 11% and 14%. Now if we decompose this ratio, it comprises of Yield on Assets Plus Non-interest-based yield plus Rate of return from sale of securities</w:t>
      </w:r>
    </w:p>
    <w:p w:rsidR="009C5AAE" w:rsidRPr="009779F9" w:rsidRDefault="009C5AAE" w:rsidP="009C5AAE">
      <w:pPr>
        <w:autoSpaceDE w:val="0"/>
        <w:autoSpaceDN w:val="0"/>
        <w:adjustRightInd w:val="0"/>
        <w:spacing w:after="0" w:line="240" w:lineRule="auto"/>
        <w:jc w:val="both"/>
        <w:rPr>
          <w:rFonts w:ascii="Arial" w:hAnsi="Arial" w:cs="Arial"/>
        </w:rPr>
      </w:pPr>
    </w:p>
    <w:p w:rsidR="009C5AAE" w:rsidRPr="009779F9" w:rsidRDefault="009C5AAE" w:rsidP="009C5AAE">
      <w:pPr>
        <w:autoSpaceDE w:val="0"/>
        <w:autoSpaceDN w:val="0"/>
        <w:adjustRightInd w:val="0"/>
        <w:spacing w:after="0" w:line="240" w:lineRule="auto"/>
        <w:jc w:val="both"/>
        <w:rPr>
          <w:rFonts w:ascii="Arial" w:hAnsi="Arial" w:cs="Arial"/>
        </w:rPr>
      </w:pPr>
    </w:p>
    <w:tbl>
      <w:tblPr>
        <w:tblpPr w:leftFromText="180" w:rightFromText="180" w:vertAnchor="text" w:tblpX="184" w:tblpY="241"/>
        <w:tblW w:w="9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6"/>
        <w:gridCol w:w="1119"/>
        <w:gridCol w:w="1119"/>
        <w:gridCol w:w="1119"/>
        <w:gridCol w:w="1119"/>
        <w:gridCol w:w="1180"/>
      </w:tblGrid>
      <w:tr w:rsidR="009C5AAE" w:rsidRPr="009779F9" w:rsidTr="008C2D73">
        <w:trPr>
          <w:trHeight w:val="315"/>
        </w:trPr>
        <w:tc>
          <w:tcPr>
            <w:tcW w:w="9652" w:type="dxa"/>
            <w:gridSpan w:val="6"/>
          </w:tcPr>
          <w:p w:rsidR="009C5AAE" w:rsidRPr="009779F9" w:rsidRDefault="009C5AAE" w:rsidP="008C2D73">
            <w:pPr>
              <w:pStyle w:val="Default"/>
              <w:jc w:val="both"/>
              <w:rPr>
                <w:rFonts w:ascii="Arial" w:hAnsi="Arial" w:cs="Arial"/>
                <w:sz w:val="22"/>
                <w:szCs w:val="22"/>
              </w:rPr>
            </w:pPr>
            <w:r w:rsidRPr="009779F9">
              <w:rPr>
                <w:rFonts w:ascii="Arial" w:hAnsi="Arial" w:cs="Arial"/>
                <w:b/>
                <w:bCs/>
                <w:sz w:val="22"/>
                <w:szCs w:val="22"/>
              </w:rPr>
              <w:t xml:space="preserve">                                                              Asset Utilization </w:t>
            </w:r>
          </w:p>
        </w:tc>
      </w:tr>
      <w:tr w:rsidR="009C5AAE" w:rsidRPr="009779F9" w:rsidTr="008C2D73">
        <w:trPr>
          <w:trHeight w:val="325"/>
        </w:trPr>
        <w:tc>
          <w:tcPr>
            <w:tcW w:w="3996" w:type="dxa"/>
          </w:tcPr>
          <w:p w:rsidR="009C5AAE" w:rsidRPr="009779F9" w:rsidRDefault="009C5AAE" w:rsidP="008C2D73">
            <w:pPr>
              <w:pStyle w:val="Default"/>
              <w:jc w:val="both"/>
              <w:rPr>
                <w:rFonts w:ascii="Arial" w:hAnsi="Arial" w:cs="Arial"/>
                <w:b/>
              </w:rPr>
            </w:pPr>
            <w:r w:rsidRPr="009779F9">
              <w:rPr>
                <w:rFonts w:ascii="Arial" w:hAnsi="Arial" w:cs="Arial"/>
                <w:b/>
              </w:rPr>
              <w:t xml:space="preserve">Year </w:t>
            </w:r>
          </w:p>
        </w:tc>
        <w:tc>
          <w:tcPr>
            <w:tcW w:w="1119"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2014</w:t>
            </w:r>
          </w:p>
        </w:tc>
        <w:tc>
          <w:tcPr>
            <w:tcW w:w="1119"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2015</w:t>
            </w:r>
          </w:p>
        </w:tc>
        <w:tc>
          <w:tcPr>
            <w:tcW w:w="1119"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2016</w:t>
            </w:r>
          </w:p>
        </w:tc>
        <w:tc>
          <w:tcPr>
            <w:tcW w:w="1119"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2017</w:t>
            </w:r>
          </w:p>
        </w:tc>
        <w:tc>
          <w:tcPr>
            <w:tcW w:w="1180"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2018</w:t>
            </w:r>
          </w:p>
        </w:tc>
      </w:tr>
      <w:tr w:rsidR="009C5AAE" w:rsidRPr="009779F9" w:rsidTr="008C2D73">
        <w:trPr>
          <w:trHeight w:val="315"/>
        </w:trPr>
        <w:tc>
          <w:tcPr>
            <w:tcW w:w="3996" w:type="dxa"/>
          </w:tcPr>
          <w:p w:rsidR="009C5AAE" w:rsidRPr="009779F9" w:rsidRDefault="009C5AAE" w:rsidP="008C2D73">
            <w:pPr>
              <w:pStyle w:val="Default"/>
              <w:jc w:val="both"/>
              <w:rPr>
                <w:rFonts w:ascii="Arial" w:hAnsi="Arial" w:cs="Arial"/>
                <w:sz w:val="22"/>
                <w:szCs w:val="22"/>
              </w:rPr>
            </w:pPr>
            <w:r w:rsidRPr="009779F9">
              <w:rPr>
                <w:rFonts w:ascii="Arial" w:hAnsi="Arial" w:cs="Arial"/>
                <w:b/>
                <w:bCs/>
                <w:sz w:val="22"/>
                <w:szCs w:val="22"/>
              </w:rPr>
              <w:t xml:space="preserve">Yield on Asset (Interest Income/Total Asset </w:t>
            </w:r>
          </w:p>
          <w:p w:rsidR="009C5AAE" w:rsidRPr="009779F9" w:rsidRDefault="009C5AAE" w:rsidP="008C2D73">
            <w:pPr>
              <w:spacing w:after="200" w:line="276" w:lineRule="auto"/>
              <w:jc w:val="both"/>
              <w:rPr>
                <w:rFonts w:ascii="Arial" w:hAnsi="Arial" w:cs="Arial"/>
              </w:rPr>
            </w:pPr>
          </w:p>
        </w:tc>
        <w:tc>
          <w:tcPr>
            <w:tcW w:w="1119"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2.02%</w:t>
            </w:r>
          </w:p>
        </w:tc>
        <w:tc>
          <w:tcPr>
            <w:tcW w:w="1119"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1.73%</w:t>
            </w:r>
          </w:p>
        </w:tc>
        <w:tc>
          <w:tcPr>
            <w:tcW w:w="1119"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1.96%</w:t>
            </w:r>
          </w:p>
        </w:tc>
        <w:tc>
          <w:tcPr>
            <w:tcW w:w="1119"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1.71%</w:t>
            </w:r>
          </w:p>
        </w:tc>
        <w:tc>
          <w:tcPr>
            <w:tcW w:w="1180"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1.51%</w:t>
            </w:r>
          </w:p>
        </w:tc>
      </w:tr>
      <w:tr w:rsidR="009C5AAE" w:rsidRPr="009779F9" w:rsidTr="008C2D73">
        <w:trPr>
          <w:trHeight w:val="315"/>
        </w:trPr>
        <w:tc>
          <w:tcPr>
            <w:tcW w:w="3996" w:type="dxa"/>
          </w:tcPr>
          <w:p w:rsidR="009C5AAE" w:rsidRPr="009779F9" w:rsidRDefault="009C5AAE" w:rsidP="008C2D73">
            <w:pPr>
              <w:pStyle w:val="Default"/>
              <w:jc w:val="both"/>
              <w:rPr>
                <w:rFonts w:ascii="Arial" w:hAnsi="Arial" w:cs="Arial"/>
                <w:sz w:val="22"/>
                <w:szCs w:val="22"/>
              </w:rPr>
            </w:pPr>
            <w:r w:rsidRPr="009779F9">
              <w:rPr>
                <w:rFonts w:ascii="Arial" w:hAnsi="Arial" w:cs="Arial"/>
                <w:b/>
                <w:bCs/>
                <w:sz w:val="22"/>
                <w:szCs w:val="22"/>
              </w:rPr>
              <w:t xml:space="preserve">Non Interest Base Yield (Non-interest income/Total Asset) </w:t>
            </w:r>
          </w:p>
          <w:p w:rsidR="009C5AAE" w:rsidRPr="009779F9" w:rsidRDefault="009C5AAE" w:rsidP="008C2D73">
            <w:pPr>
              <w:spacing w:after="200" w:line="276" w:lineRule="auto"/>
              <w:jc w:val="both"/>
              <w:rPr>
                <w:rFonts w:ascii="Arial" w:hAnsi="Arial" w:cs="Arial"/>
              </w:rPr>
            </w:pPr>
          </w:p>
        </w:tc>
        <w:tc>
          <w:tcPr>
            <w:tcW w:w="1119"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4.25%</w:t>
            </w:r>
          </w:p>
        </w:tc>
        <w:tc>
          <w:tcPr>
            <w:tcW w:w="1119"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3.86%</w:t>
            </w:r>
          </w:p>
        </w:tc>
        <w:tc>
          <w:tcPr>
            <w:tcW w:w="1119"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3.59%</w:t>
            </w:r>
          </w:p>
        </w:tc>
        <w:tc>
          <w:tcPr>
            <w:tcW w:w="1119"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2.85%</w:t>
            </w:r>
          </w:p>
        </w:tc>
        <w:tc>
          <w:tcPr>
            <w:tcW w:w="1180"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3.35%</w:t>
            </w:r>
          </w:p>
        </w:tc>
      </w:tr>
      <w:tr w:rsidR="009C5AAE" w:rsidRPr="009779F9" w:rsidTr="008C2D73">
        <w:trPr>
          <w:trHeight w:val="325"/>
        </w:trPr>
        <w:tc>
          <w:tcPr>
            <w:tcW w:w="3996" w:type="dxa"/>
          </w:tcPr>
          <w:p w:rsidR="009C5AAE" w:rsidRPr="009779F9" w:rsidRDefault="009C5AAE" w:rsidP="008C2D73">
            <w:pPr>
              <w:pStyle w:val="Default"/>
              <w:jc w:val="both"/>
              <w:rPr>
                <w:rFonts w:ascii="Arial" w:hAnsi="Arial" w:cs="Arial"/>
                <w:sz w:val="22"/>
                <w:szCs w:val="22"/>
              </w:rPr>
            </w:pPr>
            <w:r w:rsidRPr="009779F9">
              <w:rPr>
                <w:rFonts w:ascii="Arial" w:hAnsi="Arial" w:cs="Arial"/>
                <w:b/>
                <w:bCs/>
                <w:sz w:val="22"/>
                <w:szCs w:val="22"/>
              </w:rPr>
              <w:t xml:space="preserve">Rate of Return from sale of securities (Profit or Loss on sale of securities/TA) </w:t>
            </w:r>
          </w:p>
          <w:p w:rsidR="009C5AAE" w:rsidRPr="009779F9" w:rsidRDefault="009C5AAE" w:rsidP="008C2D73">
            <w:pPr>
              <w:spacing w:after="200" w:line="276" w:lineRule="auto"/>
              <w:jc w:val="both"/>
              <w:rPr>
                <w:rFonts w:ascii="Arial" w:hAnsi="Arial" w:cs="Arial"/>
              </w:rPr>
            </w:pPr>
          </w:p>
        </w:tc>
        <w:tc>
          <w:tcPr>
            <w:tcW w:w="1119"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0.26%</w:t>
            </w:r>
          </w:p>
        </w:tc>
        <w:tc>
          <w:tcPr>
            <w:tcW w:w="1119"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0.21%</w:t>
            </w:r>
          </w:p>
        </w:tc>
        <w:tc>
          <w:tcPr>
            <w:tcW w:w="1119"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0.25%</w:t>
            </w:r>
          </w:p>
        </w:tc>
        <w:tc>
          <w:tcPr>
            <w:tcW w:w="1119"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0.20%</w:t>
            </w:r>
          </w:p>
        </w:tc>
        <w:tc>
          <w:tcPr>
            <w:tcW w:w="1180"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0.20%</w:t>
            </w:r>
          </w:p>
        </w:tc>
      </w:tr>
      <w:tr w:rsidR="009C5AAE" w:rsidRPr="009779F9" w:rsidTr="008C2D73">
        <w:trPr>
          <w:trHeight w:val="814"/>
        </w:trPr>
        <w:tc>
          <w:tcPr>
            <w:tcW w:w="3996" w:type="dxa"/>
          </w:tcPr>
          <w:p w:rsidR="009C5AAE" w:rsidRPr="009779F9" w:rsidRDefault="009C5AAE" w:rsidP="008C2D73">
            <w:pPr>
              <w:pStyle w:val="Default"/>
              <w:jc w:val="both"/>
              <w:rPr>
                <w:rFonts w:ascii="Arial" w:hAnsi="Arial" w:cs="Arial"/>
                <w:sz w:val="22"/>
                <w:szCs w:val="22"/>
              </w:rPr>
            </w:pPr>
            <w:r w:rsidRPr="009779F9">
              <w:rPr>
                <w:rFonts w:ascii="Arial" w:hAnsi="Arial" w:cs="Arial"/>
                <w:b/>
                <w:bCs/>
                <w:sz w:val="22"/>
                <w:szCs w:val="22"/>
              </w:rPr>
              <w:t xml:space="preserve">Asset Utilization (Yield on </w:t>
            </w:r>
            <w:proofErr w:type="spellStart"/>
            <w:r w:rsidRPr="009779F9">
              <w:rPr>
                <w:rFonts w:ascii="Arial" w:hAnsi="Arial" w:cs="Arial"/>
                <w:b/>
                <w:bCs/>
                <w:sz w:val="22"/>
                <w:szCs w:val="22"/>
              </w:rPr>
              <w:t>Asset+Non</w:t>
            </w:r>
            <w:proofErr w:type="spellEnd"/>
            <w:r w:rsidRPr="009779F9">
              <w:rPr>
                <w:rFonts w:ascii="Arial" w:hAnsi="Arial" w:cs="Arial"/>
                <w:b/>
                <w:bCs/>
                <w:sz w:val="22"/>
                <w:szCs w:val="22"/>
              </w:rPr>
              <w:t xml:space="preserve"> Interest Base </w:t>
            </w:r>
            <w:proofErr w:type="spellStart"/>
            <w:r w:rsidRPr="009779F9">
              <w:rPr>
                <w:rFonts w:ascii="Arial" w:hAnsi="Arial" w:cs="Arial"/>
                <w:b/>
                <w:bCs/>
                <w:sz w:val="22"/>
                <w:szCs w:val="22"/>
              </w:rPr>
              <w:t>Yield+Rate</w:t>
            </w:r>
            <w:proofErr w:type="spellEnd"/>
            <w:r w:rsidRPr="009779F9">
              <w:rPr>
                <w:rFonts w:ascii="Arial" w:hAnsi="Arial" w:cs="Arial"/>
                <w:b/>
                <w:bCs/>
                <w:sz w:val="22"/>
                <w:szCs w:val="22"/>
              </w:rPr>
              <w:t xml:space="preserve"> of Return from sale of securities) </w:t>
            </w:r>
          </w:p>
        </w:tc>
        <w:tc>
          <w:tcPr>
            <w:tcW w:w="1119"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13.74%</w:t>
            </w:r>
          </w:p>
        </w:tc>
        <w:tc>
          <w:tcPr>
            <w:tcW w:w="1119"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12.24%</w:t>
            </w:r>
          </w:p>
        </w:tc>
        <w:tc>
          <w:tcPr>
            <w:tcW w:w="1119"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11.84%</w:t>
            </w:r>
          </w:p>
        </w:tc>
        <w:tc>
          <w:tcPr>
            <w:tcW w:w="1119"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10.48%</w:t>
            </w:r>
          </w:p>
        </w:tc>
        <w:tc>
          <w:tcPr>
            <w:tcW w:w="1180"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11.14%</w:t>
            </w:r>
          </w:p>
        </w:tc>
      </w:tr>
    </w:tbl>
    <w:p w:rsidR="009C5AAE" w:rsidRPr="009779F9" w:rsidRDefault="009C5AAE" w:rsidP="009C5AAE">
      <w:pPr>
        <w:spacing w:after="200" w:line="276" w:lineRule="auto"/>
        <w:jc w:val="both"/>
        <w:rPr>
          <w:rFonts w:ascii="Arial" w:hAnsi="Arial" w:cs="Arial"/>
        </w:rPr>
      </w:pPr>
      <w:r w:rsidRPr="009779F9">
        <w:rPr>
          <w:rFonts w:ascii="Arial" w:hAnsi="Arial" w:cs="Arial"/>
        </w:rPr>
        <w:br w:type="page"/>
      </w:r>
      <w:r w:rsidRPr="009779F9">
        <w:rPr>
          <w:rFonts w:ascii="Arial" w:hAnsi="Arial" w:cs="Arial"/>
          <w:noProof/>
        </w:rPr>
        <w:lastRenderedPageBreak/>
        <w:drawing>
          <wp:inline distT="0" distB="0" distL="0" distR="0" wp14:anchorId="42850545" wp14:editId="0428019C">
            <wp:extent cx="5991225" cy="2743200"/>
            <wp:effectExtent l="0" t="0" r="9525" b="19050"/>
            <wp:docPr id="46" name="Chart 46">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xmlns:arto="http://schemas.microsoft.com/office/word/2006/arto" id="{06C0863D-3682-45B7-9B74-16CAA9DC6A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9C5AAE" w:rsidRPr="009779F9" w:rsidRDefault="009C5AAE" w:rsidP="009C5AAE">
      <w:pPr>
        <w:spacing w:after="200" w:line="276" w:lineRule="auto"/>
        <w:jc w:val="both"/>
        <w:rPr>
          <w:rFonts w:ascii="Arial" w:hAnsi="Arial" w:cs="Arial"/>
        </w:rPr>
      </w:pPr>
      <w:r w:rsidRPr="009779F9">
        <w:rPr>
          <w:rFonts w:ascii="Arial" w:hAnsi="Arial" w:cs="Arial"/>
        </w:rPr>
        <w:t xml:space="preserve">If we compare the Asset utilization from year 2014 and 2018 of the </w:t>
      </w:r>
      <w:proofErr w:type="gramStart"/>
      <w:r w:rsidRPr="009779F9">
        <w:rPr>
          <w:rFonts w:ascii="Arial" w:hAnsi="Arial" w:cs="Arial"/>
        </w:rPr>
        <w:t>IDLC  which</w:t>
      </w:r>
      <w:proofErr w:type="gramEnd"/>
      <w:r w:rsidRPr="009779F9">
        <w:rPr>
          <w:rFonts w:ascii="Arial" w:hAnsi="Arial" w:cs="Arial"/>
        </w:rPr>
        <w:t xml:space="preserve"> has declined. From the Bar diagram we can see that the yield on the asset of the IDLC has decreased and the Non-interest-based yield slightly decreases but the rate of the return from sale of securities decreased </w:t>
      </w:r>
      <w:proofErr w:type="gramStart"/>
      <w:r w:rsidRPr="009779F9">
        <w:rPr>
          <w:rFonts w:ascii="Arial" w:hAnsi="Arial" w:cs="Arial"/>
        </w:rPr>
        <w:t>between 2014 to 2018</w:t>
      </w:r>
      <w:proofErr w:type="gramEnd"/>
      <w:r w:rsidRPr="009779F9">
        <w:rPr>
          <w:rFonts w:ascii="Arial" w:hAnsi="Arial" w:cs="Arial"/>
        </w:rPr>
        <w:t>. As a result of the decrease of the components leads in fall of Asset utilization from year 2014 to 2018.</w:t>
      </w:r>
    </w:p>
    <w:p w:rsidR="009C5AAE" w:rsidRPr="009779F9" w:rsidRDefault="009C5AAE" w:rsidP="009C5AAE">
      <w:pPr>
        <w:spacing w:after="200" w:line="276" w:lineRule="auto"/>
        <w:jc w:val="both"/>
        <w:rPr>
          <w:rFonts w:ascii="Arial" w:hAnsi="Arial" w:cs="Arial"/>
          <w:b/>
        </w:rPr>
      </w:pPr>
      <w:r w:rsidRPr="009779F9">
        <w:rPr>
          <w:rFonts w:ascii="Arial" w:hAnsi="Arial" w:cs="Arial"/>
          <w:b/>
        </w:rPr>
        <w:t>Expense Ratio</w:t>
      </w:r>
    </w:p>
    <w:p w:rsidR="009C5AAE" w:rsidRPr="009779F9" w:rsidRDefault="009C5AAE" w:rsidP="009C5AAE">
      <w:pPr>
        <w:spacing w:after="200" w:line="276" w:lineRule="auto"/>
        <w:jc w:val="both"/>
        <w:rPr>
          <w:rFonts w:ascii="Arial" w:hAnsi="Arial" w:cs="Arial"/>
        </w:rPr>
      </w:pPr>
      <w:r w:rsidRPr="009779F9">
        <w:rPr>
          <w:rFonts w:ascii="Arial" w:hAnsi="Arial" w:cs="Arial"/>
        </w:rPr>
        <w:t xml:space="preserve">If we decompose the expense ratio it comprises of cost of fund plus Overhead rate plus Quality of asset. Now if we see Expense ratio of IDLC. </w:t>
      </w:r>
      <w:proofErr w:type="gramStart"/>
      <w:r w:rsidRPr="009779F9">
        <w:rPr>
          <w:rFonts w:ascii="Arial" w:hAnsi="Arial" w:cs="Arial"/>
        </w:rPr>
        <w:t>it</w:t>
      </w:r>
      <w:proofErr w:type="gramEnd"/>
      <w:r w:rsidRPr="009779F9">
        <w:rPr>
          <w:rFonts w:ascii="Arial" w:hAnsi="Arial" w:cs="Arial"/>
        </w:rPr>
        <w:t xml:space="preserve"> is has decreased from 2014 to 2018. This shows that bank has managed its expenses properly which is good sign for the company.</w:t>
      </w:r>
    </w:p>
    <w:tbl>
      <w:tblPr>
        <w:tblpPr w:leftFromText="180" w:rightFromText="180" w:vertAnchor="text" w:tblpX="184" w:tblpY="241"/>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7"/>
        <w:gridCol w:w="1105"/>
        <w:gridCol w:w="1105"/>
        <w:gridCol w:w="1105"/>
        <w:gridCol w:w="1105"/>
        <w:gridCol w:w="1164"/>
      </w:tblGrid>
      <w:tr w:rsidR="009C5AAE" w:rsidRPr="009779F9" w:rsidTr="008C2D73">
        <w:trPr>
          <w:trHeight w:val="318"/>
        </w:trPr>
        <w:tc>
          <w:tcPr>
            <w:tcW w:w="9531" w:type="dxa"/>
            <w:gridSpan w:val="6"/>
          </w:tcPr>
          <w:p w:rsidR="009C5AAE" w:rsidRPr="009779F9" w:rsidRDefault="009C5AAE" w:rsidP="008C2D73">
            <w:pPr>
              <w:pStyle w:val="Default"/>
              <w:jc w:val="both"/>
              <w:rPr>
                <w:rFonts w:ascii="Arial" w:hAnsi="Arial" w:cs="Arial"/>
                <w:sz w:val="22"/>
                <w:szCs w:val="22"/>
              </w:rPr>
            </w:pPr>
            <w:r w:rsidRPr="009779F9">
              <w:rPr>
                <w:rFonts w:ascii="Arial" w:hAnsi="Arial" w:cs="Arial"/>
                <w:b/>
                <w:bCs/>
                <w:sz w:val="22"/>
                <w:szCs w:val="22"/>
              </w:rPr>
              <w:t xml:space="preserve">                                                              Expense Ratio </w:t>
            </w:r>
          </w:p>
        </w:tc>
      </w:tr>
      <w:tr w:rsidR="009C5AAE" w:rsidRPr="009779F9" w:rsidTr="008C2D73">
        <w:trPr>
          <w:trHeight w:val="328"/>
        </w:trPr>
        <w:tc>
          <w:tcPr>
            <w:tcW w:w="3947" w:type="dxa"/>
          </w:tcPr>
          <w:p w:rsidR="009C5AAE" w:rsidRPr="009779F9" w:rsidRDefault="009C5AAE" w:rsidP="008C2D73">
            <w:pPr>
              <w:pStyle w:val="Default"/>
              <w:jc w:val="both"/>
              <w:rPr>
                <w:rFonts w:ascii="Arial" w:hAnsi="Arial" w:cs="Arial"/>
                <w:b/>
              </w:rPr>
            </w:pPr>
            <w:r w:rsidRPr="009779F9">
              <w:rPr>
                <w:rFonts w:ascii="Arial" w:hAnsi="Arial" w:cs="Arial"/>
                <w:b/>
              </w:rPr>
              <w:t xml:space="preserve">Year </w:t>
            </w:r>
          </w:p>
        </w:tc>
        <w:tc>
          <w:tcPr>
            <w:tcW w:w="1105"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2014</w:t>
            </w:r>
          </w:p>
        </w:tc>
        <w:tc>
          <w:tcPr>
            <w:tcW w:w="1105"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2015</w:t>
            </w:r>
          </w:p>
        </w:tc>
        <w:tc>
          <w:tcPr>
            <w:tcW w:w="1105"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2016</w:t>
            </w:r>
          </w:p>
        </w:tc>
        <w:tc>
          <w:tcPr>
            <w:tcW w:w="1105"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2017</w:t>
            </w:r>
          </w:p>
        </w:tc>
        <w:tc>
          <w:tcPr>
            <w:tcW w:w="1164"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2018</w:t>
            </w:r>
          </w:p>
        </w:tc>
      </w:tr>
      <w:tr w:rsidR="009C5AAE" w:rsidRPr="009779F9" w:rsidTr="008C2D73">
        <w:trPr>
          <w:trHeight w:val="318"/>
        </w:trPr>
        <w:tc>
          <w:tcPr>
            <w:tcW w:w="3947" w:type="dxa"/>
          </w:tcPr>
          <w:p w:rsidR="009C5AAE" w:rsidRPr="009779F9" w:rsidRDefault="009C5AAE" w:rsidP="008C2D73">
            <w:pPr>
              <w:pStyle w:val="Default"/>
              <w:jc w:val="both"/>
              <w:rPr>
                <w:rFonts w:ascii="Arial" w:hAnsi="Arial" w:cs="Arial"/>
                <w:sz w:val="22"/>
                <w:szCs w:val="22"/>
              </w:rPr>
            </w:pPr>
            <w:r w:rsidRPr="009779F9">
              <w:rPr>
                <w:rFonts w:ascii="Arial" w:hAnsi="Arial" w:cs="Arial"/>
                <w:b/>
                <w:bCs/>
                <w:sz w:val="22"/>
                <w:szCs w:val="22"/>
              </w:rPr>
              <w:t xml:space="preserve">Cost of fund (Interest expenses/TA) </w:t>
            </w:r>
          </w:p>
          <w:p w:rsidR="009C5AAE" w:rsidRPr="009779F9" w:rsidRDefault="009C5AAE" w:rsidP="008C2D73">
            <w:pPr>
              <w:pStyle w:val="Default"/>
              <w:jc w:val="both"/>
              <w:rPr>
                <w:rFonts w:ascii="Arial" w:hAnsi="Arial" w:cs="Arial"/>
              </w:rPr>
            </w:pPr>
          </w:p>
        </w:tc>
        <w:tc>
          <w:tcPr>
            <w:tcW w:w="1105"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2.16%</w:t>
            </w:r>
          </w:p>
        </w:tc>
        <w:tc>
          <w:tcPr>
            <w:tcW w:w="1105"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1.94%</w:t>
            </w:r>
          </w:p>
        </w:tc>
        <w:tc>
          <w:tcPr>
            <w:tcW w:w="1105"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2.20%</w:t>
            </w:r>
          </w:p>
        </w:tc>
        <w:tc>
          <w:tcPr>
            <w:tcW w:w="1105"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2.09%</w:t>
            </w:r>
          </w:p>
        </w:tc>
        <w:tc>
          <w:tcPr>
            <w:tcW w:w="1164"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1.82%</w:t>
            </w:r>
          </w:p>
        </w:tc>
      </w:tr>
      <w:tr w:rsidR="009C5AAE" w:rsidRPr="009779F9" w:rsidTr="008C2D73">
        <w:trPr>
          <w:trHeight w:val="318"/>
        </w:trPr>
        <w:tc>
          <w:tcPr>
            <w:tcW w:w="3947" w:type="dxa"/>
          </w:tcPr>
          <w:p w:rsidR="009C5AAE" w:rsidRPr="009779F9" w:rsidRDefault="009C5AAE" w:rsidP="008C2D73">
            <w:pPr>
              <w:pStyle w:val="Default"/>
              <w:jc w:val="both"/>
              <w:rPr>
                <w:rFonts w:ascii="Arial" w:hAnsi="Arial" w:cs="Arial"/>
                <w:sz w:val="22"/>
                <w:szCs w:val="22"/>
              </w:rPr>
            </w:pPr>
            <w:r w:rsidRPr="009779F9">
              <w:rPr>
                <w:rFonts w:ascii="Arial" w:hAnsi="Arial" w:cs="Arial"/>
                <w:b/>
                <w:bCs/>
                <w:sz w:val="22"/>
                <w:szCs w:val="22"/>
              </w:rPr>
              <w:t xml:space="preserve">Overhead Rate (Overhead expense/TA) </w:t>
            </w:r>
          </w:p>
          <w:p w:rsidR="009C5AAE" w:rsidRPr="009779F9" w:rsidRDefault="009C5AAE" w:rsidP="008C2D73">
            <w:pPr>
              <w:pStyle w:val="Default"/>
              <w:jc w:val="both"/>
              <w:rPr>
                <w:rFonts w:ascii="Arial" w:hAnsi="Arial" w:cs="Arial"/>
              </w:rPr>
            </w:pPr>
          </w:p>
        </w:tc>
        <w:tc>
          <w:tcPr>
            <w:tcW w:w="1105"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3.26%</w:t>
            </w:r>
          </w:p>
        </w:tc>
        <w:tc>
          <w:tcPr>
            <w:tcW w:w="1105"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2.77%</w:t>
            </w:r>
          </w:p>
        </w:tc>
        <w:tc>
          <w:tcPr>
            <w:tcW w:w="1105"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5.50%</w:t>
            </w:r>
          </w:p>
        </w:tc>
        <w:tc>
          <w:tcPr>
            <w:tcW w:w="1105"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4.70%</w:t>
            </w:r>
          </w:p>
        </w:tc>
        <w:tc>
          <w:tcPr>
            <w:tcW w:w="1164"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4.52%</w:t>
            </w:r>
          </w:p>
        </w:tc>
      </w:tr>
      <w:tr w:rsidR="009C5AAE" w:rsidRPr="009779F9" w:rsidTr="008C2D73">
        <w:trPr>
          <w:trHeight w:val="328"/>
        </w:trPr>
        <w:tc>
          <w:tcPr>
            <w:tcW w:w="3947" w:type="dxa"/>
          </w:tcPr>
          <w:p w:rsidR="009C5AAE" w:rsidRPr="009779F9" w:rsidRDefault="009C5AAE" w:rsidP="008C2D73">
            <w:pPr>
              <w:pStyle w:val="Default"/>
              <w:jc w:val="both"/>
              <w:rPr>
                <w:rFonts w:ascii="Arial" w:hAnsi="Arial" w:cs="Arial"/>
                <w:sz w:val="22"/>
                <w:szCs w:val="22"/>
              </w:rPr>
            </w:pPr>
          </w:p>
          <w:p w:rsidR="009C5AAE" w:rsidRPr="009779F9" w:rsidRDefault="009C5AAE" w:rsidP="008C2D73">
            <w:pPr>
              <w:pStyle w:val="Default"/>
              <w:jc w:val="both"/>
              <w:rPr>
                <w:rFonts w:ascii="Arial" w:hAnsi="Arial" w:cs="Arial"/>
                <w:sz w:val="22"/>
                <w:szCs w:val="22"/>
              </w:rPr>
            </w:pPr>
            <w:r w:rsidRPr="009779F9">
              <w:rPr>
                <w:rFonts w:ascii="Arial" w:hAnsi="Arial" w:cs="Arial"/>
                <w:b/>
                <w:bCs/>
                <w:sz w:val="22"/>
                <w:szCs w:val="22"/>
              </w:rPr>
              <w:t xml:space="preserve">Quality of Assets (Provisions/TA) </w:t>
            </w:r>
          </w:p>
          <w:p w:rsidR="009C5AAE" w:rsidRPr="009779F9" w:rsidRDefault="009C5AAE" w:rsidP="008C2D73">
            <w:pPr>
              <w:spacing w:after="200" w:line="276" w:lineRule="auto"/>
              <w:jc w:val="both"/>
              <w:rPr>
                <w:rFonts w:ascii="Arial" w:hAnsi="Arial" w:cs="Arial"/>
              </w:rPr>
            </w:pPr>
          </w:p>
        </w:tc>
        <w:tc>
          <w:tcPr>
            <w:tcW w:w="1105"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0.11%</w:t>
            </w:r>
          </w:p>
        </w:tc>
        <w:tc>
          <w:tcPr>
            <w:tcW w:w="1105"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0.41%</w:t>
            </w:r>
          </w:p>
        </w:tc>
        <w:tc>
          <w:tcPr>
            <w:tcW w:w="1105"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0.23%</w:t>
            </w:r>
          </w:p>
        </w:tc>
        <w:tc>
          <w:tcPr>
            <w:tcW w:w="1105"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0.25%</w:t>
            </w:r>
          </w:p>
        </w:tc>
        <w:tc>
          <w:tcPr>
            <w:tcW w:w="1164"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0.35%</w:t>
            </w:r>
          </w:p>
        </w:tc>
      </w:tr>
      <w:tr w:rsidR="009C5AAE" w:rsidRPr="009779F9" w:rsidTr="008C2D73">
        <w:trPr>
          <w:trHeight w:val="742"/>
        </w:trPr>
        <w:tc>
          <w:tcPr>
            <w:tcW w:w="3947" w:type="dxa"/>
          </w:tcPr>
          <w:p w:rsidR="009C5AAE" w:rsidRPr="009779F9" w:rsidRDefault="009C5AAE" w:rsidP="008C2D73">
            <w:pPr>
              <w:pStyle w:val="Default"/>
              <w:jc w:val="both"/>
              <w:rPr>
                <w:rFonts w:ascii="Arial" w:hAnsi="Arial" w:cs="Arial"/>
                <w:sz w:val="22"/>
                <w:szCs w:val="22"/>
              </w:rPr>
            </w:pPr>
            <w:r w:rsidRPr="009779F9">
              <w:rPr>
                <w:rFonts w:ascii="Arial" w:hAnsi="Arial" w:cs="Arial"/>
                <w:b/>
                <w:bCs/>
                <w:sz w:val="22"/>
                <w:szCs w:val="22"/>
              </w:rPr>
              <w:t xml:space="preserve">Expense Ratio ( Cost of fund + Overhead Rate + Quality of Assets) </w:t>
            </w:r>
          </w:p>
        </w:tc>
        <w:tc>
          <w:tcPr>
            <w:tcW w:w="1105"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10.19%</w:t>
            </w:r>
          </w:p>
        </w:tc>
        <w:tc>
          <w:tcPr>
            <w:tcW w:w="1105"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9.07%</w:t>
            </w:r>
          </w:p>
        </w:tc>
        <w:tc>
          <w:tcPr>
            <w:tcW w:w="1105"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8.47%</w:t>
            </w:r>
          </w:p>
        </w:tc>
        <w:tc>
          <w:tcPr>
            <w:tcW w:w="1105"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7.63%</w:t>
            </w:r>
          </w:p>
        </w:tc>
        <w:tc>
          <w:tcPr>
            <w:tcW w:w="1164"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8.84%</w:t>
            </w:r>
          </w:p>
        </w:tc>
      </w:tr>
    </w:tbl>
    <w:p w:rsidR="009C5AAE" w:rsidRPr="009779F9" w:rsidRDefault="009C5AAE" w:rsidP="009C5AAE">
      <w:pPr>
        <w:spacing w:after="200" w:line="276" w:lineRule="auto"/>
        <w:jc w:val="both"/>
        <w:rPr>
          <w:rFonts w:ascii="Arial" w:hAnsi="Arial" w:cs="Arial"/>
        </w:rPr>
      </w:pPr>
    </w:p>
    <w:p w:rsidR="009C5AAE" w:rsidRPr="009779F9" w:rsidRDefault="009C5AAE" w:rsidP="009C5AAE">
      <w:pPr>
        <w:spacing w:after="200" w:line="276" w:lineRule="auto"/>
        <w:jc w:val="both"/>
        <w:rPr>
          <w:rFonts w:ascii="Arial" w:hAnsi="Arial" w:cs="Arial"/>
        </w:rPr>
      </w:pPr>
      <w:r w:rsidRPr="009779F9">
        <w:rPr>
          <w:rFonts w:ascii="Arial" w:hAnsi="Arial" w:cs="Arial"/>
          <w:noProof/>
        </w:rPr>
        <w:lastRenderedPageBreak/>
        <w:drawing>
          <wp:inline distT="0" distB="0" distL="0" distR="0" wp14:anchorId="0DD27379" wp14:editId="5DA4AC77">
            <wp:extent cx="6210300" cy="2495550"/>
            <wp:effectExtent l="0" t="0" r="19050" b="19050"/>
            <wp:docPr id="47" name="Chart 47">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xmlns:arto="http://schemas.microsoft.com/office/word/2006/arto" id="{20024CD5-3447-4A59-9859-567E48B43B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9C5AAE" w:rsidRPr="00007BDB" w:rsidRDefault="009C5AAE" w:rsidP="009C5AAE">
      <w:pPr>
        <w:spacing w:after="200" w:line="276" w:lineRule="auto"/>
        <w:jc w:val="both"/>
        <w:rPr>
          <w:rFonts w:ascii="Arial" w:hAnsi="Arial" w:cs="Arial"/>
        </w:rPr>
      </w:pPr>
      <w:r w:rsidRPr="00007BDB">
        <w:rPr>
          <w:rFonts w:ascii="Arial" w:hAnsi="Arial" w:cs="Arial"/>
        </w:rPr>
        <w:t xml:space="preserve">If we compare the expense ratio of IDLC of year 2014 and 2018 we can see from the bar diagram that the cost of fund has decreased about though overhead rate and quality of asset has grown and decreased over the year. The overall effect we can see that the expense ratio decreased between the year 2014 and 2018. </w:t>
      </w:r>
    </w:p>
    <w:p w:rsidR="009C5AAE" w:rsidRPr="00007BDB" w:rsidRDefault="009C5AAE" w:rsidP="009C5AAE">
      <w:pPr>
        <w:spacing w:after="200" w:line="276" w:lineRule="auto"/>
        <w:jc w:val="both"/>
        <w:rPr>
          <w:rFonts w:ascii="Arial" w:hAnsi="Arial" w:cs="Arial"/>
        </w:rPr>
      </w:pPr>
      <w:r w:rsidRPr="00007BDB">
        <w:rPr>
          <w:rFonts w:ascii="Arial" w:hAnsi="Arial" w:cs="Arial"/>
        </w:rPr>
        <w:t>Now if we back to the decomposition of ROA,</w:t>
      </w:r>
    </w:p>
    <w:tbl>
      <w:tblPr>
        <w:tblpPr w:leftFromText="180" w:rightFromText="180" w:vertAnchor="text" w:tblpX="184" w:tblpY="241"/>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0"/>
        <w:gridCol w:w="1117"/>
        <w:gridCol w:w="1117"/>
        <w:gridCol w:w="1117"/>
        <w:gridCol w:w="1117"/>
        <w:gridCol w:w="1177"/>
      </w:tblGrid>
      <w:tr w:rsidR="009C5AAE" w:rsidRPr="009779F9" w:rsidTr="008C2D73">
        <w:trPr>
          <w:trHeight w:val="324"/>
        </w:trPr>
        <w:tc>
          <w:tcPr>
            <w:tcW w:w="3990" w:type="dxa"/>
          </w:tcPr>
          <w:p w:rsidR="009C5AAE" w:rsidRPr="009779F9" w:rsidRDefault="009C5AAE" w:rsidP="008C2D73">
            <w:pPr>
              <w:pStyle w:val="Default"/>
              <w:jc w:val="both"/>
              <w:rPr>
                <w:rFonts w:ascii="Arial" w:hAnsi="Arial" w:cs="Arial"/>
                <w:b/>
              </w:rPr>
            </w:pPr>
            <w:r w:rsidRPr="009779F9">
              <w:rPr>
                <w:rFonts w:ascii="Arial" w:hAnsi="Arial" w:cs="Arial"/>
                <w:b/>
              </w:rPr>
              <w:t xml:space="preserve">Year </w:t>
            </w:r>
          </w:p>
        </w:tc>
        <w:tc>
          <w:tcPr>
            <w:tcW w:w="1117"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2014</w:t>
            </w:r>
          </w:p>
        </w:tc>
        <w:tc>
          <w:tcPr>
            <w:tcW w:w="1117"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2015</w:t>
            </w:r>
          </w:p>
        </w:tc>
        <w:tc>
          <w:tcPr>
            <w:tcW w:w="1117"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2016</w:t>
            </w:r>
          </w:p>
        </w:tc>
        <w:tc>
          <w:tcPr>
            <w:tcW w:w="1117"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2017</w:t>
            </w:r>
          </w:p>
        </w:tc>
        <w:tc>
          <w:tcPr>
            <w:tcW w:w="1177"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2018</w:t>
            </w:r>
          </w:p>
        </w:tc>
      </w:tr>
      <w:tr w:rsidR="009C5AAE" w:rsidRPr="009779F9" w:rsidTr="008C2D73">
        <w:trPr>
          <w:trHeight w:val="314"/>
        </w:trPr>
        <w:tc>
          <w:tcPr>
            <w:tcW w:w="3990" w:type="dxa"/>
          </w:tcPr>
          <w:p w:rsidR="009C5AAE" w:rsidRPr="009779F9" w:rsidRDefault="009C5AAE" w:rsidP="008C2D73">
            <w:pPr>
              <w:pStyle w:val="Default"/>
              <w:jc w:val="both"/>
              <w:rPr>
                <w:rFonts w:ascii="Arial" w:hAnsi="Arial" w:cs="Arial"/>
                <w:b/>
              </w:rPr>
            </w:pPr>
            <w:r w:rsidRPr="009779F9">
              <w:rPr>
                <w:rFonts w:ascii="Arial" w:hAnsi="Arial" w:cs="Arial"/>
                <w:b/>
              </w:rPr>
              <w:t>Asset Utilization Ratio (%)</w:t>
            </w:r>
          </w:p>
        </w:tc>
        <w:tc>
          <w:tcPr>
            <w:tcW w:w="111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13.74%</w:t>
            </w:r>
          </w:p>
        </w:tc>
        <w:tc>
          <w:tcPr>
            <w:tcW w:w="111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12.24%</w:t>
            </w:r>
          </w:p>
        </w:tc>
        <w:tc>
          <w:tcPr>
            <w:tcW w:w="111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11.84%</w:t>
            </w:r>
          </w:p>
        </w:tc>
        <w:tc>
          <w:tcPr>
            <w:tcW w:w="111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10.48%</w:t>
            </w:r>
          </w:p>
        </w:tc>
        <w:tc>
          <w:tcPr>
            <w:tcW w:w="117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11.14%</w:t>
            </w:r>
          </w:p>
        </w:tc>
      </w:tr>
      <w:tr w:rsidR="009C5AAE" w:rsidRPr="009779F9" w:rsidTr="008C2D73">
        <w:trPr>
          <w:trHeight w:val="314"/>
        </w:trPr>
        <w:tc>
          <w:tcPr>
            <w:tcW w:w="3990" w:type="dxa"/>
          </w:tcPr>
          <w:p w:rsidR="009C5AAE" w:rsidRPr="009779F9" w:rsidRDefault="009C5AAE" w:rsidP="008C2D73">
            <w:pPr>
              <w:autoSpaceDE w:val="0"/>
              <w:autoSpaceDN w:val="0"/>
              <w:adjustRightInd w:val="0"/>
              <w:spacing w:after="0" w:line="240" w:lineRule="auto"/>
              <w:jc w:val="both"/>
              <w:rPr>
                <w:rFonts w:ascii="Arial" w:hAnsi="Arial" w:cs="Arial"/>
                <w:b/>
                <w:bCs/>
                <w:sz w:val="24"/>
                <w:szCs w:val="24"/>
              </w:rPr>
            </w:pPr>
            <w:r w:rsidRPr="009779F9">
              <w:rPr>
                <w:rFonts w:ascii="Arial" w:hAnsi="Arial" w:cs="Arial"/>
                <w:b/>
                <w:bCs/>
                <w:sz w:val="24"/>
                <w:szCs w:val="24"/>
              </w:rPr>
              <w:t>Expense Ratio (%)</w:t>
            </w:r>
          </w:p>
        </w:tc>
        <w:tc>
          <w:tcPr>
            <w:tcW w:w="111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10.19%</w:t>
            </w:r>
          </w:p>
        </w:tc>
        <w:tc>
          <w:tcPr>
            <w:tcW w:w="111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9.07%</w:t>
            </w:r>
          </w:p>
        </w:tc>
        <w:tc>
          <w:tcPr>
            <w:tcW w:w="111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8.47%</w:t>
            </w:r>
          </w:p>
        </w:tc>
        <w:tc>
          <w:tcPr>
            <w:tcW w:w="111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7.63%</w:t>
            </w:r>
          </w:p>
        </w:tc>
        <w:tc>
          <w:tcPr>
            <w:tcW w:w="117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8.84%</w:t>
            </w:r>
          </w:p>
        </w:tc>
      </w:tr>
      <w:tr w:rsidR="009C5AAE" w:rsidRPr="009779F9" w:rsidTr="008C2D73">
        <w:trPr>
          <w:trHeight w:val="324"/>
        </w:trPr>
        <w:tc>
          <w:tcPr>
            <w:tcW w:w="3990" w:type="dxa"/>
          </w:tcPr>
          <w:p w:rsidR="009C5AAE" w:rsidRPr="009779F9" w:rsidRDefault="009C5AAE" w:rsidP="008C2D73">
            <w:pPr>
              <w:pStyle w:val="Default"/>
              <w:jc w:val="both"/>
              <w:rPr>
                <w:rFonts w:ascii="Arial" w:hAnsi="Arial" w:cs="Arial"/>
                <w:sz w:val="22"/>
                <w:szCs w:val="22"/>
              </w:rPr>
            </w:pPr>
            <w:r w:rsidRPr="009779F9">
              <w:rPr>
                <w:rFonts w:ascii="Arial" w:hAnsi="Arial" w:cs="Arial"/>
                <w:b/>
                <w:bCs/>
              </w:rPr>
              <w:t>ROA (%)</w:t>
            </w:r>
          </w:p>
          <w:p w:rsidR="009C5AAE" w:rsidRPr="009779F9" w:rsidRDefault="009C5AAE" w:rsidP="008C2D73">
            <w:pPr>
              <w:pStyle w:val="Default"/>
              <w:jc w:val="both"/>
              <w:rPr>
                <w:rFonts w:ascii="Arial" w:hAnsi="Arial" w:cs="Arial"/>
              </w:rPr>
            </w:pPr>
          </w:p>
        </w:tc>
        <w:tc>
          <w:tcPr>
            <w:tcW w:w="111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3.55%</w:t>
            </w:r>
          </w:p>
        </w:tc>
        <w:tc>
          <w:tcPr>
            <w:tcW w:w="111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3.17%</w:t>
            </w:r>
          </w:p>
        </w:tc>
        <w:tc>
          <w:tcPr>
            <w:tcW w:w="111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3.37%</w:t>
            </w:r>
          </w:p>
        </w:tc>
        <w:tc>
          <w:tcPr>
            <w:tcW w:w="111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2.85%</w:t>
            </w:r>
          </w:p>
        </w:tc>
        <w:tc>
          <w:tcPr>
            <w:tcW w:w="117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2.31%</w:t>
            </w:r>
          </w:p>
        </w:tc>
      </w:tr>
    </w:tbl>
    <w:p w:rsidR="009C5AAE" w:rsidRPr="009779F9" w:rsidRDefault="009C5AAE" w:rsidP="009C5AAE">
      <w:pPr>
        <w:autoSpaceDE w:val="0"/>
        <w:autoSpaceDN w:val="0"/>
        <w:adjustRightInd w:val="0"/>
        <w:spacing w:after="0" w:line="240" w:lineRule="auto"/>
        <w:jc w:val="both"/>
        <w:rPr>
          <w:rFonts w:ascii="Arial" w:hAnsi="Arial" w:cs="Arial"/>
          <w:sz w:val="24"/>
          <w:szCs w:val="24"/>
        </w:rPr>
      </w:pPr>
    </w:p>
    <w:p w:rsidR="009C5AAE" w:rsidRPr="00007BDB" w:rsidRDefault="009C5AAE" w:rsidP="009C5AAE">
      <w:pPr>
        <w:autoSpaceDE w:val="0"/>
        <w:autoSpaceDN w:val="0"/>
        <w:adjustRightInd w:val="0"/>
        <w:spacing w:after="0" w:line="240" w:lineRule="auto"/>
        <w:jc w:val="both"/>
        <w:rPr>
          <w:rFonts w:ascii="Arial" w:hAnsi="Arial" w:cs="Arial"/>
        </w:rPr>
      </w:pPr>
      <w:r w:rsidRPr="00007BDB">
        <w:rPr>
          <w:rFonts w:ascii="Arial" w:hAnsi="Arial" w:cs="Arial"/>
        </w:rPr>
        <w:t xml:space="preserve">Finally, we get the ROA of IDLC for the last </w:t>
      </w:r>
      <w:r w:rsidR="00003A48" w:rsidRPr="00007BDB">
        <w:rPr>
          <w:rFonts w:ascii="Arial" w:hAnsi="Arial" w:cs="Arial"/>
        </w:rPr>
        <w:t>5</w:t>
      </w:r>
      <w:r w:rsidRPr="00007BDB">
        <w:rPr>
          <w:rFonts w:ascii="Arial" w:hAnsi="Arial" w:cs="Arial"/>
        </w:rPr>
        <w:t xml:space="preserve"> years by deducting the expense ratio from the asset utilization ratio and also after adjusting the. Because of the fluctuate rate of both the ratios, we have found fluctuate rate of ROA in the last </w:t>
      </w:r>
      <w:r w:rsidR="00003A48" w:rsidRPr="00007BDB">
        <w:rPr>
          <w:rFonts w:ascii="Arial" w:hAnsi="Arial" w:cs="Arial"/>
        </w:rPr>
        <w:t>5</w:t>
      </w:r>
      <w:r w:rsidRPr="00007BDB">
        <w:rPr>
          <w:rFonts w:ascii="Arial" w:hAnsi="Arial" w:cs="Arial"/>
        </w:rPr>
        <w:t xml:space="preserve"> years, If we consider only the period from 2016 to 2017, we found more decreased rate of asset utilization ratio than the decreased rate of expense ratio which lead to the decreased ROA from the 2016 to 2017.</w:t>
      </w:r>
    </w:p>
    <w:tbl>
      <w:tblPr>
        <w:tblpPr w:leftFromText="180" w:rightFromText="180" w:vertAnchor="text" w:tblpX="184" w:tblpY="241"/>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96"/>
        <w:gridCol w:w="1147"/>
        <w:gridCol w:w="1147"/>
        <w:gridCol w:w="1147"/>
        <w:gridCol w:w="1147"/>
        <w:gridCol w:w="1208"/>
      </w:tblGrid>
      <w:tr w:rsidR="009C5AAE" w:rsidRPr="009779F9" w:rsidTr="008C2D73">
        <w:trPr>
          <w:trHeight w:val="322"/>
        </w:trPr>
        <w:tc>
          <w:tcPr>
            <w:tcW w:w="4096" w:type="dxa"/>
          </w:tcPr>
          <w:p w:rsidR="009C5AAE" w:rsidRPr="009779F9" w:rsidRDefault="009C5AAE" w:rsidP="008C2D73">
            <w:pPr>
              <w:pStyle w:val="Default"/>
              <w:jc w:val="both"/>
              <w:rPr>
                <w:rFonts w:ascii="Arial" w:hAnsi="Arial" w:cs="Arial"/>
                <w:b/>
              </w:rPr>
            </w:pPr>
            <w:r w:rsidRPr="009779F9">
              <w:rPr>
                <w:rFonts w:ascii="Arial" w:hAnsi="Arial" w:cs="Arial"/>
                <w:b/>
              </w:rPr>
              <w:t xml:space="preserve">Year </w:t>
            </w:r>
          </w:p>
        </w:tc>
        <w:tc>
          <w:tcPr>
            <w:tcW w:w="1147"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2014</w:t>
            </w:r>
          </w:p>
        </w:tc>
        <w:tc>
          <w:tcPr>
            <w:tcW w:w="1147"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2015</w:t>
            </w:r>
          </w:p>
        </w:tc>
        <w:tc>
          <w:tcPr>
            <w:tcW w:w="1147"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2016</w:t>
            </w:r>
          </w:p>
        </w:tc>
        <w:tc>
          <w:tcPr>
            <w:tcW w:w="1147"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2017</w:t>
            </w:r>
          </w:p>
        </w:tc>
        <w:tc>
          <w:tcPr>
            <w:tcW w:w="1208" w:type="dxa"/>
          </w:tcPr>
          <w:p w:rsidR="009C5AAE" w:rsidRPr="009779F9" w:rsidRDefault="009C5AAE" w:rsidP="008C2D73">
            <w:pPr>
              <w:spacing w:after="200" w:line="276" w:lineRule="auto"/>
              <w:jc w:val="both"/>
              <w:rPr>
                <w:rFonts w:ascii="Arial" w:hAnsi="Arial" w:cs="Arial"/>
              </w:rPr>
            </w:pPr>
            <w:r w:rsidRPr="009779F9">
              <w:rPr>
                <w:rFonts w:ascii="Arial" w:hAnsi="Arial" w:cs="Arial"/>
              </w:rPr>
              <w:t>2018</w:t>
            </w:r>
          </w:p>
        </w:tc>
      </w:tr>
      <w:tr w:rsidR="009C5AAE" w:rsidRPr="009779F9" w:rsidTr="008C2D73">
        <w:trPr>
          <w:trHeight w:val="312"/>
        </w:trPr>
        <w:tc>
          <w:tcPr>
            <w:tcW w:w="4096" w:type="dxa"/>
          </w:tcPr>
          <w:p w:rsidR="009C5AAE" w:rsidRPr="009779F9" w:rsidRDefault="009C5AAE" w:rsidP="008C2D73">
            <w:pPr>
              <w:pStyle w:val="Default"/>
              <w:jc w:val="both"/>
              <w:rPr>
                <w:rFonts w:ascii="Arial" w:hAnsi="Arial" w:cs="Arial"/>
                <w:b/>
                <w:color w:val="000000" w:themeColor="text1"/>
              </w:rPr>
            </w:pPr>
            <w:r w:rsidRPr="009779F9">
              <w:rPr>
                <w:rFonts w:ascii="Arial" w:hAnsi="Arial" w:cs="Arial"/>
                <w:b/>
                <w:bCs/>
                <w:color w:val="000000" w:themeColor="text1"/>
              </w:rPr>
              <w:t>ROA</w:t>
            </w:r>
          </w:p>
        </w:tc>
        <w:tc>
          <w:tcPr>
            <w:tcW w:w="114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3.55%</w:t>
            </w:r>
          </w:p>
        </w:tc>
        <w:tc>
          <w:tcPr>
            <w:tcW w:w="114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3.17%</w:t>
            </w:r>
          </w:p>
        </w:tc>
        <w:tc>
          <w:tcPr>
            <w:tcW w:w="114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3.37%</w:t>
            </w:r>
          </w:p>
        </w:tc>
        <w:tc>
          <w:tcPr>
            <w:tcW w:w="114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2.85%</w:t>
            </w:r>
          </w:p>
        </w:tc>
        <w:tc>
          <w:tcPr>
            <w:tcW w:w="1208"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2.31%</w:t>
            </w:r>
          </w:p>
        </w:tc>
      </w:tr>
      <w:tr w:rsidR="009C5AAE" w:rsidRPr="009779F9" w:rsidTr="008C2D73">
        <w:trPr>
          <w:trHeight w:val="312"/>
        </w:trPr>
        <w:tc>
          <w:tcPr>
            <w:tcW w:w="4096" w:type="dxa"/>
          </w:tcPr>
          <w:p w:rsidR="009C5AAE" w:rsidRPr="009779F9" w:rsidRDefault="009C5AAE" w:rsidP="008C2D73">
            <w:pPr>
              <w:autoSpaceDE w:val="0"/>
              <w:autoSpaceDN w:val="0"/>
              <w:adjustRightInd w:val="0"/>
              <w:spacing w:after="0" w:line="240" w:lineRule="auto"/>
              <w:jc w:val="both"/>
              <w:rPr>
                <w:rFonts w:ascii="Arial" w:hAnsi="Arial" w:cs="Arial"/>
                <w:b/>
                <w:bCs/>
                <w:color w:val="000000" w:themeColor="text1"/>
                <w:sz w:val="24"/>
                <w:szCs w:val="24"/>
              </w:rPr>
            </w:pPr>
            <w:r w:rsidRPr="009779F9">
              <w:rPr>
                <w:rFonts w:ascii="Arial" w:hAnsi="Arial" w:cs="Arial"/>
                <w:b/>
                <w:bCs/>
                <w:color w:val="000000" w:themeColor="text1"/>
                <w:sz w:val="24"/>
                <w:szCs w:val="24"/>
              </w:rPr>
              <w:t>EM</w:t>
            </w:r>
          </w:p>
        </w:tc>
        <w:tc>
          <w:tcPr>
            <w:tcW w:w="114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9.96%</w:t>
            </w:r>
          </w:p>
        </w:tc>
        <w:tc>
          <w:tcPr>
            <w:tcW w:w="114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9.39%</w:t>
            </w:r>
          </w:p>
        </w:tc>
        <w:tc>
          <w:tcPr>
            <w:tcW w:w="114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9.94%</w:t>
            </w:r>
          </w:p>
        </w:tc>
        <w:tc>
          <w:tcPr>
            <w:tcW w:w="114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11.41%</w:t>
            </w:r>
          </w:p>
        </w:tc>
        <w:tc>
          <w:tcPr>
            <w:tcW w:w="1208"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10.49%</w:t>
            </w:r>
          </w:p>
        </w:tc>
      </w:tr>
      <w:tr w:rsidR="009C5AAE" w:rsidRPr="009779F9" w:rsidTr="008C2D73">
        <w:trPr>
          <w:trHeight w:val="322"/>
        </w:trPr>
        <w:tc>
          <w:tcPr>
            <w:tcW w:w="4096" w:type="dxa"/>
          </w:tcPr>
          <w:p w:rsidR="009C5AAE" w:rsidRPr="009779F9" w:rsidRDefault="009C5AAE" w:rsidP="008C2D73">
            <w:pPr>
              <w:pStyle w:val="Default"/>
              <w:jc w:val="both"/>
              <w:rPr>
                <w:rFonts w:ascii="Arial" w:hAnsi="Arial" w:cs="Arial"/>
                <w:b/>
                <w:color w:val="000000" w:themeColor="text1"/>
              </w:rPr>
            </w:pPr>
            <w:r w:rsidRPr="009779F9">
              <w:rPr>
                <w:rFonts w:ascii="Arial" w:hAnsi="Arial" w:cs="Arial"/>
                <w:b/>
                <w:bCs/>
                <w:color w:val="000000" w:themeColor="text1"/>
              </w:rPr>
              <w:t>ROE (%)</w:t>
            </w:r>
          </w:p>
        </w:tc>
        <w:tc>
          <w:tcPr>
            <w:tcW w:w="114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0.35%</w:t>
            </w:r>
          </w:p>
        </w:tc>
        <w:tc>
          <w:tcPr>
            <w:tcW w:w="114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0.30%</w:t>
            </w:r>
          </w:p>
        </w:tc>
        <w:tc>
          <w:tcPr>
            <w:tcW w:w="114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0.34%</w:t>
            </w:r>
          </w:p>
        </w:tc>
        <w:tc>
          <w:tcPr>
            <w:tcW w:w="1147"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0.33%</w:t>
            </w:r>
          </w:p>
        </w:tc>
        <w:tc>
          <w:tcPr>
            <w:tcW w:w="1208" w:type="dxa"/>
            <w:vAlign w:val="bottom"/>
          </w:tcPr>
          <w:p w:rsidR="009C5AAE" w:rsidRPr="009779F9" w:rsidRDefault="009C5AAE" w:rsidP="008C2D73">
            <w:pPr>
              <w:jc w:val="both"/>
              <w:rPr>
                <w:rFonts w:ascii="Arial" w:hAnsi="Arial" w:cs="Arial"/>
                <w:color w:val="000000"/>
              </w:rPr>
            </w:pPr>
            <w:r w:rsidRPr="009779F9">
              <w:rPr>
                <w:rFonts w:ascii="Arial" w:hAnsi="Arial" w:cs="Arial"/>
                <w:color w:val="000000"/>
              </w:rPr>
              <w:t>0.24%</w:t>
            </w:r>
          </w:p>
        </w:tc>
      </w:tr>
    </w:tbl>
    <w:p w:rsidR="009C5AAE" w:rsidRPr="009779F9" w:rsidRDefault="009C5AAE" w:rsidP="009C5AAE">
      <w:pPr>
        <w:autoSpaceDE w:val="0"/>
        <w:autoSpaceDN w:val="0"/>
        <w:adjustRightInd w:val="0"/>
        <w:spacing w:after="0" w:line="240" w:lineRule="auto"/>
        <w:jc w:val="both"/>
        <w:rPr>
          <w:rFonts w:ascii="Arial" w:hAnsi="Arial" w:cs="Arial"/>
          <w:sz w:val="24"/>
          <w:szCs w:val="24"/>
        </w:rPr>
      </w:pPr>
    </w:p>
    <w:p w:rsidR="009C5AAE" w:rsidRPr="009779F9" w:rsidRDefault="009C5AAE" w:rsidP="009C5AAE">
      <w:pPr>
        <w:autoSpaceDE w:val="0"/>
        <w:autoSpaceDN w:val="0"/>
        <w:adjustRightInd w:val="0"/>
        <w:spacing w:after="0" w:line="240" w:lineRule="auto"/>
        <w:jc w:val="both"/>
        <w:rPr>
          <w:rFonts w:ascii="Arial" w:hAnsi="Arial" w:cs="Arial"/>
          <w:sz w:val="24"/>
          <w:szCs w:val="24"/>
        </w:rPr>
      </w:pPr>
      <w:r w:rsidRPr="009779F9">
        <w:rPr>
          <w:rFonts w:ascii="Arial" w:hAnsi="Arial" w:cs="Arial"/>
          <w:sz w:val="24"/>
          <w:szCs w:val="24"/>
        </w:rPr>
        <w:t xml:space="preserve">From the above table, it is clearly visible to us that from the year 2014 to 2018, IDLC’s ROA had been decreased except one year and EM had been </w:t>
      </w:r>
      <w:r>
        <w:rPr>
          <w:rFonts w:ascii="Arial" w:hAnsi="Arial" w:cs="Arial"/>
          <w:sz w:val="24"/>
          <w:szCs w:val="24"/>
        </w:rPr>
        <w:t>grown</w:t>
      </w:r>
      <w:r w:rsidRPr="009779F9">
        <w:rPr>
          <w:rFonts w:ascii="Arial" w:hAnsi="Arial" w:cs="Arial"/>
          <w:sz w:val="24"/>
          <w:szCs w:val="24"/>
        </w:rPr>
        <w:t xml:space="preserve">. That means, from </w:t>
      </w:r>
      <w:r w:rsidRPr="009779F9">
        <w:rPr>
          <w:rFonts w:ascii="Arial" w:hAnsi="Arial" w:cs="Arial"/>
          <w:sz w:val="24"/>
          <w:szCs w:val="24"/>
        </w:rPr>
        <w:lastRenderedPageBreak/>
        <w:t>2014 to 2018, EM had been contributing more on ROE than ROA which indicates the more financial leverage of IDLC. That means they were increasing the deposits fund more compared to the s</w:t>
      </w:r>
      <w:r>
        <w:rPr>
          <w:rFonts w:ascii="Arial" w:hAnsi="Arial" w:cs="Arial"/>
          <w:sz w:val="24"/>
          <w:szCs w:val="24"/>
        </w:rPr>
        <w:t>hare</w:t>
      </w:r>
      <w:r w:rsidRPr="009779F9">
        <w:rPr>
          <w:rFonts w:ascii="Arial" w:hAnsi="Arial" w:cs="Arial"/>
          <w:sz w:val="24"/>
          <w:szCs w:val="24"/>
        </w:rPr>
        <w:t xml:space="preserve">holders equity.   </w:t>
      </w:r>
    </w:p>
    <w:p w:rsidR="009C5AAE" w:rsidRPr="009779F9" w:rsidRDefault="009C5AAE" w:rsidP="009C5AAE">
      <w:pPr>
        <w:autoSpaceDE w:val="0"/>
        <w:autoSpaceDN w:val="0"/>
        <w:adjustRightInd w:val="0"/>
        <w:spacing w:after="0" w:line="240" w:lineRule="auto"/>
        <w:jc w:val="both"/>
        <w:rPr>
          <w:rFonts w:ascii="Arial" w:hAnsi="Arial" w:cs="Arial"/>
          <w:sz w:val="24"/>
          <w:szCs w:val="24"/>
        </w:rPr>
      </w:pPr>
    </w:p>
    <w:p w:rsidR="009C5AAE" w:rsidRPr="009779F9" w:rsidRDefault="009C5AAE" w:rsidP="009C5AAE">
      <w:pPr>
        <w:spacing w:after="200" w:line="276" w:lineRule="auto"/>
        <w:jc w:val="both"/>
        <w:rPr>
          <w:rFonts w:ascii="Arial" w:hAnsi="Arial" w:cs="Arial"/>
        </w:rPr>
      </w:pPr>
    </w:p>
    <w:p w:rsidR="009C5AAE" w:rsidRPr="009779F9" w:rsidRDefault="009C5AAE" w:rsidP="009C5AAE">
      <w:pPr>
        <w:autoSpaceDE w:val="0"/>
        <w:autoSpaceDN w:val="0"/>
        <w:adjustRightInd w:val="0"/>
        <w:spacing w:after="0" w:line="240" w:lineRule="auto"/>
        <w:jc w:val="both"/>
        <w:rPr>
          <w:rFonts w:ascii="Arial" w:hAnsi="Arial" w:cs="Arial"/>
        </w:rPr>
      </w:pPr>
    </w:p>
    <w:p w:rsidR="009C5AAE" w:rsidRDefault="009C5AAE" w:rsidP="009C5AAE">
      <w:pPr>
        <w:rPr>
          <w:rFonts w:ascii="Arial" w:hAnsi="Arial" w:cs="Arial"/>
        </w:rPr>
      </w:pPr>
    </w:p>
    <w:p w:rsidR="00CC2C3F" w:rsidRDefault="00CC2C3F" w:rsidP="009C5AAE">
      <w:pPr>
        <w:rPr>
          <w:rFonts w:ascii="Arial" w:hAnsi="Arial" w:cs="Arial"/>
        </w:rPr>
      </w:pPr>
    </w:p>
    <w:p w:rsidR="00CC2C3F" w:rsidRDefault="00CC2C3F" w:rsidP="009C5AAE">
      <w:pPr>
        <w:rPr>
          <w:rFonts w:ascii="Arial" w:hAnsi="Arial" w:cs="Arial"/>
        </w:rPr>
      </w:pPr>
    </w:p>
    <w:p w:rsidR="00CC2C3F" w:rsidRPr="00ED38E8" w:rsidRDefault="00CC2C3F" w:rsidP="009C5AAE">
      <w:pPr>
        <w:rPr>
          <w:rFonts w:ascii="Arial" w:hAnsi="Arial" w:cs="Arial"/>
        </w:rPr>
      </w:pPr>
    </w:p>
    <w:p w:rsidR="00CC2C3F" w:rsidRDefault="00CC2C3F" w:rsidP="009C5AAE">
      <w:pPr>
        <w:pStyle w:val="Heading1"/>
        <w:rPr>
          <w:rFonts w:ascii="Arial" w:eastAsia="Calibri" w:hAnsi="Arial" w:cs="Arial"/>
          <w:color w:val="auto"/>
          <w:sz w:val="96"/>
          <w:szCs w:val="96"/>
        </w:rPr>
      </w:pPr>
      <w:bookmarkStart w:id="72" w:name="_Toc18330065"/>
    </w:p>
    <w:p w:rsidR="00CC2C3F" w:rsidRPr="00CC2C3F" w:rsidRDefault="00CC2C3F" w:rsidP="00CC2C3F"/>
    <w:p w:rsidR="00CC2C3F" w:rsidRDefault="00CC2C3F" w:rsidP="009C5AAE">
      <w:pPr>
        <w:pStyle w:val="Heading1"/>
        <w:rPr>
          <w:rFonts w:ascii="Arial" w:eastAsia="Calibri" w:hAnsi="Arial" w:cs="Arial"/>
          <w:color w:val="auto"/>
          <w:sz w:val="96"/>
          <w:szCs w:val="96"/>
        </w:rPr>
      </w:pPr>
    </w:p>
    <w:p w:rsidR="00CC2C3F" w:rsidRPr="00CC2C3F" w:rsidRDefault="00CC2C3F" w:rsidP="00CC2C3F">
      <w:pPr>
        <w:keepNext/>
        <w:keepLines/>
        <w:spacing w:after="0"/>
        <w:ind w:left="10" w:right="131" w:hanging="10"/>
        <w:jc w:val="center"/>
        <w:outlineLvl w:val="1"/>
        <w:rPr>
          <w:rFonts w:ascii="Calibri" w:eastAsia="Calibri" w:hAnsi="Calibri" w:cs="Calibri"/>
          <w:b/>
          <w:color w:val="000000"/>
          <w:sz w:val="96"/>
        </w:rPr>
      </w:pPr>
      <w:r w:rsidRPr="00CC2C3F">
        <w:rPr>
          <w:rFonts w:ascii="Calibri" w:eastAsia="Calibri" w:hAnsi="Calibri" w:cs="Calibri"/>
          <w:b/>
          <w:color w:val="000000"/>
          <w:sz w:val="96"/>
        </w:rPr>
        <w:t>CHAPTER 5</w:t>
      </w:r>
    </w:p>
    <w:p w:rsidR="00CC2C3F" w:rsidRPr="00CC2C3F" w:rsidRDefault="00CC2C3F" w:rsidP="00CC2C3F">
      <w:pPr>
        <w:keepNext/>
        <w:keepLines/>
        <w:spacing w:after="0"/>
        <w:ind w:left="10" w:right="131" w:hanging="10"/>
        <w:jc w:val="center"/>
        <w:outlineLvl w:val="1"/>
        <w:rPr>
          <w:rFonts w:ascii="Calibri" w:eastAsia="Calibri" w:hAnsi="Calibri" w:cs="Calibri"/>
          <w:b/>
          <w:color w:val="000000"/>
          <w:sz w:val="96"/>
        </w:rPr>
      </w:pPr>
    </w:p>
    <w:p w:rsidR="00CC2C3F" w:rsidRPr="00CC2C3F" w:rsidRDefault="00CC2C3F" w:rsidP="00CC2C3F">
      <w:pPr>
        <w:keepNext/>
        <w:keepLines/>
        <w:spacing w:after="246"/>
        <w:ind w:right="129"/>
        <w:jc w:val="center"/>
        <w:outlineLvl w:val="2"/>
        <w:rPr>
          <w:rFonts w:ascii="Calibri" w:eastAsia="Calibri" w:hAnsi="Calibri" w:cs="Calibri"/>
          <w:b/>
          <w:color w:val="1F497D"/>
          <w:sz w:val="56"/>
        </w:rPr>
      </w:pPr>
      <w:r w:rsidRPr="00CC2C3F">
        <w:rPr>
          <w:rFonts w:ascii="Calibri" w:eastAsia="Calibri" w:hAnsi="Calibri" w:cs="Calibri"/>
          <w:b/>
          <w:color w:val="1F497D"/>
          <w:sz w:val="56"/>
        </w:rPr>
        <w:t>Findings and Conclusions</w:t>
      </w:r>
    </w:p>
    <w:p w:rsidR="00CC2C3F" w:rsidRPr="00CC2C3F" w:rsidRDefault="00CC2C3F" w:rsidP="00CC2C3F">
      <w:pPr>
        <w:keepNext/>
        <w:keepLines/>
        <w:spacing w:after="246"/>
        <w:ind w:left="10" w:right="129" w:hanging="10"/>
        <w:jc w:val="center"/>
        <w:outlineLvl w:val="2"/>
        <w:rPr>
          <w:rFonts w:ascii="Calibri" w:eastAsia="Calibri" w:hAnsi="Calibri" w:cs="Calibri"/>
          <w:b/>
          <w:color w:val="1F497D"/>
          <w:sz w:val="56"/>
        </w:rPr>
      </w:pPr>
    </w:p>
    <w:p w:rsidR="00CC2C3F" w:rsidRPr="00CC2C3F" w:rsidRDefault="00CC2C3F" w:rsidP="00CC2C3F">
      <w:pPr>
        <w:keepNext/>
        <w:keepLines/>
        <w:spacing w:after="246"/>
        <w:ind w:left="10" w:right="129" w:hanging="10"/>
        <w:jc w:val="center"/>
        <w:outlineLvl w:val="2"/>
        <w:rPr>
          <w:rFonts w:ascii="Calibri" w:eastAsia="Calibri" w:hAnsi="Calibri" w:cs="Calibri"/>
          <w:b/>
          <w:color w:val="1F497D"/>
          <w:sz w:val="32"/>
        </w:rPr>
      </w:pPr>
      <w:r w:rsidRPr="00CC2C3F">
        <w:rPr>
          <w:rFonts w:ascii="Calibri" w:eastAsia="Calibri" w:hAnsi="Calibri" w:cs="Times New Roman"/>
          <w:noProof/>
        </w:rPr>
        <w:drawing>
          <wp:inline distT="0" distB="0" distL="0" distR="0" wp14:anchorId="594605DE" wp14:editId="6E5BF40E">
            <wp:extent cx="5934075" cy="353377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8268" name="Picture 18268"/>
                    <pic:cNvPicPr/>
                  </pic:nvPicPr>
                  <pic:blipFill>
                    <a:blip r:embed="rId9"/>
                    <a:stretch>
                      <a:fillRect/>
                    </a:stretch>
                  </pic:blipFill>
                  <pic:spPr>
                    <a:xfrm>
                      <a:off x="0" y="0"/>
                      <a:ext cx="5934075" cy="3533775"/>
                    </a:xfrm>
                    <a:prstGeom prst="rect">
                      <a:avLst/>
                    </a:prstGeom>
                  </pic:spPr>
                </pic:pic>
              </a:graphicData>
            </a:graphic>
          </wp:inline>
        </w:drawing>
      </w:r>
    </w:p>
    <w:p w:rsidR="00CC2C3F" w:rsidRDefault="00CC2C3F" w:rsidP="009C5AAE">
      <w:pPr>
        <w:pStyle w:val="Heading1"/>
        <w:rPr>
          <w:rFonts w:ascii="Arial" w:eastAsia="Calibri" w:hAnsi="Arial" w:cs="Arial"/>
          <w:color w:val="auto"/>
          <w:sz w:val="96"/>
          <w:szCs w:val="96"/>
        </w:rPr>
      </w:pPr>
    </w:p>
    <w:p w:rsidR="009C5AAE" w:rsidRDefault="009C5AAE" w:rsidP="00CC2C3F">
      <w:pPr>
        <w:pStyle w:val="Heading1"/>
        <w:rPr>
          <w:rFonts w:ascii="Arial" w:eastAsia="Calibri" w:hAnsi="Arial" w:cs="Arial"/>
          <w:b w:val="0"/>
          <w:bCs w:val="0"/>
        </w:rPr>
      </w:pPr>
      <w:bookmarkStart w:id="73" w:name="_Toc18330067"/>
      <w:bookmarkEnd w:id="72"/>
      <w:r w:rsidRPr="00ED38E8">
        <w:rPr>
          <w:rFonts w:ascii="Arial" w:eastAsia="Calibri" w:hAnsi="Arial" w:cs="Arial"/>
        </w:rPr>
        <w:lastRenderedPageBreak/>
        <w:t>Findings</w:t>
      </w:r>
      <w:bookmarkEnd w:id="73"/>
      <w:r w:rsidRPr="00ED38E8">
        <w:rPr>
          <w:rFonts w:ascii="Arial" w:eastAsia="Calibri" w:hAnsi="Arial" w:cs="Arial"/>
        </w:rPr>
        <w:t xml:space="preserve"> </w:t>
      </w:r>
    </w:p>
    <w:p w:rsidR="0045594C" w:rsidRDefault="0045594C" w:rsidP="0045594C">
      <w:pPr>
        <w:jc w:val="both"/>
        <w:rPr>
          <w:rFonts w:ascii="Arial" w:hAnsi="Arial" w:cs="Arial"/>
        </w:rPr>
      </w:pPr>
      <w:r w:rsidRPr="0045594C">
        <w:rPr>
          <w:rFonts w:ascii="Arial" w:hAnsi="Arial" w:cs="Arial"/>
        </w:rPr>
        <w:t xml:space="preserve">We have found that </w:t>
      </w:r>
      <w:r>
        <w:rPr>
          <w:rFonts w:ascii="Arial" w:hAnsi="Arial" w:cs="Arial"/>
        </w:rPr>
        <w:t>IDLC</w:t>
      </w:r>
      <w:r w:rsidRPr="0045594C">
        <w:rPr>
          <w:rFonts w:ascii="Arial" w:hAnsi="Arial" w:cs="Arial"/>
        </w:rPr>
        <w:t xml:space="preserve"> is </w:t>
      </w:r>
      <w:proofErr w:type="gramStart"/>
      <w:r w:rsidRPr="0045594C">
        <w:rPr>
          <w:rFonts w:ascii="Arial" w:hAnsi="Arial" w:cs="Arial"/>
        </w:rPr>
        <w:t>relying</w:t>
      </w:r>
      <w:proofErr w:type="gramEnd"/>
      <w:r w:rsidRPr="0045594C">
        <w:rPr>
          <w:rFonts w:ascii="Arial" w:hAnsi="Arial" w:cs="Arial"/>
        </w:rPr>
        <w:t xml:space="preserve"> more and more on the deposits amount for funding over the last five years and so, equity amount had been decreasing. Though it is a bank whose one of the major functions is to collect deposits, still they van give focus on how they can increase equity portion which will ultimately reduce some burden of deposits payment. From the Price Ratio and Market Ratio, we have found the demand of their shares and people are willing to give more for buying their shares. So it is high time they should consider about issuing new shares.</w:t>
      </w:r>
      <w:r w:rsidRPr="0045594C">
        <w:rPr>
          <w:rFonts w:ascii="TimesNewRoman" w:hAnsi="TimesNewRoman" w:cs="TimesNewRoman"/>
          <w:sz w:val="24"/>
          <w:szCs w:val="24"/>
        </w:rPr>
        <w:t xml:space="preserve"> </w:t>
      </w:r>
      <w:r w:rsidRPr="0045594C">
        <w:rPr>
          <w:rFonts w:ascii="Arial" w:hAnsi="Arial" w:cs="Arial"/>
        </w:rPr>
        <w:t xml:space="preserve">From the operating ratio, we have found that </w:t>
      </w:r>
      <w:r>
        <w:rPr>
          <w:rFonts w:ascii="Arial" w:hAnsi="Arial" w:cs="Arial"/>
        </w:rPr>
        <w:t>IDLC</w:t>
      </w:r>
      <w:r w:rsidRPr="0045594C">
        <w:rPr>
          <w:rFonts w:ascii="Arial" w:hAnsi="Arial" w:cs="Arial"/>
        </w:rPr>
        <w:t xml:space="preserve"> need</w:t>
      </w:r>
      <w:r>
        <w:rPr>
          <w:rFonts w:ascii="Arial" w:hAnsi="Arial" w:cs="Arial"/>
        </w:rPr>
        <w:t xml:space="preserve">ed to increases their operating </w:t>
      </w:r>
      <w:r w:rsidRPr="0045594C">
        <w:rPr>
          <w:rFonts w:ascii="Arial" w:hAnsi="Arial" w:cs="Arial"/>
        </w:rPr>
        <w:t>expenses over the last five years. However operating income had not been increasing on</w:t>
      </w:r>
      <w:r>
        <w:rPr>
          <w:rFonts w:ascii="Arial" w:hAnsi="Arial" w:cs="Arial"/>
        </w:rPr>
        <w:t xml:space="preserve"> </w:t>
      </w:r>
      <w:r w:rsidRPr="0045594C">
        <w:rPr>
          <w:rFonts w:ascii="Arial" w:hAnsi="Arial" w:cs="Arial"/>
        </w:rPr>
        <w:t>same rate. So management should give focus on how they can minimize the operating</w:t>
      </w:r>
      <w:r>
        <w:rPr>
          <w:rFonts w:ascii="Arial" w:hAnsi="Arial" w:cs="Arial"/>
        </w:rPr>
        <w:t xml:space="preserve"> </w:t>
      </w:r>
      <w:r w:rsidRPr="0045594C">
        <w:rPr>
          <w:rFonts w:ascii="Arial" w:hAnsi="Arial" w:cs="Arial"/>
        </w:rPr>
        <w:t>expenses from the next year.</w:t>
      </w:r>
      <w:r w:rsidRPr="0045594C">
        <w:t xml:space="preserve"> </w:t>
      </w:r>
      <w:r w:rsidRPr="0045594C">
        <w:rPr>
          <w:rFonts w:ascii="Arial" w:hAnsi="Arial" w:cs="Arial"/>
        </w:rPr>
        <w:t xml:space="preserve">As we have already discussed that, </w:t>
      </w:r>
      <w:r>
        <w:rPr>
          <w:rFonts w:ascii="Arial" w:hAnsi="Arial" w:cs="Arial"/>
        </w:rPr>
        <w:t>IDLC</w:t>
      </w:r>
      <w:r w:rsidRPr="0045594C">
        <w:rPr>
          <w:rFonts w:ascii="Arial" w:hAnsi="Arial" w:cs="Arial"/>
        </w:rPr>
        <w:t xml:space="preserve"> had been relyin</w:t>
      </w:r>
      <w:r>
        <w:rPr>
          <w:rFonts w:ascii="Arial" w:hAnsi="Arial" w:cs="Arial"/>
        </w:rPr>
        <w:t xml:space="preserve">g more and more on debt, that’s </w:t>
      </w:r>
      <w:r w:rsidRPr="0045594C">
        <w:rPr>
          <w:rFonts w:ascii="Arial" w:hAnsi="Arial" w:cs="Arial"/>
        </w:rPr>
        <w:t>why EM had been increasing. While evaluating the agg</w:t>
      </w:r>
      <w:r>
        <w:rPr>
          <w:rFonts w:ascii="Arial" w:hAnsi="Arial" w:cs="Arial"/>
        </w:rPr>
        <w:t xml:space="preserve">regate ROE model, we found that </w:t>
      </w:r>
      <w:r w:rsidRPr="0045594C">
        <w:rPr>
          <w:rFonts w:ascii="Arial" w:hAnsi="Arial" w:cs="Arial"/>
        </w:rPr>
        <w:t>ROE has been increased because of this increased EM w</w:t>
      </w:r>
      <w:r>
        <w:rPr>
          <w:rFonts w:ascii="Arial" w:hAnsi="Arial" w:cs="Arial"/>
        </w:rPr>
        <w:t xml:space="preserve">hich may create problem for IDLC </w:t>
      </w:r>
      <w:r w:rsidRPr="0045594C">
        <w:rPr>
          <w:rFonts w:ascii="Arial" w:hAnsi="Arial" w:cs="Arial"/>
        </w:rPr>
        <w:t>in the long run.</w:t>
      </w:r>
    </w:p>
    <w:p w:rsidR="00EC63EC" w:rsidRPr="0045594C" w:rsidRDefault="00EC63EC" w:rsidP="0045594C">
      <w:pPr>
        <w:jc w:val="both"/>
        <w:rPr>
          <w:rFonts w:ascii="Arial" w:hAnsi="Arial" w:cs="Arial"/>
        </w:rPr>
      </w:pPr>
    </w:p>
    <w:p w:rsidR="009C5AAE" w:rsidRPr="00ED38E8" w:rsidRDefault="009C5AAE" w:rsidP="009C5AAE">
      <w:pPr>
        <w:pStyle w:val="Heading2"/>
        <w:rPr>
          <w:rFonts w:ascii="Arial" w:eastAsia="Calibri" w:hAnsi="Arial" w:cs="Arial"/>
          <w:b/>
          <w:bCs/>
          <w:color w:val="000000"/>
          <w:sz w:val="28"/>
          <w:szCs w:val="28"/>
        </w:rPr>
      </w:pPr>
      <w:bookmarkStart w:id="74" w:name="_Toc18330069"/>
      <w:r>
        <w:rPr>
          <w:rFonts w:ascii="Arial" w:eastAsia="Calibri" w:hAnsi="Arial" w:cs="Arial"/>
          <w:b/>
          <w:bCs/>
          <w:sz w:val="28"/>
          <w:szCs w:val="28"/>
        </w:rPr>
        <w:t>5.2</w:t>
      </w:r>
      <w:r w:rsidRPr="00ED38E8">
        <w:rPr>
          <w:rFonts w:ascii="Arial" w:eastAsia="Calibri" w:hAnsi="Arial" w:cs="Arial"/>
          <w:b/>
          <w:bCs/>
          <w:sz w:val="28"/>
          <w:szCs w:val="28"/>
        </w:rPr>
        <w:t xml:space="preserve"> Conclusions</w:t>
      </w:r>
      <w:bookmarkEnd w:id="74"/>
      <w:r w:rsidRPr="00ED38E8">
        <w:rPr>
          <w:rFonts w:ascii="Arial" w:eastAsia="Calibri" w:hAnsi="Arial" w:cs="Arial"/>
          <w:b/>
          <w:bCs/>
          <w:sz w:val="28"/>
          <w:szCs w:val="28"/>
        </w:rPr>
        <w:t xml:space="preserve"> </w:t>
      </w:r>
    </w:p>
    <w:p w:rsidR="00C627E3" w:rsidRPr="00EC63EC" w:rsidRDefault="0045594C" w:rsidP="0045594C">
      <w:pPr>
        <w:spacing w:after="208" w:line="270" w:lineRule="auto"/>
        <w:ind w:right="124"/>
        <w:jc w:val="both"/>
        <w:rPr>
          <w:rFonts w:ascii="Arial" w:eastAsia="Calibri" w:hAnsi="Arial" w:cs="Arial"/>
          <w:color w:val="000000"/>
        </w:rPr>
      </w:pPr>
      <w:r w:rsidRPr="00EC63EC">
        <w:rPr>
          <w:rFonts w:ascii="Arial" w:eastAsia="Calibri" w:hAnsi="Arial" w:cs="Arial"/>
          <w:color w:val="000000"/>
        </w:rPr>
        <w:t xml:space="preserve">For the success of any firm, proper risk management and performance evaluation is very much important. We have tried to evaluate the liquidity </w:t>
      </w:r>
      <w:proofErr w:type="gramStart"/>
      <w:r w:rsidRPr="00EC63EC">
        <w:rPr>
          <w:rFonts w:ascii="Arial" w:eastAsia="Calibri" w:hAnsi="Arial" w:cs="Arial"/>
          <w:color w:val="000000"/>
        </w:rPr>
        <w:t>dimensions that shows</w:t>
      </w:r>
      <w:proofErr w:type="gramEnd"/>
      <w:r w:rsidRPr="00EC63EC">
        <w:rPr>
          <w:rFonts w:ascii="Arial" w:eastAsia="Calibri" w:hAnsi="Arial" w:cs="Arial"/>
          <w:color w:val="000000"/>
        </w:rPr>
        <w:t xml:space="preserve"> us that the firm is facing more risk in terms of liquidity. Then we evaluates the profitability dimensions which indicates fluctuate profitability conditions of IDLC. IDLC is not able to continue their good condition and again, they are not let the profitability conditions down. After that, we have tried to show the performance based on the solvency </w:t>
      </w:r>
      <w:proofErr w:type="gramStart"/>
      <w:r w:rsidRPr="00EC63EC">
        <w:rPr>
          <w:rFonts w:ascii="Arial" w:eastAsia="Calibri" w:hAnsi="Arial" w:cs="Arial"/>
          <w:color w:val="000000"/>
        </w:rPr>
        <w:t>dimensions which indicates</w:t>
      </w:r>
      <w:proofErr w:type="gramEnd"/>
      <w:r w:rsidRPr="00EC63EC">
        <w:rPr>
          <w:rFonts w:ascii="Arial" w:eastAsia="Calibri" w:hAnsi="Arial" w:cs="Arial"/>
          <w:color w:val="000000"/>
        </w:rPr>
        <w:t xml:space="preserve"> that IDLC is relying more and more deposits which is increasing their debt portion over the equity. Fourth dimension was efficiency dimension that shows us the fluctuate result in terms of efficiency. At the very end, after evaluating the performance based on market value dimensions we have found, they had high demand of their shares which increases the price of shares and they also provides sufficient return to their shareholders. It can be said that, overall performance of IDLC for the last five years was average.</w:t>
      </w:r>
    </w:p>
    <w:p w:rsidR="00353048" w:rsidRDefault="00353048" w:rsidP="005966E4">
      <w:pPr>
        <w:pStyle w:val="Heading2"/>
        <w:rPr>
          <w:rFonts w:ascii="Arial" w:hAnsi="Arial" w:cs="Arial"/>
          <w:b/>
          <w:bCs/>
          <w:sz w:val="28"/>
          <w:szCs w:val="28"/>
        </w:rPr>
      </w:pPr>
      <w:bookmarkStart w:id="75" w:name="_Toc18330070"/>
      <w:r w:rsidRPr="00ED38E8">
        <w:rPr>
          <w:rFonts w:ascii="Arial" w:hAnsi="Arial" w:cs="Arial"/>
          <w:b/>
          <w:bCs/>
          <w:sz w:val="28"/>
          <w:szCs w:val="28"/>
        </w:rPr>
        <w:t>Bibliography:</w:t>
      </w:r>
      <w:bookmarkEnd w:id="75"/>
      <w:r w:rsidRPr="00ED38E8">
        <w:rPr>
          <w:rFonts w:ascii="Arial" w:hAnsi="Arial" w:cs="Arial"/>
          <w:b/>
          <w:bCs/>
          <w:sz w:val="28"/>
          <w:szCs w:val="28"/>
        </w:rPr>
        <w:t xml:space="preserve"> </w:t>
      </w:r>
    </w:p>
    <w:p w:rsidR="00174FBA" w:rsidRDefault="00174FBA" w:rsidP="00174FBA"/>
    <w:p w:rsidR="00174FBA" w:rsidRDefault="00174FBA" w:rsidP="00174FBA">
      <w:pPr>
        <w:rPr>
          <w:rFonts w:ascii="Verdana" w:hAnsi="Verdana"/>
          <w:color w:val="333333"/>
          <w:sz w:val="21"/>
          <w:szCs w:val="21"/>
          <w:shd w:val="clear" w:color="auto" w:fill="F0F0F0"/>
        </w:rPr>
      </w:pPr>
      <w:proofErr w:type="gramStart"/>
      <w:r w:rsidRPr="00174FBA">
        <w:rPr>
          <w:rFonts w:ascii="Verdana" w:hAnsi="Verdana"/>
          <w:color w:val="333333"/>
          <w:sz w:val="21"/>
          <w:szCs w:val="21"/>
          <w:shd w:val="clear" w:color="auto" w:fill="F0F0F0"/>
        </w:rPr>
        <w:t>Annual Reports, Statistics and Investor Relations | IDLC</w:t>
      </w:r>
      <w:r>
        <w:rPr>
          <w:rFonts w:ascii="Verdana" w:hAnsi="Verdana"/>
          <w:color w:val="333333"/>
          <w:sz w:val="21"/>
          <w:szCs w:val="21"/>
          <w:shd w:val="clear" w:color="auto" w:fill="F0F0F0"/>
        </w:rPr>
        <w:t>.</w:t>
      </w:r>
      <w:proofErr w:type="gramEnd"/>
      <w:r>
        <w:rPr>
          <w:rFonts w:ascii="Verdana" w:hAnsi="Verdana"/>
          <w:color w:val="333333"/>
          <w:sz w:val="21"/>
          <w:szCs w:val="21"/>
          <w:shd w:val="clear" w:color="auto" w:fill="F0F0F0"/>
        </w:rPr>
        <w:t xml:space="preserve"> </w:t>
      </w:r>
      <w:proofErr w:type="gramStart"/>
      <w:r>
        <w:rPr>
          <w:rFonts w:ascii="Verdana" w:hAnsi="Verdana"/>
          <w:color w:val="333333"/>
          <w:sz w:val="21"/>
          <w:szCs w:val="21"/>
          <w:shd w:val="clear" w:color="auto" w:fill="F0F0F0"/>
        </w:rPr>
        <w:t>(</w:t>
      </w:r>
      <w:proofErr w:type="spellStart"/>
      <w:r>
        <w:rPr>
          <w:rFonts w:ascii="Verdana" w:hAnsi="Verdana"/>
          <w:color w:val="333333"/>
          <w:sz w:val="21"/>
          <w:szCs w:val="21"/>
          <w:shd w:val="clear" w:color="auto" w:fill="F0F0F0"/>
        </w:rPr>
        <w:t>n.d.</w:t>
      </w:r>
      <w:proofErr w:type="spellEnd"/>
      <w:r>
        <w:rPr>
          <w:rFonts w:ascii="Verdana" w:hAnsi="Verdana"/>
          <w:color w:val="333333"/>
          <w:sz w:val="21"/>
          <w:szCs w:val="21"/>
          <w:shd w:val="clear" w:color="auto" w:fill="F0F0F0"/>
        </w:rPr>
        <w:t>)</w:t>
      </w:r>
      <w:proofErr w:type="gramEnd"/>
      <w:r>
        <w:rPr>
          <w:rFonts w:ascii="Verdana" w:hAnsi="Verdana"/>
          <w:color w:val="333333"/>
          <w:sz w:val="21"/>
          <w:szCs w:val="21"/>
          <w:shd w:val="clear" w:color="auto" w:fill="F0F0F0"/>
        </w:rPr>
        <w:t xml:space="preserve"> Retrieved from</w:t>
      </w:r>
      <w:r w:rsidRPr="00174FBA">
        <w:rPr>
          <w:rFonts w:ascii="Verdana" w:hAnsi="Verdana"/>
          <w:color w:val="333333"/>
          <w:sz w:val="21"/>
          <w:szCs w:val="21"/>
          <w:shd w:val="clear" w:color="auto" w:fill="F0F0F0"/>
        </w:rPr>
        <w:tab/>
        <w:t>(www.idlc.com, 2014 to 2018, p. 78)</w:t>
      </w:r>
    </w:p>
    <w:p w:rsidR="00174FBA" w:rsidRDefault="00174FBA" w:rsidP="00174FBA">
      <w:pPr>
        <w:rPr>
          <w:rFonts w:ascii="Verdana" w:hAnsi="Verdana"/>
          <w:color w:val="333333"/>
          <w:sz w:val="21"/>
          <w:szCs w:val="21"/>
          <w:shd w:val="clear" w:color="auto" w:fill="F0F0F0"/>
        </w:rPr>
      </w:pPr>
      <w:proofErr w:type="gramStart"/>
      <w:r>
        <w:rPr>
          <w:rFonts w:ascii="Verdana" w:hAnsi="Verdana"/>
          <w:color w:val="333333"/>
          <w:sz w:val="21"/>
          <w:szCs w:val="21"/>
          <w:shd w:val="clear" w:color="auto" w:fill="F0F0F0"/>
        </w:rPr>
        <w:t>Dhaka Stock exchange</w:t>
      </w:r>
      <w:r w:rsidRPr="00174FBA">
        <w:rPr>
          <w:rFonts w:ascii="Verdana" w:hAnsi="Verdana"/>
          <w:color w:val="333333"/>
          <w:sz w:val="21"/>
          <w:szCs w:val="21"/>
          <w:shd w:val="clear" w:color="auto" w:fill="F0F0F0"/>
        </w:rPr>
        <w:t xml:space="preserve"> | IDLC</w:t>
      </w:r>
      <w:r>
        <w:rPr>
          <w:rFonts w:ascii="Verdana" w:hAnsi="Verdana"/>
          <w:color w:val="333333"/>
          <w:sz w:val="21"/>
          <w:szCs w:val="21"/>
          <w:shd w:val="clear" w:color="auto" w:fill="F0F0F0"/>
        </w:rPr>
        <w:t>.</w:t>
      </w:r>
      <w:proofErr w:type="gramEnd"/>
      <w:r>
        <w:rPr>
          <w:rFonts w:ascii="Verdana" w:hAnsi="Verdana"/>
          <w:color w:val="333333"/>
          <w:sz w:val="21"/>
          <w:szCs w:val="21"/>
          <w:shd w:val="clear" w:color="auto" w:fill="F0F0F0"/>
        </w:rPr>
        <w:t xml:space="preserve"> </w:t>
      </w:r>
      <w:proofErr w:type="gramStart"/>
      <w:r>
        <w:rPr>
          <w:rFonts w:ascii="Verdana" w:hAnsi="Verdana"/>
          <w:color w:val="333333"/>
          <w:sz w:val="21"/>
          <w:szCs w:val="21"/>
          <w:shd w:val="clear" w:color="auto" w:fill="F0F0F0"/>
        </w:rPr>
        <w:t>(</w:t>
      </w:r>
      <w:proofErr w:type="spellStart"/>
      <w:r>
        <w:rPr>
          <w:rFonts w:ascii="Verdana" w:hAnsi="Verdana"/>
          <w:color w:val="333333"/>
          <w:sz w:val="21"/>
          <w:szCs w:val="21"/>
          <w:shd w:val="clear" w:color="auto" w:fill="F0F0F0"/>
        </w:rPr>
        <w:t>n.d.</w:t>
      </w:r>
      <w:proofErr w:type="spellEnd"/>
      <w:r>
        <w:rPr>
          <w:rFonts w:ascii="Verdana" w:hAnsi="Verdana"/>
          <w:color w:val="333333"/>
          <w:sz w:val="21"/>
          <w:szCs w:val="21"/>
          <w:shd w:val="clear" w:color="auto" w:fill="F0F0F0"/>
        </w:rPr>
        <w:t>)</w:t>
      </w:r>
      <w:proofErr w:type="gramEnd"/>
      <w:r>
        <w:rPr>
          <w:rFonts w:ascii="Verdana" w:hAnsi="Verdana"/>
          <w:color w:val="333333"/>
          <w:sz w:val="21"/>
          <w:szCs w:val="21"/>
          <w:shd w:val="clear" w:color="auto" w:fill="F0F0F0"/>
        </w:rPr>
        <w:t xml:space="preserve"> Retrieved from</w:t>
      </w:r>
      <w:r w:rsidRPr="00174FBA">
        <w:rPr>
          <w:rFonts w:ascii="Verdana" w:hAnsi="Verdana"/>
          <w:color w:val="333333"/>
          <w:sz w:val="21"/>
          <w:szCs w:val="21"/>
          <w:shd w:val="clear" w:color="auto" w:fill="F0F0F0"/>
        </w:rPr>
        <w:tab/>
      </w:r>
    </w:p>
    <w:p w:rsidR="00174FBA" w:rsidRPr="00174FBA" w:rsidRDefault="00174FBA" w:rsidP="00174FBA">
      <w:pPr>
        <w:ind w:firstLine="720"/>
      </w:pPr>
      <w:r w:rsidRPr="00174FBA">
        <w:rPr>
          <w:rFonts w:ascii="Verdana" w:hAnsi="Verdana"/>
          <w:color w:val="333333"/>
          <w:sz w:val="21"/>
          <w:szCs w:val="21"/>
          <w:shd w:val="clear" w:color="auto" w:fill="F0F0F0"/>
        </w:rPr>
        <w:t>(www.dse.com.bd)</w:t>
      </w:r>
    </w:p>
    <w:p w:rsidR="00174FBA" w:rsidRPr="00174FBA" w:rsidRDefault="00174FBA" w:rsidP="00174FBA"/>
    <w:p w:rsidR="00353048" w:rsidRPr="00ED38E8" w:rsidRDefault="00353048" w:rsidP="00174FBA">
      <w:pPr>
        <w:spacing w:after="0" w:line="256" w:lineRule="auto"/>
        <w:ind w:left="706" w:right="124"/>
        <w:jc w:val="both"/>
        <w:rPr>
          <w:rFonts w:ascii="Arial" w:hAnsi="Arial" w:cs="Arial"/>
        </w:rPr>
      </w:pPr>
    </w:p>
    <w:p w:rsidR="00353048" w:rsidRPr="00ED38E8" w:rsidRDefault="00353048" w:rsidP="00C627E3">
      <w:pPr>
        <w:spacing w:after="208" w:line="270" w:lineRule="auto"/>
        <w:ind w:right="124"/>
        <w:jc w:val="both"/>
        <w:rPr>
          <w:rFonts w:ascii="Arial" w:eastAsia="Calibri" w:hAnsi="Arial" w:cs="Arial"/>
          <w:color w:val="000000"/>
          <w:sz w:val="24"/>
        </w:rPr>
      </w:pPr>
    </w:p>
    <w:p w:rsidR="00C627E3" w:rsidRPr="00ED38E8" w:rsidRDefault="00C627E3" w:rsidP="00C627E3">
      <w:pPr>
        <w:spacing w:after="208" w:line="270" w:lineRule="auto"/>
        <w:ind w:right="124"/>
        <w:jc w:val="both"/>
        <w:rPr>
          <w:rFonts w:ascii="Arial" w:eastAsia="Calibri" w:hAnsi="Arial" w:cs="Arial"/>
          <w:color w:val="000000"/>
          <w:sz w:val="24"/>
        </w:rPr>
      </w:pPr>
    </w:p>
    <w:p w:rsidR="00ED38E8" w:rsidRPr="00ED38E8" w:rsidRDefault="00ED38E8">
      <w:pPr>
        <w:tabs>
          <w:tab w:val="left" w:pos="2880"/>
        </w:tabs>
        <w:rPr>
          <w:rFonts w:ascii="Arial" w:hAnsi="Arial" w:cs="Arial"/>
        </w:rPr>
      </w:pPr>
    </w:p>
    <w:sectPr w:rsidR="00ED38E8" w:rsidRPr="00ED38E8" w:rsidSect="009C6580">
      <w:footerReference w:type="default" r:id="rId6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36C" w:rsidRDefault="004F236C">
      <w:pPr>
        <w:spacing w:after="0" w:line="240" w:lineRule="auto"/>
      </w:pPr>
      <w:r>
        <w:separator/>
      </w:r>
    </w:p>
  </w:endnote>
  <w:endnote w:type="continuationSeparator" w:id="0">
    <w:p w:rsidR="004F236C" w:rsidRDefault="004F2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auto"/>
    <w:notTrueType/>
    <w:pitch w:val="default"/>
    <w:sig w:usb0="00000003" w:usb1="00000000" w:usb2="00000000" w:usb3="00000000" w:csb0="00000001" w:csb1="00000000"/>
  </w:font>
  <w:font w:name="CambriaMath">
    <w:altName w:val="MS Mincho"/>
    <w:panose1 w:val="00000000000000000000"/>
    <w:charset w:val="80"/>
    <w:family w:val="auto"/>
    <w:notTrueType/>
    <w:pitch w:val="default"/>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F1E" w:rsidRDefault="007D1F1E">
    <w:pPr>
      <w:spacing w:after="0"/>
      <w:ind w:right="80"/>
      <w:jc w:val="right"/>
    </w:pPr>
    <w:r>
      <w:fldChar w:fldCharType="begin"/>
    </w:r>
    <w:r>
      <w:instrText xml:space="preserve"> PAGE   \* MERGEFORMAT </w:instrText>
    </w:r>
    <w:r>
      <w:fldChar w:fldCharType="separate"/>
    </w:r>
    <w:r>
      <w:rPr>
        <w:noProof/>
      </w:rPr>
      <w:t>18</w:t>
    </w:r>
    <w:r>
      <w:fldChar w:fldCharType="end"/>
    </w:r>
    <w:r>
      <w:t xml:space="preserve"> </w:t>
    </w:r>
  </w:p>
  <w:p w:rsidR="007D1F1E" w:rsidRDefault="007D1F1E">
    <w:pPr>
      <w:spacing w:after="0"/>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F1E" w:rsidRDefault="007D1F1E">
    <w:pPr>
      <w:spacing w:after="0"/>
      <w:ind w:right="80"/>
      <w:jc w:val="right"/>
    </w:pPr>
  </w:p>
  <w:p w:rsidR="007D1F1E" w:rsidRDefault="007D1F1E">
    <w:pPr>
      <w:spacing w:after="0"/>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F1E" w:rsidRDefault="007D1F1E">
    <w:pPr>
      <w:spacing w:after="0"/>
      <w:ind w:right="80"/>
      <w:jc w:val="right"/>
    </w:pPr>
    <w:r>
      <w:fldChar w:fldCharType="begin"/>
    </w:r>
    <w:r>
      <w:instrText xml:space="preserve"> PAGE   \* MERGEFORMAT </w:instrText>
    </w:r>
    <w:r>
      <w:fldChar w:fldCharType="separate"/>
    </w:r>
    <w:r>
      <w:t>2</w:t>
    </w:r>
    <w:r>
      <w:fldChar w:fldCharType="end"/>
    </w:r>
    <w:r>
      <w:t xml:space="preserve"> </w:t>
    </w:r>
  </w:p>
  <w:p w:rsidR="007D1F1E" w:rsidRDefault="007D1F1E">
    <w:pPr>
      <w:spacing w:after="0"/>
    </w:pPr>
    <w: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659584"/>
      <w:docPartObj>
        <w:docPartGallery w:val="Page Numbers (Bottom of Page)"/>
        <w:docPartUnique/>
      </w:docPartObj>
    </w:sdtPr>
    <w:sdtEndPr>
      <w:rPr>
        <w:noProof/>
      </w:rPr>
    </w:sdtEndPr>
    <w:sdtContent>
      <w:p w:rsidR="007D1F1E" w:rsidRDefault="007D1F1E">
        <w:pPr>
          <w:pStyle w:val="Footer"/>
          <w:jc w:val="right"/>
        </w:pPr>
        <w:r>
          <w:fldChar w:fldCharType="begin"/>
        </w:r>
        <w:r>
          <w:instrText xml:space="preserve"> PAGE   \* MERGEFORMAT </w:instrText>
        </w:r>
        <w:r>
          <w:fldChar w:fldCharType="separate"/>
        </w:r>
        <w:r w:rsidR="00FE023A">
          <w:rPr>
            <w:noProof/>
          </w:rPr>
          <w:t>v</w:t>
        </w:r>
        <w:r>
          <w:rPr>
            <w:noProof/>
          </w:rPr>
          <w:fldChar w:fldCharType="end"/>
        </w:r>
      </w:p>
    </w:sdtContent>
  </w:sdt>
  <w:p w:rsidR="007D1F1E" w:rsidRDefault="007D1F1E">
    <w:pPr>
      <w:spacing w:af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F1E" w:rsidRDefault="007D1F1E">
    <w:pPr>
      <w:pStyle w:val="Footer"/>
      <w:jc w:val="right"/>
    </w:pPr>
  </w:p>
  <w:p w:rsidR="007D1F1E" w:rsidRDefault="007D1F1E">
    <w:pPr>
      <w:spacing w:after="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2723609"/>
      <w:docPartObj>
        <w:docPartGallery w:val="Page Numbers (Bottom of Page)"/>
        <w:docPartUnique/>
      </w:docPartObj>
    </w:sdtPr>
    <w:sdtEndPr>
      <w:rPr>
        <w:noProof/>
      </w:rPr>
    </w:sdtEndPr>
    <w:sdtContent>
      <w:p w:rsidR="009C6580" w:rsidRDefault="009C6580">
        <w:pPr>
          <w:pStyle w:val="Footer"/>
          <w:jc w:val="right"/>
        </w:pPr>
        <w:r>
          <w:fldChar w:fldCharType="begin"/>
        </w:r>
        <w:r>
          <w:instrText xml:space="preserve"> PAGE   \* MERGEFORMAT </w:instrText>
        </w:r>
        <w:r>
          <w:fldChar w:fldCharType="separate"/>
        </w:r>
        <w:r w:rsidR="00FE023A">
          <w:rPr>
            <w:noProof/>
          </w:rPr>
          <w:t>51</w:t>
        </w:r>
        <w:r>
          <w:rPr>
            <w:noProof/>
          </w:rPr>
          <w:fldChar w:fldCharType="end"/>
        </w:r>
      </w:p>
    </w:sdtContent>
  </w:sdt>
  <w:p w:rsidR="007D1F1E" w:rsidRDefault="007D1F1E">
    <w:pPr>
      <w:spacing w:af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36C" w:rsidRDefault="004F236C">
      <w:pPr>
        <w:spacing w:after="0" w:line="240" w:lineRule="auto"/>
      </w:pPr>
      <w:r>
        <w:separator/>
      </w:r>
    </w:p>
  </w:footnote>
  <w:footnote w:type="continuationSeparator" w:id="0">
    <w:p w:rsidR="004F236C" w:rsidRDefault="004F23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F1E" w:rsidRDefault="007D1F1E">
    <w:pPr>
      <w:spacing w:after="0"/>
      <w:ind w:right="31"/>
      <w:jc w:val="right"/>
    </w:pPr>
    <w:r>
      <w:rPr>
        <w:noProof/>
      </w:rPr>
      <w:drawing>
        <wp:anchor distT="0" distB="0" distL="114300" distR="114300" simplePos="0" relativeHeight="251659264" behindDoc="0" locked="0" layoutInCell="1" allowOverlap="0" wp14:anchorId="108C8329" wp14:editId="799065C7">
          <wp:simplePos x="0" y="0"/>
          <wp:positionH relativeFrom="page">
            <wp:posOffset>5820410</wp:posOffset>
          </wp:positionH>
          <wp:positionV relativeFrom="page">
            <wp:posOffset>457250</wp:posOffset>
          </wp:positionV>
          <wp:extent cx="1037590" cy="713943"/>
          <wp:effectExtent l="0" t="0" r="0" b="0"/>
          <wp:wrapSquare wrapText="bothSides"/>
          <wp:docPr id="165093" name="Picture 165093"/>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1037590" cy="713943"/>
                  </a:xfrm>
                  <a:prstGeom prst="rect">
                    <a:avLst/>
                  </a:prstGeom>
                </pic:spPr>
              </pic:pic>
            </a:graphicData>
          </a:graphic>
        </wp:anchor>
      </w:drawing>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F1E" w:rsidRDefault="007D1F1E" w:rsidP="009D4388">
    <w:pPr>
      <w:tabs>
        <w:tab w:val="left" w:pos="450"/>
        <w:tab w:val="left" w:pos="645"/>
        <w:tab w:val="right" w:pos="9329"/>
      </w:tabs>
      <w:spacing w:after="0"/>
      <w:ind w:right="31"/>
    </w:pPr>
    <w:r>
      <w:tab/>
    </w:r>
    <w:r>
      <w:tab/>
    </w:r>
    <w:r>
      <w:rPr>
        <w:noProof/>
      </w:rPr>
      <w:drawing>
        <wp:anchor distT="0" distB="0" distL="114300" distR="114300" simplePos="0" relativeHeight="251660288" behindDoc="0" locked="0" layoutInCell="1" allowOverlap="0" wp14:anchorId="339D71BD" wp14:editId="3A212F76">
          <wp:simplePos x="0" y="0"/>
          <wp:positionH relativeFrom="page">
            <wp:posOffset>5820410</wp:posOffset>
          </wp:positionH>
          <wp:positionV relativeFrom="page">
            <wp:posOffset>200025</wp:posOffset>
          </wp:positionV>
          <wp:extent cx="1037590" cy="713943"/>
          <wp:effectExtent l="0" t="0" r="0" b="0"/>
          <wp:wrapSquare wrapText="bothSides"/>
          <wp:docPr id="165094" name="Picture 165094"/>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1037590" cy="713943"/>
                  </a:xfrm>
                  <a:prstGeom prst="rect">
                    <a:avLst/>
                  </a:prstGeom>
                </pic:spPr>
              </pic:pic>
            </a:graphicData>
          </a:graphic>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F1E" w:rsidRDefault="007D1F1E">
    <w:pPr>
      <w:spacing w:after="0"/>
      <w:ind w:right="31"/>
      <w:jc w:val="right"/>
    </w:pPr>
    <w:r>
      <w:rPr>
        <w:noProof/>
      </w:rPr>
      <w:drawing>
        <wp:anchor distT="0" distB="0" distL="114300" distR="114300" simplePos="0" relativeHeight="251661312" behindDoc="0" locked="0" layoutInCell="1" allowOverlap="0" wp14:anchorId="26268681" wp14:editId="2F02C507">
          <wp:simplePos x="0" y="0"/>
          <wp:positionH relativeFrom="page">
            <wp:posOffset>5820410</wp:posOffset>
          </wp:positionH>
          <wp:positionV relativeFrom="page">
            <wp:posOffset>457250</wp:posOffset>
          </wp:positionV>
          <wp:extent cx="1037590" cy="713943"/>
          <wp:effectExtent l="0" t="0" r="0" b="0"/>
          <wp:wrapSquare wrapText="bothSides"/>
          <wp:docPr id="165095" name="Picture 165095"/>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1037590" cy="713943"/>
                  </a:xfrm>
                  <a:prstGeom prst="rect">
                    <a:avLst/>
                  </a:prstGeom>
                </pic:spPr>
              </pic:pic>
            </a:graphicData>
          </a:graphic>
        </wp:anchor>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369C"/>
    <w:multiLevelType w:val="hybridMultilevel"/>
    <w:tmpl w:val="77D83ED4"/>
    <w:lvl w:ilvl="0" w:tplc="D2E07AE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AE1F2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3EC8A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4E8254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C4156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D748BC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3F6EE9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1A7FA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C2E502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nsid w:val="01EC637E"/>
    <w:multiLevelType w:val="multilevel"/>
    <w:tmpl w:val="606472A2"/>
    <w:lvl w:ilvl="0">
      <w:start w:val="5"/>
      <w:numFmt w:val="decimal"/>
      <w:lvlText w:val="%1"/>
      <w:lvlJc w:val="left"/>
      <w:pPr>
        <w:ind w:left="405" w:hanging="405"/>
      </w:pPr>
      <w:rPr>
        <w:rFonts w:hint="default"/>
        <w:color w:val="365F91" w:themeColor="accent1" w:themeShade="BF"/>
      </w:rPr>
    </w:lvl>
    <w:lvl w:ilvl="1">
      <w:start w:val="1"/>
      <w:numFmt w:val="decimal"/>
      <w:lvlText w:val="%1.%2"/>
      <w:lvlJc w:val="left"/>
      <w:pPr>
        <w:ind w:left="405" w:hanging="405"/>
      </w:pPr>
      <w:rPr>
        <w:rFonts w:hint="default"/>
        <w:color w:val="365F91" w:themeColor="accent1" w:themeShade="BF"/>
      </w:rPr>
    </w:lvl>
    <w:lvl w:ilvl="2">
      <w:start w:val="1"/>
      <w:numFmt w:val="decimal"/>
      <w:lvlText w:val="%1.%2.%3"/>
      <w:lvlJc w:val="left"/>
      <w:pPr>
        <w:ind w:left="720" w:hanging="720"/>
      </w:pPr>
      <w:rPr>
        <w:rFonts w:hint="default"/>
        <w:color w:val="365F91" w:themeColor="accent1" w:themeShade="BF"/>
      </w:rPr>
    </w:lvl>
    <w:lvl w:ilvl="3">
      <w:start w:val="1"/>
      <w:numFmt w:val="decimal"/>
      <w:lvlText w:val="%1.%2.%3.%4"/>
      <w:lvlJc w:val="left"/>
      <w:pPr>
        <w:ind w:left="1080" w:hanging="1080"/>
      </w:pPr>
      <w:rPr>
        <w:rFonts w:hint="default"/>
        <w:color w:val="365F91" w:themeColor="accent1" w:themeShade="BF"/>
      </w:rPr>
    </w:lvl>
    <w:lvl w:ilvl="4">
      <w:start w:val="1"/>
      <w:numFmt w:val="decimal"/>
      <w:lvlText w:val="%1.%2.%3.%4.%5"/>
      <w:lvlJc w:val="left"/>
      <w:pPr>
        <w:ind w:left="1080" w:hanging="1080"/>
      </w:pPr>
      <w:rPr>
        <w:rFonts w:hint="default"/>
        <w:color w:val="365F91" w:themeColor="accent1" w:themeShade="BF"/>
      </w:rPr>
    </w:lvl>
    <w:lvl w:ilvl="5">
      <w:start w:val="1"/>
      <w:numFmt w:val="decimal"/>
      <w:lvlText w:val="%1.%2.%3.%4.%5.%6"/>
      <w:lvlJc w:val="left"/>
      <w:pPr>
        <w:ind w:left="1440" w:hanging="1440"/>
      </w:pPr>
      <w:rPr>
        <w:rFonts w:hint="default"/>
        <w:color w:val="365F91" w:themeColor="accent1" w:themeShade="BF"/>
      </w:rPr>
    </w:lvl>
    <w:lvl w:ilvl="6">
      <w:start w:val="1"/>
      <w:numFmt w:val="decimal"/>
      <w:lvlText w:val="%1.%2.%3.%4.%5.%6.%7"/>
      <w:lvlJc w:val="left"/>
      <w:pPr>
        <w:ind w:left="1440" w:hanging="1440"/>
      </w:pPr>
      <w:rPr>
        <w:rFonts w:hint="default"/>
        <w:color w:val="365F91" w:themeColor="accent1" w:themeShade="BF"/>
      </w:rPr>
    </w:lvl>
    <w:lvl w:ilvl="7">
      <w:start w:val="1"/>
      <w:numFmt w:val="decimal"/>
      <w:lvlText w:val="%1.%2.%3.%4.%5.%6.%7.%8"/>
      <w:lvlJc w:val="left"/>
      <w:pPr>
        <w:ind w:left="1800" w:hanging="1800"/>
      </w:pPr>
      <w:rPr>
        <w:rFonts w:hint="default"/>
        <w:color w:val="365F91" w:themeColor="accent1" w:themeShade="BF"/>
      </w:rPr>
    </w:lvl>
    <w:lvl w:ilvl="8">
      <w:start w:val="1"/>
      <w:numFmt w:val="decimal"/>
      <w:lvlText w:val="%1.%2.%3.%4.%5.%6.%7.%8.%9"/>
      <w:lvlJc w:val="left"/>
      <w:pPr>
        <w:ind w:left="1800" w:hanging="1800"/>
      </w:pPr>
      <w:rPr>
        <w:rFonts w:hint="default"/>
        <w:color w:val="365F91" w:themeColor="accent1" w:themeShade="BF"/>
      </w:rPr>
    </w:lvl>
  </w:abstractNum>
  <w:abstractNum w:abstractNumId="2">
    <w:nsid w:val="08F01581"/>
    <w:multiLevelType w:val="multilevel"/>
    <w:tmpl w:val="32287F18"/>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C362493"/>
    <w:multiLevelType w:val="hybridMultilevel"/>
    <w:tmpl w:val="CE9A9F44"/>
    <w:lvl w:ilvl="0" w:tplc="711CD72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00780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438029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6A457F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BA5FA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A6AE5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460034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846BD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3703C6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nsid w:val="0EF45058"/>
    <w:multiLevelType w:val="hybridMultilevel"/>
    <w:tmpl w:val="0D247650"/>
    <w:lvl w:ilvl="0" w:tplc="7896A1CA">
      <w:start w:val="1"/>
      <w:numFmt w:val="decimal"/>
      <w:lvlText w:val="%1."/>
      <w:lvlJc w:val="left"/>
      <w:pPr>
        <w:ind w:left="6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C88744">
      <w:start w:val="1"/>
      <w:numFmt w:val="lowerLetter"/>
      <w:lvlText w:val="%2"/>
      <w:lvlJc w:val="left"/>
      <w:pPr>
        <w:ind w:left="1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A92F64A">
      <w:start w:val="1"/>
      <w:numFmt w:val="lowerRoman"/>
      <w:lvlText w:val="%3"/>
      <w:lvlJc w:val="left"/>
      <w:pPr>
        <w:ind w:left="2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78658C6">
      <w:start w:val="1"/>
      <w:numFmt w:val="decimal"/>
      <w:lvlText w:val="%4"/>
      <w:lvlJc w:val="left"/>
      <w:pPr>
        <w:ind w:left="2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DA6D4E2">
      <w:start w:val="1"/>
      <w:numFmt w:val="lowerLetter"/>
      <w:lvlText w:val="%5"/>
      <w:lvlJc w:val="left"/>
      <w:pPr>
        <w:ind w:left="3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86676C8">
      <w:start w:val="1"/>
      <w:numFmt w:val="lowerRoman"/>
      <w:lvlText w:val="%6"/>
      <w:lvlJc w:val="left"/>
      <w:pPr>
        <w:ind w:left="4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F303E3E">
      <w:start w:val="1"/>
      <w:numFmt w:val="decimal"/>
      <w:lvlText w:val="%7"/>
      <w:lvlJc w:val="left"/>
      <w:pPr>
        <w:ind w:left="4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3A6EBCA">
      <w:start w:val="1"/>
      <w:numFmt w:val="lowerLetter"/>
      <w:lvlText w:val="%8"/>
      <w:lvlJc w:val="left"/>
      <w:pPr>
        <w:ind w:left="56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FA324A">
      <w:start w:val="1"/>
      <w:numFmt w:val="lowerRoman"/>
      <w:lvlText w:val="%9"/>
      <w:lvlJc w:val="left"/>
      <w:pPr>
        <w:ind w:left="6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nsid w:val="0FA729FA"/>
    <w:multiLevelType w:val="hybridMultilevel"/>
    <w:tmpl w:val="44DC1E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944EEA"/>
    <w:multiLevelType w:val="hybridMultilevel"/>
    <w:tmpl w:val="55CCC61A"/>
    <w:lvl w:ilvl="0" w:tplc="80FA88A2">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CC6D2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A0E6C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68D89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D46C9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8C2B3C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78BF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18880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0F069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nsid w:val="145F3075"/>
    <w:multiLevelType w:val="hybridMultilevel"/>
    <w:tmpl w:val="6728FB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CD4289"/>
    <w:multiLevelType w:val="multilevel"/>
    <w:tmpl w:val="70E2E856"/>
    <w:lvl w:ilvl="0">
      <w:start w:val="1"/>
      <w:numFmt w:val="decimal"/>
      <w:lvlText w:val="%1"/>
      <w:lvlJc w:val="left"/>
      <w:pPr>
        <w:ind w:left="405" w:hanging="40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3BC143F"/>
    <w:multiLevelType w:val="hybridMultilevel"/>
    <w:tmpl w:val="D5129550"/>
    <w:lvl w:ilvl="0" w:tplc="8C6EBC96">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BAC8F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36714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87E92B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C6A81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FE663A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CABF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CC0DE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1CC5A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nsid w:val="2AC5743E"/>
    <w:multiLevelType w:val="hybridMultilevel"/>
    <w:tmpl w:val="A46AE860"/>
    <w:lvl w:ilvl="0" w:tplc="4970DBE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804EA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BA46C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2E9A6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A2C98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86BD4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D4046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5E46B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68EE2E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nsid w:val="2D374411"/>
    <w:multiLevelType w:val="hybridMultilevel"/>
    <w:tmpl w:val="10ECA970"/>
    <w:lvl w:ilvl="0" w:tplc="A88C9302">
      <w:start w:val="1"/>
      <w:numFmt w:val="decimal"/>
      <w:lvlText w:val="%1."/>
      <w:lvlJc w:val="left"/>
      <w:pPr>
        <w:ind w:left="7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1A28FD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AD04A5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9EA1668">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78E2F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6CEEC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324A2D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818F21A">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EAAFDB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nsid w:val="36092B03"/>
    <w:multiLevelType w:val="hybridMultilevel"/>
    <w:tmpl w:val="AB4CF414"/>
    <w:lvl w:ilvl="0" w:tplc="3F76262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C417F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B02135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28C20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626BD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AACEC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78FD8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02925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288D3D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nsid w:val="3CB831AB"/>
    <w:multiLevelType w:val="hybridMultilevel"/>
    <w:tmpl w:val="4A18F7F8"/>
    <w:lvl w:ilvl="0" w:tplc="B12A05F8">
      <w:start w:val="1"/>
      <w:numFmt w:val="bullet"/>
      <w:lvlText w:val="•"/>
      <w:lvlJc w:val="left"/>
      <w:pPr>
        <w:ind w:left="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058C4E2">
      <w:start w:val="1"/>
      <w:numFmt w:val="bullet"/>
      <w:lvlText w:val="o"/>
      <w:lvlJc w:val="left"/>
      <w:pPr>
        <w:ind w:left="11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86ECB66">
      <w:start w:val="1"/>
      <w:numFmt w:val="bullet"/>
      <w:lvlText w:val="▪"/>
      <w:lvlJc w:val="left"/>
      <w:pPr>
        <w:ind w:left="18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DE6998">
      <w:start w:val="1"/>
      <w:numFmt w:val="bullet"/>
      <w:lvlText w:val="•"/>
      <w:lvlJc w:val="left"/>
      <w:pPr>
        <w:ind w:left="25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081C34">
      <w:start w:val="1"/>
      <w:numFmt w:val="bullet"/>
      <w:lvlText w:val="o"/>
      <w:lvlJc w:val="left"/>
      <w:pPr>
        <w:ind w:left="32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BE613E">
      <w:start w:val="1"/>
      <w:numFmt w:val="bullet"/>
      <w:lvlText w:val="▪"/>
      <w:lvlJc w:val="left"/>
      <w:pPr>
        <w:ind w:left="40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55C1D54">
      <w:start w:val="1"/>
      <w:numFmt w:val="bullet"/>
      <w:lvlText w:val="•"/>
      <w:lvlJc w:val="left"/>
      <w:pPr>
        <w:ind w:left="47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F821096">
      <w:start w:val="1"/>
      <w:numFmt w:val="bullet"/>
      <w:lvlText w:val="o"/>
      <w:lvlJc w:val="left"/>
      <w:pPr>
        <w:ind w:left="54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EE1500">
      <w:start w:val="1"/>
      <w:numFmt w:val="bullet"/>
      <w:lvlText w:val="▪"/>
      <w:lvlJc w:val="left"/>
      <w:pPr>
        <w:ind w:left="6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nsid w:val="40AF32D3"/>
    <w:multiLevelType w:val="hybridMultilevel"/>
    <w:tmpl w:val="0B3659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6C075D5"/>
    <w:multiLevelType w:val="hybridMultilevel"/>
    <w:tmpl w:val="6F48A3B2"/>
    <w:lvl w:ilvl="0" w:tplc="62327F0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FACD3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B08B4A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7E1E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34091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37205A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AE80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92B5F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DBC917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nsid w:val="49F32E17"/>
    <w:multiLevelType w:val="hybridMultilevel"/>
    <w:tmpl w:val="C818E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2C329E"/>
    <w:multiLevelType w:val="hybridMultilevel"/>
    <w:tmpl w:val="277407F0"/>
    <w:lvl w:ilvl="0" w:tplc="0048055C">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E89C5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EE5BF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B7401C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560EA7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609C2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40AC7F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705F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2A41EF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nsid w:val="50B331D5"/>
    <w:multiLevelType w:val="hybridMultilevel"/>
    <w:tmpl w:val="01E4CF6C"/>
    <w:lvl w:ilvl="0" w:tplc="056A257E">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48F45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3A67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E07D9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DC4AD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04B0E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0AC5B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B6F2A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245D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nsid w:val="55A43CEC"/>
    <w:multiLevelType w:val="hybridMultilevel"/>
    <w:tmpl w:val="434C477A"/>
    <w:lvl w:ilvl="0" w:tplc="A92CA0C6">
      <w:start w:val="1"/>
      <w:numFmt w:val="decimal"/>
      <w:lvlText w:val="%1."/>
      <w:lvlJc w:val="left"/>
      <w:pPr>
        <w:ind w:left="9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13A6DE2">
      <w:start w:val="1"/>
      <w:numFmt w:val="bullet"/>
      <w:lvlText w:val="•"/>
      <w:lvlJc w:val="left"/>
      <w:pPr>
        <w:ind w:left="1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9C0891C">
      <w:start w:val="1"/>
      <w:numFmt w:val="bullet"/>
      <w:lvlText w:val="▪"/>
      <w:lvlJc w:val="left"/>
      <w:pPr>
        <w:ind w:left="2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B422930">
      <w:start w:val="1"/>
      <w:numFmt w:val="bullet"/>
      <w:lvlText w:val="•"/>
      <w:lvlJc w:val="left"/>
      <w:pPr>
        <w:ind w:left="3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1ADE84">
      <w:start w:val="1"/>
      <w:numFmt w:val="bullet"/>
      <w:lvlText w:val="o"/>
      <w:lvlJc w:val="left"/>
      <w:pPr>
        <w:ind w:left="37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8CE3B3E">
      <w:start w:val="1"/>
      <w:numFmt w:val="bullet"/>
      <w:lvlText w:val="▪"/>
      <w:lvlJc w:val="left"/>
      <w:pPr>
        <w:ind w:left="4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FA12DA">
      <w:start w:val="1"/>
      <w:numFmt w:val="bullet"/>
      <w:lvlText w:val="•"/>
      <w:lvlJc w:val="left"/>
      <w:pPr>
        <w:ind w:left="52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D2F798">
      <w:start w:val="1"/>
      <w:numFmt w:val="bullet"/>
      <w:lvlText w:val="o"/>
      <w:lvlJc w:val="left"/>
      <w:pPr>
        <w:ind w:left="59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CAB9BE">
      <w:start w:val="1"/>
      <w:numFmt w:val="bullet"/>
      <w:lvlText w:val="▪"/>
      <w:lvlJc w:val="left"/>
      <w:pPr>
        <w:ind w:left="66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nsid w:val="58993C3C"/>
    <w:multiLevelType w:val="hybridMultilevel"/>
    <w:tmpl w:val="202A426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A5957EC"/>
    <w:multiLevelType w:val="hybridMultilevel"/>
    <w:tmpl w:val="86780D0A"/>
    <w:lvl w:ilvl="0" w:tplc="85F45DD6">
      <w:start w:val="1"/>
      <w:numFmt w:val="bullet"/>
      <w:lvlText w:val="•"/>
      <w:lvlJc w:val="left"/>
      <w:pPr>
        <w:ind w:left="70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376EC90C">
      <w:start w:val="1"/>
      <w:numFmt w:val="bullet"/>
      <w:lvlText w:val="o"/>
      <w:lvlJc w:val="left"/>
      <w:pPr>
        <w:ind w:left="145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61045FA2">
      <w:start w:val="1"/>
      <w:numFmt w:val="bullet"/>
      <w:lvlText w:val="▪"/>
      <w:lvlJc w:val="left"/>
      <w:pPr>
        <w:ind w:left="217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6280448C">
      <w:start w:val="1"/>
      <w:numFmt w:val="bullet"/>
      <w:lvlText w:val="•"/>
      <w:lvlJc w:val="left"/>
      <w:pPr>
        <w:ind w:left="289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1B620572">
      <w:start w:val="1"/>
      <w:numFmt w:val="bullet"/>
      <w:lvlText w:val="o"/>
      <w:lvlJc w:val="left"/>
      <w:pPr>
        <w:ind w:left="361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4D7858BA">
      <w:start w:val="1"/>
      <w:numFmt w:val="bullet"/>
      <w:lvlText w:val="▪"/>
      <w:lvlJc w:val="left"/>
      <w:pPr>
        <w:ind w:left="433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29BA2194">
      <w:start w:val="1"/>
      <w:numFmt w:val="bullet"/>
      <w:lvlText w:val="•"/>
      <w:lvlJc w:val="left"/>
      <w:pPr>
        <w:ind w:left="505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A8DA559A">
      <w:start w:val="1"/>
      <w:numFmt w:val="bullet"/>
      <w:lvlText w:val="o"/>
      <w:lvlJc w:val="left"/>
      <w:pPr>
        <w:ind w:left="577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6CAEE824">
      <w:start w:val="1"/>
      <w:numFmt w:val="bullet"/>
      <w:lvlText w:val="▪"/>
      <w:lvlJc w:val="left"/>
      <w:pPr>
        <w:ind w:left="649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22">
    <w:nsid w:val="6EA04BC9"/>
    <w:multiLevelType w:val="multilevel"/>
    <w:tmpl w:val="5AE47636"/>
    <w:lvl w:ilvl="0">
      <w:start w:val="2"/>
      <w:numFmt w:val="decimal"/>
      <w:lvlText w:val="%1"/>
      <w:lvlJc w:val="left"/>
      <w:pPr>
        <w:ind w:left="645" w:hanging="645"/>
      </w:pPr>
      <w:rPr>
        <w:rFonts w:hint="default"/>
      </w:rPr>
    </w:lvl>
    <w:lvl w:ilvl="1">
      <w:start w:val="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6F3F1B32"/>
    <w:multiLevelType w:val="hybridMultilevel"/>
    <w:tmpl w:val="E8F6A6DC"/>
    <w:lvl w:ilvl="0" w:tplc="DF1A7722">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CE2CA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8760D4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7428B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46609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AEB8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FEB3C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B6F52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340EF5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nsid w:val="75EE6AB8"/>
    <w:multiLevelType w:val="multilevel"/>
    <w:tmpl w:val="BACCC8AC"/>
    <w:lvl w:ilvl="0">
      <w:start w:val="2"/>
      <w:numFmt w:val="decimal"/>
      <w:lvlText w:val="%1"/>
      <w:lvlJc w:val="left"/>
      <w:pPr>
        <w:ind w:left="645" w:hanging="645"/>
      </w:pPr>
      <w:rPr>
        <w:rFonts w:hint="default"/>
      </w:rPr>
    </w:lvl>
    <w:lvl w:ilvl="1">
      <w:start w:val="5"/>
      <w:numFmt w:val="decimal"/>
      <w:lvlText w:val="%1.%2"/>
      <w:lvlJc w:val="left"/>
      <w:pPr>
        <w:ind w:left="645" w:hanging="64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775F4D91"/>
    <w:multiLevelType w:val="hybridMultilevel"/>
    <w:tmpl w:val="0712BCB8"/>
    <w:lvl w:ilvl="0" w:tplc="73EEFF14">
      <w:start w:val="1"/>
      <w:numFmt w:val="bullet"/>
      <w:lvlText w:val="•"/>
      <w:lvlJc w:val="left"/>
      <w:pPr>
        <w:ind w:left="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16C542">
      <w:start w:val="1"/>
      <w:numFmt w:val="bullet"/>
      <w:lvlText w:val="o"/>
      <w:lvlJc w:val="left"/>
      <w:pPr>
        <w:ind w:left="1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70DD86">
      <w:start w:val="1"/>
      <w:numFmt w:val="bullet"/>
      <w:lvlText w:val="▪"/>
      <w:lvlJc w:val="left"/>
      <w:pPr>
        <w:ind w:left="2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2C145A">
      <w:start w:val="1"/>
      <w:numFmt w:val="bullet"/>
      <w:lvlText w:val="•"/>
      <w:lvlJc w:val="left"/>
      <w:pPr>
        <w:ind w:left="2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02F220">
      <w:start w:val="1"/>
      <w:numFmt w:val="bullet"/>
      <w:lvlText w:val="o"/>
      <w:lvlJc w:val="left"/>
      <w:pPr>
        <w:ind w:left="3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9D00FEE">
      <w:start w:val="1"/>
      <w:numFmt w:val="bullet"/>
      <w:lvlText w:val="▪"/>
      <w:lvlJc w:val="left"/>
      <w:pPr>
        <w:ind w:left="4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216499A">
      <w:start w:val="1"/>
      <w:numFmt w:val="bullet"/>
      <w:lvlText w:val="•"/>
      <w:lvlJc w:val="left"/>
      <w:pPr>
        <w:ind w:left="49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7E0CC2">
      <w:start w:val="1"/>
      <w:numFmt w:val="bullet"/>
      <w:lvlText w:val="o"/>
      <w:lvlJc w:val="left"/>
      <w:pPr>
        <w:ind w:left="57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1045BE">
      <w:start w:val="1"/>
      <w:numFmt w:val="bullet"/>
      <w:lvlText w:val="▪"/>
      <w:lvlJc w:val="left"/>
      <w:pPr>
        <w:ind w:left="6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nsid w:val="795C1CCC"/>
    <w:multiLevelType w:val="multilevel"/>
    <w:tmpl w:val="E0FEFF40"/>
    <w:lvl w:ilvl="0">
      <w:start w:val="1"/>
      <w:numFmt w:val="decimal"/>
      <w:lvlText w:val="%1"/>
      <w:lvlJc w:val="left"/>
      <w:pPr>
        <w:ind w:left="405" w:hanging="405"/>
      </w:pPr>
      <w:rPr>
        <w:rFonts w:hint="default"/>
      </w:rPr>
    </w:lvl>
    <w:lvl w:ilvl="1">
      <w:start w:val="3"/>
      <w:numFmt w:val="decimal"/>
      <w:lvlText w:val="%1.%2"/>
      <w:lvlJc w:val="left"/>
      <w:pPr>
        <w:ind w:left="1185" w:hanging="720"/>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2475" w:hanging="1080"/>
      </w:pPr>
      <w:rPr>
        <w:rFonts w:hint="default"/>
      </w:rPr>
    </w:lvl>
    <w:lvl w:ilvl="4">
      <w:start w:val="1"/>
      <w:numFmt w:val="decimal"/>
      <w:lvlText w:val="%1.%2.%3.%4.%5"/>
      <w:lvlJc w:val="left"/>
      <w:pPr>
        <w:ind w:left="3300" w:hanging="1440"/>
      </w:pPr>
      <w:rPr>
        <w:rFonts w:hint="default"/>
      </w:rPr>
    </w:lvl>
    <w:lvl w:ilvl="5">
      <w:start w:val="1"/>
      <w:numFmt w:val="decimal"/>
      <w:lvlText w:val="%1.%2.%3.%4.%5.%6"/>
      <w:lvlJc w:val="left"/>
      <w:pPr>
        <w:ind w:left="3765" w:hanging="1440"/>
      </w:pPr>
      <w:rPr>
        <w:rFonts w:hint="default"/>
      </w:rPr>
    </w:lvl>
    <w:lvl w:ilvl="6">
      <w:start w:val="1"/>
      <w:numFmt w:val="decimal"/>
      <w:lvlText w:val="%1.%2.%3.%4.%5.%6.%7"/>
      <w:lvlJc w:val="left"/>
      <w:pPr>
        <w:ind w:left="4590" w:hanging="1800"/>
      </w:pPr>
      <w:rPr>
        <w:rFonts w:hint="default"/>
      </w:rPr>
    </w:lvl>
    <w:lvl w:ilvl="7">
      <w:start w:val="1"/>
      <w:numFmt w:val="decimal"/>
      <w:lvlText w:val="%1.%2.%3.%4.%5.%6.%7.%8"/>
      <w:lvlJc w:val="left"/>
      <w:pPr>
        <w:ind w:left="5055" w:hanging="1800"/>
      </w:pPr>
      <w:rPr>
        <w:rFonts w:hint="default"/>
      </w:rPr>
    </w:lvl>
    <w:lvl w:ilvl="8">
      <w:start w:val="1"/>
      <w:numFmt w:val="decimal"/>
      <w:lvlText w:val="%1.%2.%3.%4.%5.%6.%7.%8.%9"/>
      <w:lvlJc w:val="left"/>
      <w:pPr>
        <w:ind w:left="5880" w:hanging="2160"/>
      </w:pPr>
      <w:rPr>
        <w:rFonts w:hint="default"/>
      </w:rPr>
    </w:lvl>
  </w:abstractNum>
  <w:abstractNum w:abstractNumId="27">
    <w:nsid w:val="7E6A6EC5"/>
    <w:multiLevelType w:val="hybridMultilevel"/>
    <w:tmpl w:val="A7284BD2"/>
    <w:lvl w:ilvl="0" w:tplc="0424108E">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5EA7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99C970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5986A7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EA571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A72DF1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2072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20148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8189CE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nsid w:val="7FD97759"/>
    <w:multiLevelType w:val="multilevel"/>
    <w:tmpl w:val="C03AEF7A"/>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3"/>
  </w:num>
  <w:num w:numId="2">
    <w:abstractNumId w:val="13"/>
  </w:num>
  <w:num w:numId="3">
    <w:abstractNumId w:val="6"/>
  </w:num>
  <w:num w:numId="4">
    <w:abstractNumId w:val="16"/>
  </w:num>
  <w:num w:numId="5">
    <w:abstractNumId w:val="15"/>
  </w:num>
  <w:num w:numId="6">
    <w:abstractNumId w:val="10"/>
  </w:num>
  <w:num w:numId="7">
    <w:abstractNumId w:val="12"/>
  </w:num>
  <w:num w:numId="8">
    <w:abstractNumId w:val="27"/>
  </w:num>
  <w:num w:numId="9">
    <w:abstractNumId w:val="3"/>
  </w:num>
  <w:num w:numId="10">
    <w:abstractNumId w:val="18"/>
  </w:num>
  <w:num w:numId="11">
    <w:abstractNumId w:val="9"/>
  </w:num>
  <w:num w:numId="12">
    <w:abstractNumId w:val="0"/>
  </w:num>
  <w:num w:numId="13">
    <w:abstractNumId w:val="17"/>
  </w:num>
  <w:num w:numId="14">
    <w:abstractNumId w:val="19"/>
  </w:num>
  <w:num w:numId="15">
    <w:abstractNumId w:val="11"/>
  </w:num>
  <w:num w:numId="16">
    <w:abstractNumId w:val="4"/>
  </w:num>
  <w:num w:numId="17">
    <w:abstractNumId w:val="25"/>
  </w:num>
  <w:num w:numId="18">
    <w:abstractNumId w:val="21"/>
  </w:num>
  <w:num w:numId="19">
    <w:abstractNumId w:val="24"/>
  </w:num>
  <w:num w:numId="20">
    <w:abstractNumId w:val="22"/>
  </w:num>
  <w:num w:numId="21">
    <w:abstractNumId w:val="1"/>
  </w:num>
  <w:num w:numId="22">
    <w:abstractNumId w:val="28"/>
  </w:num>
  <w:num w:numId="23">
    <w:abstractNumId w:val="2"/>
  </w:num>
  <w:num w:numId="24">
    <w:abstractNumId w:val="26"/>
  </w:num>
  <w:num w:numId="25">
    <w:abstractNumId w:val="8"/>
  </w:num>
  <w:num w:numId="26">
    <w:abstractNumId w:val="7"/>
  </w:num>
  <w:num w:numId="27">
    <w:abstractNumId w:val="5"/>
  </w:num>
  <w:num w:numId="28">
    <w:abstractNumId w:val="20"/>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CwMDYxMzQ3Njc3NjRQ0lEKTi0uzszPAykwqgUABsSWCCwAAAA="/>
  </w:docVars>
  <w:rsids>
    <w:rsidRoot w:val="00F551DD"/>
    <w:rsid w:val="00003A48"/>
    <w:rsid w:val="0000484A"/>
    <w:rsid w:val="00007BDB"/>
    <w:rsid w:val="00016E0F"/>
    <w:rsid w:val="000444EE"/>
    <w:rsid w:val="0004638A"/>
    <w:rsid w:val="00046981"/>
    <w:rsid w:val="00051A12"/>
    <w:rsid w:val="00053914"/>
    <w:rsid w:val="000609DB"/>
    <w:rsid w:val="0007183A"/>
    <w:rsid w:val="00077DD5"/>
    <w:rsid w:val="00081C2F"/>
    <w:rsid w:val="0009598E"/>
    <w:rsid w:val="000B1FE9"/>
    <w:rsid w:val="000C0A98"/>
    <w:rsid w:val="00116D55"/>
    <w:rsid w:val="001268FC"/>
    <w:rsid w:val="00132F6F"/>
    <w:rsid w:val="001422CD"/>
    <w:rsid w:val="00172950"/>
    <w:rsid w:val="00174FBA"/>
    <w:rsid w:val="00191F8A"/>
    <w:rsid w:val="00196A50"/>
    <w:rsid w:val="001A01AF"/>
    <w:rsid w:val="001A3BD0"/>
    <w:rsid w:val="001B46CB"/>
    <w:rsid w:val="001B5587"/>
    <w:rsid w:val="001C5B30"/>
    <w:rsid w:val="001D5765"/>
    <w:rsid w:val="00212C85"/>
    <w:rsid w:val="00236342"/>
    <w:rsid w:val="00236E9A"/>
    <w:rsid w:val="002557C9"/>
    <w:rsid w:val="00255D5B"/>
    <w:rsid w:val="00290491"/>
    <w:rsid w:val="002A1451"/>
    <w:rsid w:val="002A4226"/>
    <w:rsid w:val="00307567"/>
    <w:rsid w:val="00312A2B"/>
    <w:rsid w:val="003211C4"/>
    <w:rsid w:val="00323C6B"/>
    <w:rsid w:val="00327C8A"/>
    <w:rsid w:val="003300BC"/>
    <w:rsid w:val="003429E1"/>
    <w:rsid w:val="00353048"/>
    <w:rsid w:val="00361411"/>
    <w:rsid w:val="00370E24"/>
    <w:rsid w:val="003A23FB"/>
    <w:rsid w:val="003A3810"/>
    <w:rsid w:val="003A4A5F"/>
    <w:rsid w:val="003C045D"/>
    <w:rsid w:val="003D0B01"/>
    <w:rsid w:val="003E4DBB"/>
    <w:rsid w:val="003E59E6"/>
    <w:rsid w:val="003F1E5E"/>
    <w:rsid w:val="0041387E"/>
    <w:rsid w:val="00424A38"/>
    <w:rsid w:val="0045594C"/>
    <w:rsid w:val="00476657"/>
    <w:rsid w:val="004A2526"/>
    <w:rsid w:val="004A4A28"/>
    <w:rsid w:val="004C7C2E"/>
    <w:rsid w:val="004D12A1"/>
    <w:rsid w:val="004E44F9"/>
    <w:rsid w:val="004F17B3"/>
    <w:rsid w:val="004F236C"/>
    <w:rsid w:val="005042EC"/>
    <w:rsid w:val="00526278"/>
    <w:rsid w:val="0057278E"/>
    <w:rsid w:val="00587203"/>
    <w:rsid w:val="005966E4"/>
    <w:rsid w:val="005C38DE"/>
    <w:rsid w:val="005D2D27"/>
    <w:rsid w:val="005E2D4B"/>
    <w:rsid w:val="005F1122"/>
    <w:rsid w:val="005F3DC5"/>
    <w:rsid w:val="00600F3A"/>
    <w:rsid w:val="006046DE"/>
    <w:rsid w:val="006049B4"/>
    <w:rsid w:val="00610290"/>
    <w:rsid w:val="0065097F"/>
    <w:rsid w:val="00652474"/>
    <w:rsid w:val="00655C77"/>
    <w:rsid w:val="00687069"/>
    <w:rsid w:val="006A02CD"/>
    <w:rsid w:val="006A0A40"/>
    <w:rsid w:val="006B622F"/>
    <w:rsid w:val="006C7B4B"/>
    <w:rsid w:val="006D0978"/>
    <w:rsid w:val="006E0615"/>
    <w:rsid w:val="006E0B53"/>
    <w:rsid w:val="006F7CDE"/>
    <w:rsid w:val="00707D11"/>
    <w:rsid w:val="00712950"/>
    <w:rsid w:val="0072143E"/>
    <w:rsid w:val="00721718"/>
    <w:rsid w:val="00724E8C"/>
    <w:rsid w:val="00732CCB"/>
    <w:rsid w:val="00732D27"/>
    <w:rsid w:val="00754EFA"/>
    <w:rsid w:val="00781238"/>
    <w:rsid w:val="00787990"/>
    <w:rsid w:val="007901FD"/>
    <w:rsid w:val="00795993"/>
    <w:rsid w:val="007D1F1E"/>
    <w:rsid w:val="007D6399"/>
    <w:rsid w:val="007D6D70"/>
    <w:rsid w:val="007E0DA5"/>
    <w:rsid w:val="007F5C73"/>
    <w:rsid w:val="00815DA5"/>
    <w:rsid w:val="00830A9F"/>
    <w:rsid w:val="00841D3A"/>
    <w:rsid w:val="008504C1"/>
    <w:rsid w:val="00851DA0"/>
    <w:rsid w:val="008565B8"/>
    <w:rsid w:val="00874356"/>
    <w:rsid w:val="00874ADD"/>
    <w:rsid w:val="00877C69"/>
    <w:rsid w:val="00882048"/>
    <w:rsid w:val="0089633E"/>
    <w:rsid w:val="008B628C"/>
    <w:rsid w:val="008C2D73"/>
    <w:rsid w:val="008C4595"/>
    <w:rsid w:val="008D3161"/>
    <w:rsid w:val="008E2125"/>
    <w:rsid w:val="009209A1"/>
    <w:rsid w:val="009346E7"/>
    <w:rsid w:val="00934F24"/>
    <w:rsid w:val="00955689"/>
    <w:rsid w:val="00972427"/>
    <w:rsid w:val="00973544"/>
    <w:rsid w:val="009742E0"/>
    <w:rsid w:val="009779F9"/>
    <w:rsid w:val="00981F4B"/>
    <w:rsid w:val="009A4E2C"/>
    <w:rsid w:val="009B1661"/>
    <w:rsid w:val="009C25A5"/>
    <w:rsid w:val="009C5AAE"/>
    <w:rsid w:val="009C6580"/>
    <w:rsid w:val="009D4388"/>
    <w:rsid w:val="00A0046C"/>
    <w:rsid w:val="00A01869"/>
    <w:rsid w:val="00A068F7"/>
    <w:rsid w:val="00A11C89"/>
    <w:rsid w:val="00A11CD4"/>
    <w:rsid w:val="00A234E9"/>
    <w:rsid w:val="00A270B2"/>
    <w:rsid w:val="00A53415"/>
    <w:rsid w:val="00A6240D"/>
    <w:rsid w:val="00A63C6D"/>
    <w:rsid w:val="00A63EAA"/>
    <w:rsid w:val="00A70634"/>
    <w:rsid w:val="00A745FE"/>
    <w:rsid w:val="00A75E19"/>
    <w:rsid w:val="00A817BE"/>
    <w:rsid w:val="00A8224D"/>
    <w:rsid w:val="00A82305"/>
    <w:rsid w:val="00AA4F47"/>
    <w:rsid w:val="00AA4F64"/>
    <w:rsid w:val="00AA7FF4"/>
    <w:rsid w:val="00AE4B1B"/>
    <w:rsid w:val="00B0409C"/>
    <w:rsid w:val="00B06B79"/>
    <w:rsid w:val="00B254DA"/>
    <w:rsid w:val="00B300DE"/>
    <w:rsid w:val="00B34D36"/>
    <w:rsid w:val="00B457AF"/>
    <w:rsid w:val="00B727DA"/>
    <w:rsid w:val="00B84076"/>
    <w:rsid w:val="00B95E50"/>
    <w:rsid w:val="00BA7AFC"/>
    <w:rsid w:val="00BB086D"/>
    <w:rsid w:val="00BC7974"/>
    <w:rsid w:val="00C00117"/>
    <w:rsid w:val="00C367E4"/>
    <w:rsid w:val="00C447A4"/>
    <w:rsid w:val="00C54FFD"/>
    <w:rsid w:val="00C61725"/>
    <w:rsid w:val="00C627E3"/>
    <w:rsid w:val="00C63245"/>
    <w:rsid w:val="00C65863"/>
    <w:rsid w:val="00C80B12"/>
    <w:rsid w:val="00C87A0B"/>
    <w:rsid w:val="00CB2AC6"/>
    <w:rsid w:val="00CC2C3F"/>
    <w:rsid w:val="00CE0578"/>
    <w:rsid w:val="00CE10E5"/>
    <w:rsid w:val="00CF0641"/>
    <w:rsid w:val="00D009F2"/>
    <w:rsid w:val="00D20D8C"/>
    <w:rsid w:val="00D21CBA"/>
    <w:rsid w:val="00D2308B"/>
    <w:rsid w:val="00D3017E"/>
    <w:rsid w:val="00D37EAB"/>
    <w:rsid w:val="00D748F6"/>
    <w:rsid w:val="00D90713"/>
    <w:rsid w:val="00DC7158"/>
    <w:rsid w:val="00DD4427"/>
    <w:rsid w:val="00DE7016"/>
    <w:rsid w:val="00E0137A"/>
    <w:rsid w:val="00E42250"/>
    <w:rsid w:val="00E500AC"/>
    <w:rsid w:val="00E54F6D"/>
    <w:rsid w:val="00E60542"/>
    <w:rsid w:val="00E649F9"/>
    <w:rsid w:val="00E66F36"/>
    <w:rsid w:val="00E73066"/>
    <w:rsid w:val="00E758AE"/>
    <w:rsid w:val="00E77359"/>
    <w:rsid w:val="00E81E29"/>
    <w:rsid w:val="00E85135"/>
    <w:rsid w:val="00E9652F"/>
    <w:rsid w:val="00EC63EC"/>
    <w:rsid w:val="00ED28DE"/>
    <w:rsid w:val="00ED38E8"/>
    <w:rsid w:val="00ED4D27"/>
    <w:rsid w:val="00EF1292"/>
    <w:rsid w:val="00EF242D"/>
    <w:rsid w:val="00F0048B"/>
    <w:rsid w:val="00F14B6C"/>
    <w:rsid w:val="00F15B21"/>
    <w:rsid w:val="00F17204"/>
    <w:rsid w:val="00F31FDC"/>
    <w:rsid w:val="00F551DD"/>
    <w:rsid w:val="00F56D16"/>
    <w:rsid w:val="00F62DAB"/>
    <w:rsid w:val="00F65124"/>
    <w:rsid w:val="00F82367"/>
    <w:rsid w:val="00F82FB8"/>
    <w:rsid w:val="00F844A4"/>
    <w:rsid w:val="00F85624"/>
    <w:rsid w:val="00F86368"/>
    <w:rsid w:val="00F973F0"/>
    <w:rsid w:val="00FC25A2"/>
    <w:rsid w:val="00FC6C8F"/>
    <w:rsid w:val="00FD6BCC"/>
    <w:rsid w:val="00FD6C2E"/>
    <w:rsid w:val="00FE023A"/>
    <w:rsid w:val="00FF760D"/>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578"/>
    <w:pPr>
      <w:spacing w:after="160" w:line="259" w:lineRule="auto"/>
    </w:pPr>
  </w:style>
  <w:style w:type="paragraph" w:styleId="Heading1">
    <w:name w:val="heading 1"/>
    <w:basedOn w:val="Normal"/>
    <w:next w:val="Normal"/>
    <w:link w:val="Heading1Char"/>
    <w:uiPriority w:val="9"/>
    <w:qFormat/>
    <w:rsid w:val="00EF24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15DA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21CB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next w:val="Normal"/>
    <w:link w:val="Heading5Char"/>
    <w:uiPriority w:val="9"/>
    <w:unhideWhenUsed/>
    <w:qFormat/>
    <w:rsid w:val="008504C1"/>
    <w:pPr>
      <w:keepNext/>
      <w:keepLines/>
      <w:spacing w:after="0" w:line="259" w:lineRule="auto"/>
      <w:ind w:left="10" w:hanging="10"/>
      <w:outlineLvl w:val="4"/>
    </w:pPr>
    <w:rPr>
      <w:rFonts w:ascii="Calibri" w:eastAsia="Calibri" w:hAnsi="Calibri" w:cs="Calibri"/>
      <w:b/>
      <w:color w:val="984806"/>
      <w:sz w:val="28"/>
    </w:rPr>
  </w:style>
  <w:style w:type="paragraph" w:styleId="Heading6">
    <w:name w:val="heading 6"/>
    <w:basedOn w:val="Normal"/>
    <w:next w:val="Normal"/>
    <w:link w:val="Heading6Char"/>
    <w:uiPriority w:val="9"/>
    <w:semiHidden/>
    <w:unhideWhenUsed/>
    <w:qFormat/>
    <w:rsid w:val="008504C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4F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F64"/>
    <w:rPr>
      <w:rFonts w:ascii="Tahoma" w:hAnsi="Tahoma" w:cs="Tahoma"/>
      <w:sz w:val="16"/>
      <w:szCs w:val="16"/>
    </w:rPr>
  </w:style>
  <w:style w:type="paragraph" w:styleId="ListParagraph">
    <w:name w:val="List Paragraph"/>
    <w:basedOn w:val="Normal"/>
    <w:uiPriority w:val="34"/>
    <w:qFormat/>
    <w:rsid w:val="00610290"/>
    <w:pPr>
      <w:ind w:left="720"/>
      <w:contextualSpacing/>
    </w:pPr>
  </w:style>
  <w:style w:type="character" w:customStyle="1" w:styleId="Heading5Char">
    <w:name w:val="Heading 5 Char"/>
    <w:basedOn w:val="DefaultParagraphFont"/>
    <w:link w:val="Heading5"/>
    <w:uiPriority w:val="9"/>
    <w:rsid w:val="008504C1"/>
    <w:rPr>
      <w:rFonts w:ascii="Calibri" w:eastAsia="Calibri" w:hAnsi="Calibri" w:cs="Calibri"/>
      <w:b/>
      <w:color w:val="984806"/>
      <w:sz w:val="28"/>
    </w:rPr>
  </w:style>
  <w:style w:type="character" w:customStyle="1" w:styleId="Heading6Char">
    <w:name w:val="Heading 6 Char"/>
    <w:basedOn w:val="DefaultParagraphFont"/>
    <w:link w:val="Heading6"/>
    <w:uiPriority w:val="9"/>
    <w:semiHidden/>
    <w:rsid w:val="008504C1"/>
    <w:rPr>
      <w:rFonts w:asciiTheme="majorHAnsi" w:eastAsiaTheme="majorEastAsia" w:hAnsiTheme="majorHAnsi" w:cstheme="majorBidi"/>
      <w:i/>
      <w:iCs/>
      <w:color w:val="243F60" w:themeColor="accent1" w:themeShade="7F"/>
    </w:rPr>
  </w:style>
  <w:style w:type="table" w:customStyle="1" w:styleId="GridTable5Dark-Accent61">
    <w:name w:val="Grid Table 5 Dark - Accent 61"/>
    <w:basedOn w:val="TableNormal"/>
    <w:uiPriority w:val="50"/>
    <w:rsid w:val="00EF242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character" w:customStyle="1" w:styleId="Heading1Char">
    <w:name w:val="Heading 1 Char"/>
    <w:basedOn w:val="DefaultParagraphFont"/>
    <w:link w:val="Heading1"/>
    <w:uiPriority w:val="9"/>
    <w:rsid w:val="00EF242D"/>
    <w:rPr>
      <w:rFonts w:asciiTheme="majorHAnsi" w:eastAsiaTheme="majorEastAsia" w:hAnsiTheme="majorHAnsi" w:cstheme="majorBidi"/>
      <w:b/>
      <w:bCs/>
      <w:color w:val="365F91" w:themeColor="accent1" w:themeShade="BF"/>
      <w:sz w:val="28"/>
      <w:szCs w:val="28"/>
    </w:rPr>
  </w:style>
  <w:style w:type="table" w:customStyle="1" w:styleId="GridTable5Dark-Accent41">
    <w:name w:val="Grid Table 5 Dark - Accent 41"/>
    <w:basedOn w:val="TableNormal"/>
    <w:uiPriority w:val="50"/>
    <w:rsid w:val="0079599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paragraph" w:styleId="NoSpacing">
    <w:name w:val="No Spacing"/>
    <w:uiPriority w:val="1"/>
    <w:qFormat/>
    <w:rsid w:val="00795993"/>
    <w:pPr>
      <w:spacing w:after="0" w:line="240" w:lineRule="auto"/>
    </w:pPr>
  </w:style>
  <w:style w:type="table" w:customStyle="1" w:styleId="GridTable5Dark-Accent11">
    <w:name w:val="Grid Table 5 Dark - Accent 11"/>
    <w:basedOn w:val="TableNormal"/>
    <w:uiPriority w:val="50"/>
    <w:rsid w:val="0079599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31">
    <w:name w:val="Grid Table 5 Dark - Accent 31"/>
    <w:basedOn w:val="TableNormal"/>
    <w:uiPriority w:val="50"/>
    <w:rsid w:val="00600F3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21">
    <w:name w:val="Grid Table 5 Dark - Accent 21"/>
    <w:basedOn w:val="TableNormal"/>
    <w:uiPriority w:val="50"/>
    <w:rsid w:val="00600F3A"/>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character" w:customStyle="1" w:styleId="Heading2Char">
    <w:name w:val="Heading 2 Char"/>
    <w:basedOn w:val="DefaultParagraphFont"/>
    <w:link w:val="Heading2"/>
    <w:uiPriority w:val="9"/>
    <w:rsid w:val="00815DA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D21CBA"/>
    <w:rPr>
      <w:rFonts w:asciiTheme="majorHAnsi" w:eastAsiaTheme="majorEastAsia" w:hAnsiTheme="majorHAnsi" w:cstheme="majorBidi"/>
      <w:color w:val="243F60" w:themeColor="accent1" w:themeShade="7F"/>
      <w:sz w:val="24"/>
      <w:szCs w:val="24"/>
    </w:rPr>
  </w:style>
  <w:style w:type="paragraph" w:styleId="Footer">
    <w:name w:val="footer"/>
    <w:basedOn w:val="Normal"/>
    <w:link w:val="FooterChar"/>
    <w:uiPriority w:val="99"/>
    <w:unhideWhenUsed/>
    <w:rsid w:val="00972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427"/>
  </w:style>
  <w:style w:type="paragraph" w:styleId="TOCHeading">
    <w:name w:val="TOC Heading"/>
    <w:basedOn w:val="Heading1"/>
    <w:next w:val="Normal"/>
    <w:uiPriority w:val="39"/>
    <w:unhideWhenUsed/>
    <w:qFormat/>
    <w:rsid w:val="00A745FE"/>
    <w:pPr>
      <w:spacing w:before="240"/>
      <w:outlineLvl w:val="9"/>
    </w:pPr>
    <w:rPr>
      <w:b w:val="0"/>
      <w:bCs w:val="0"/>
      <w:sz w:val="32"/>
      <w:szCs w:val="32"/>
    </w:rPr>
  </w:style>
  <w:style w:type="paragraph" w:styleId="TOC1">
    <w:name w:val="toc 1"/>
    <w:basedOn w:val="Normal"/>
    <w:next w:val="Normal"/>
    <w:autoRedefine/>
    <w:uiPriority w:val="39"/>
    <w:unhideWhenUsed/>
    <w:rsid w:val="00A745FE"/>
    <w:pPr>
      <w:spacing w:after="100"/>
    </w:pPr>
  </w:style>
  <w:style w:type="paragraph" w:styleId="TOC2">
    <w:name w:val="toc 2"/>
    <w:basedOn w:val="Normal"/>
    <w:next w:val="Normal"/>
    <w:autoRedefine/>
    <w:uiPriority w:val="39"/>
    <w:unhideWhenUsed/>
    <w:rsid w:val="00A745FE"/>
    <w:pPr>
      <w:spacing w:after="100"/>
      <w:ind w:left="220"/>
    </w:pPr>
  </w:style>
  <w:style w:type="paragraph" w:styleId="TOC3">
    <w:name w:val="toc 3"/>
    <w:basedOn w:val="Normal"/>
    <w:next w:val="Normal"/>
    <w:autoRedefine/>
    <w:uiPriority w:val="39"/>
    <w:unhideWhenUsed/>
    <w:rsid w:val="00A745FE"/>
    <w:pPr>
      <w:spacing w:after="100"/>
      <w:ind w:left="440"/>
    </w:pPr>
  </w:style>
  <w:style w:type="character" w:styleId="Hyperlink">
    <w:name w:val="Hyperlink"/>
    <w:basedOn w:val="DefaultParagraphFont"/>
    <w:uiPriority w:val="99"/>
    <w:unhideWhenUsed/>
    <w:rsid w:val="00A745FE"/>
    <w:rPr>
      <w:color w:val="0000FF" w:themeColor="hyperlink"/>
      <w:u w:val="single"/>
    </w:rPr>
  </w:style>
  <w:style w:type="table" w:styleId="TableGrid">
    <w:name w:val="Table Grid"/>
    <w:basedOn w:val="TableNormal"/>
    <w:uiPriority w:val="39"/>
    <w:rsid w:val="00D301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D37EAB"/>
    <w:rPr>
      <w:color w:val="808080"/>
    </w:rPr>
  </w:style>
  <w:style w:type="paragraph" w:customStyle="1" w:styleId="Default">
    <w:name w:val="Default"/>
    <w:rsid w:val="00307567"/>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01869"/>
    <w:rPr>
      <w:b/>
      <w:bCs/>
    </w:rPr>
  </w:style>
  <w:style w:type="character" w:customStyle="1" w:styleId="UnresolvedMention">
    <w:name w:val="Unresolved Mention"/>
    <w:basedOn w:val="DefaultParagraphFont"/>
    <w:uiPriority w:val="99"/>
    <w:semiHidden/>
    <w:unhideWhenUsed/>
    <w:rsid w:val="00AA4F4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578"/>
    <w:pPr>
      <w:spacing w:after="160" w:line="259" w:lineRule="auto"/>
    </w:pPr>
  </w:style>
  <w:style w:type="paragraph" w:styleId="Heading1">
    <w:name w:val="heading 1"/>
    <w:basedOn w:val="Normal"/>
    <w:next w:val="Normal"/>
    <w:link w:val="Heading1Char"/>
    <w:uiPriority w:val="9"/>
    <w:qFormat/>
    <w:rsid w:val="00EF24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15DA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21CB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next w:val="Normal"/>
    <w:link w:val="Heading5Char"/>
    <w:uiPriority w:val="9"/>
    <w:unhideWhenUsed/>
    <w:qFormat/>
    <w:rsid w:val="008504C1"/>
    <w:pPr>
      <w:keepNext/>
      <w:keepLines/>
      <w:spacing w:after="0" w:line="259" w:lineRule="auto"/>
      <w:ind w:left="10" w:hanging="10"/>
      <w:outlineLvl w:val="4"/>
    </w:pPr>
    <w:rPr>
      <w:rFonts w:ascii="Calibri" w:eastAsia="Calibri" w:hAnsi="Calibri" w:cs="Calibri"/>
      <w:b/>
      <w:color w:val="984806"/>
      <w:sz w:val="28"/>
    </w:rPr>
  </w:style>
  <w:style w:type="paragraph" w:styleId="Heading6">
    <w:name w:val="heading 6"/>
    <w:basedOn w:val="Normal"/>
    <w:next w:val="Normal"/>
    <w:link w:val="Heading6Char"/>
    <w:uiPriority w:val="9"/>
    <w:semiHidden/>
    <w:unhideWhenUsed/>
    <w:qFormat/>
    <w:rsid w:val="008504C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4F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F64"/>
    <w:rPr>
      <w:rFonts w:ascii="Tahoma" w:hAnsi="Tahoma" w:cs="Tahoma"/>
      <w:sz w:val="16"/>
      <w:szCs w:val="16"/>
    </w:rPr>
  </w:style>
  <w:style w:type="paragraph" w:styleId="ListParagraph">
    <w:name w:val="List Paragraph"/>
    <w:basedOn w:val="Normal"/>
    <w:uiPriority w:val="34"/>
    <w:qFormat/>
    <w:rsid w:val="00610290"/>
    <w:pPr>
      <w:ind w:left="720"/>
      <w:contextualSpacing/>
    </w:pPr>
  </w:style>
  <w:style w:type="character" w:customStyle="1" w:styleId="Heading5Char">
    <w:name w:val="Heading 5 Char"/>
    <w:basedOn w:val="DefaultParagraphFont"/>
    <w:link w:val="Heading5"/>
    <w:uiPriority w:val="9"/>
    <w:rsid w:val="008504C1"/>
    <w:rPr>
      <w:rFonts w:ascii="Calibri" w:eastAsia="Calibri" w:hAnsi="Calibri" w:cs="Calibri"/>
      <w:b/>
      <w:color w:val="984806"/>
      <w:sz w:val="28"/>
    </w:rPr>
  </w:style>
  <w:style w:type="character" w:customStyle="1" w:styleId="Heading6Char">
    <w:name w:val="Heading 6 Char"/>
    <w:basedOn w:val="DefaultParagraphFont"/>
    <w:link w:val="Heading6"/>
    <w:uiPriority w:val="9"/>
    <w:semiHidden/>
    <w:rsid w:val="008504C1"/>
    <w:rPr>
      <w:rFonts w:asciiTheme="majorHAnsi" w:eastAsiaTheme="majorEastAsia" w:hAnsiTheme="majorHAnsi" w:cstheme="majorBidi"/>
      <w:i/>
      <w:iCs/>
      <w:color w:val="243F60" w:themeColor="accent1" w:themeShade="7F"/>
    </w:rPr>
  </w:style>
  <w:style w:type="table" w:customStyle="1" w:styleId="GridTable5Dark-Accent61">
    <w:name w:val="Grid Table 5 Dark - Accent 61"/>
    <w:basedOn w:val="TableNormal"/>
    <w:uiPriority w:val="50"/>
    <w:rsid w:val="00EF242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character" w:customStyle="1" w:styleId="Heading1Char">
    <w:name w:val="Heading 1 Char"/>
    <w:basedOn w:val="DefaultParagraphFont"/>
    <w:link w:val="Heading1"/>
    <w:uiPriority w:val="9"/>
    <w:rsid w:val="00EF242D"/>
    <w:rPr>
      <w:rFonts w:asciiTheme="majorHAnsi" w:eastAsiaTheme="majorEastAsia" w:hAnsiTheme="majorHAnsi" w:cstheme="majorBidi"/>
      <w:b/>
      <w:bCs/>
      <w:color w:val="365F91" w:themeColor="accent1" w:themeShade="BF"/>
      <w:sz w:val="28"/>
      <w:szCs w:val="28"/>
    </w:rPr>
  </w:style>
  <w:style w:type="table" w:customStyle="1" w:styleId="GridTable5Dark-Accent41">
    <w:name w:val="Grid Table 5 Dark - Accent 41"/>
    <w:basedOn w:val="TableNormal"/>
    <w:uiPriority w:val="50"/>
    <w:rsid w:val="0079599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paragraph" w:styleId="NoSpacing">
    <w:name w:val="No Spacing"/>
    <w:uiPriority w:val="1"/>
    <w:qFormat/>
    <w:rsid w:val="00795993"/>
    <w:pPr>
      <w:spacing w:after="0" w:line="240" w:lineRule="auto"/>
    </w:pPr>
  </w:style>
  <w:style w:type="table" w:customStyle="1" w:styleId="GridTable5Dark-Accent11">
    <w:name w:val="Grid Table 5 Dark - Accent 11"/>
    <w:basedOn w:val="TableNormal"/>
    <w:uiPriority w:val="50"/>
    <w:rsid w:val="0079599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31">
    <w:name w:val="Grid Table 5 Dark - Accent 31"/>
    <w:basedOn w:val="TableNormal"/>
    <w:uiPriority w:val="50"/>
    <w:rsid w:val="00600F3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21">
    <w:name w:val="Grid Table 5 Dark - Accent 21"/>
    <w:basedOn w:val="TableNormal"/>
    <w:uiPriority w:val="50"/>
    <w:rsid w:val="00600F3A"/>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character" w:customStyle="1" w:styleId="Heading2Char">
    <w:name w:val="Heading 2 Char"/>
    <w:basedOn w:val="DefaultParagraphFont"/>
    <w:link w:val="Heading2"/>
    <w:uiPriority w:val="9"/>
    <w:rsid w:val="00815DA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D21CBA"/>
    <w:rPr>
      <w:rFonts w:asciiTheme="majorHAnsi" w:eastAsiaTheme="majorEastAsia" w:hAnsiTheme="majorHAnsi" w:cstheme="majorBidi"/>
      <w:color w:val="243F60" w:themeColor="accent1" w:themeShade="7F"/>
      <w:sz w:val="24"/>
      <w:szCs w:val="24"/>
    </w:rPr>
  </w:style>
  <w:style w:type="paragraph" w:styleId="Footer">
    <w:name w:val="footer"/>
    <w:basedOn w:val="Normal"/>
    <w:link w:val="FooterChar"/>
    <w:uiPriority w:val="99"/>
    <w:unhideWhenUsed/>
    <w:rsid w:val="00972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427"/>
  </w:style>
  <w:style w:type="paragraph" w:styleId="TOCHeading">
    <w:name w:val="TOC Heading"/>
    <w:basedOn w:val="Heading1"/>
    <w:next w:val="Normal"/>
    <w:uiPriority w:val="39"/>
    <w:unhideWhenUsed/>
    <w:qFormat/>
    <w:rsid w:val="00A745FE"/>
    <w:pPr>
      <w:spacing w:before="240"/>
      <w:outlineLvl w:val="9"/>
    </w:pPr>
    <w:rPr>
      <w:b w:val="0"/>
      <w:bCs w:val="0"/>
      <w:sz w:val="32"/>
      <w:szCs w:val="32"/>
    </w:rPr>
  </w:style>
  <w:style w:type="paragraph" w:styleId="TOC1">
    <w:name w:val="toc 1"/>
    <w:basedOn w:val="Normal"/>
    <w:next w:val="Normal"/>
    <w:autoRedefine/>
    <w:uiPriority w:val="39"/>
    <w:unhideWhenUsed/>
    <w:rsid w:val="00A745FE"/>
    <w:pPr>
      <w:spacing w:after="100"/>
    </w:pPr>
  </w:style>
  <w:style w:type="paragraph" w:styleId="TOC2">
    <w:name w:val="toc 2"/>
    <w:basedOn w:val="Normal"/>
    <w:next w:val="Normal"/>
    <w:autoRedefine/>
    <w:uiPriority w:val="39"/>
    <w:unhideWhenUsed/>
    <w:rsid w:val="00A745FE"/>
    <w:pPr>
      <w:spacing w:after="100"/>
      <w:ind w:left="220"/>
    </w:pPr>
  </w:style>
  <w:style w:type="paragraph" w:styleId="TOC3">
    <w:name w:val="toc 3"/>
    <w:basedOn w:val="Normal"/>
    <w:next w:val="Normal"/>
    <w:autoRedefine/>
    <w:uiPriority w:val="39"/>
    <w:unhideWhenUsed/>
    <w:rsid w:val="00A745FE"/>
    <w:pPr>
      <w:spacing w:after="100"/>
      <w:ind w:left="440"/>
    </w:pPr>
  </w:style>
  <w:style w:type="character" w:styleId="Hyperlink">
    <w:name w:val="Hyperlink"/>
    <w:basedOn w:val="DefaultParagraphFont"/>
    <w:uiPriority w:val="99"/>
    <w:unhideWhenUsed/>
    <w:rsid w:val="00A745FE"/>
    <w:rPr>
      <w:color w:val="0000FF" w:themeColor="hyperlink"/>
      <w:u w:val="single"/>
    </w:rPr>
  </w:style>
  <w:style w:type="table" w:styleId="TableGrid">
    <w:name w:val="Table Grid"/>
    <w:basedOn w:val="TableNormal"/>
    <w:uiPriority w:val="39"/>
    <w:rsid w:val="00D301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D37EAB"/>
    <w:rPr>
      <w:color w:val="808080"/>
    </w:rPr>
  </w:style>
  <w:style w:type="paragraph" w:customStyle="1" w:styleId="Default">
    <w:name w:val="Default"/>
    <w:rsid w:val="00307567"/>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01869"/>
    <w:rPr>
      <w:b/>
      <w:bCs/>
    </w:rPr>
  </w:style>
  <w:style w:type="character" w:customStyle="1" w:styleId="UnresolvedMention">
    <w:name w:val="Unresolved Mention"/>
    <w:basedOn w:val="DefaultParagraphFont"/>
    <w:uiPriority w:val="99"/>
    <w:semiHidden/>
    <w:unhideWhenUsed/>
    <w:rsid w:val="00AA4F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823496">
      <w:bodyDiv w:val="1"/>
      <w:marLeft w:val="0"/>
      <w:marRight w:val="0"/>
      <w:marTop w:val="0"/>
      <w:marBottom w:val="0"/>
      <w:divBdr>
        <w:top w:val="none" w:sz="0" w:space="0" w:color="auto"/>
        <w:left w:val="none" w:sz="0" w:space="0" w:color="auto"/>
        <w:bottom w:val="none" w:sz="0" w:space="0" w:color="auto"/>
        <w:right w:val="none" w:sz="0" w:space="0" w:color="auto"/>
      </w:divBdr>
    </w:div>
    <w:div w:id="156921117">
      <w:bodyDiv w:val="1"/>
      <w:marLeft w:val="0"/>
      <w:marRight w:val="0"/>
      <w:marTop w:val="0"/>
      <w:marBottom w:val="0"/>
      <w:divBdr>
        <w:top w:val="none" w:sz="0" w:space="0" w:color="auto"/>
        <w:left w:val="none" w:sz="0" w:space="0" w:color="auto"/>
        <w:bottom w:val="none" w:sz="0" w:space="0" w:color="auto"/>
        <w:right w:val="none" w:sz="0" w:space="0" w:color="auto"/>
      </w:divBdr>
    </w:div>
    <w:div w:id="166990195">
      <w:bodyDiv w:val="1"/>
      <w:marLeft w:val="0"/>
      <w:marRight w:val="0"/>
      <w:marTop w:val="0"/>
      <w:marBottom w:val="0"/>
      <w:divBdr>
        <w:top w:val="none" w:sz="0" w:space="0" w:color="auto"/>
        <w:left w:val="none" w:sz="0" w:space="0" w:color="auto"/>
        <w:bottom w:val="none" w:sz="0" w:space="0" w:color="auto"/>
        <w:right w:val="none" w:sz="0" w:space="0" w:color="auto"/>
      </w:divBdr>
    </w:div>
    <w:div w:id="208032791">
      <w:bodyDiv w:val="1"/>
      <w:marLeft w:val="0"/>
      <w:marRight w:val="0"/>
      <w:marTop w:val="0"/>
      <w:marBottom w:val="0"/>
      <w:divBdr>
        <w:top w:val="none" w:sz="0" w:space="0" w:color="auto"/>
        <w:left w:val="none" w:sz="0" w:space="0" w:color="auto"/>
        <w:bottom w:val="none" w:sz="0" w:space="0" w:color="auto"/>
        <w:right w:val="none" w:sz="0" w:space="0" w:color="auto"/>
      </w:divBdr>
    </w:div>
    <w:div w:id="214122409">
      <w:bodyDiv w:val="1"/>
      <w:marLeft w:val="0"/>
      <w:marRight w:val="0"/>
      <w:marTop w:val="0"/>
      <w:marBottom w:val="0"/>
      <w:divBdr>
        <w:top w:val="none" w:sz="0" w:space="0" w:color="auto"/>
        <w:left w:val="none" w:sz="0" w:space="0" w:color="auto"/>
        <w:bottom w:val="none" w:sz="0" w:space="0" w:color="auto"/>
        <w:right w:val="none" w:sz="0" w:space="0" w:color="auto"/>
      </w:divBdr>
      <w:divsChild>
        <w:div w:id="571894885">
          <w:marLeft w:val="0"/>
          <w:marRight w:val="0"/>
          <w:marTop w:val="0"/>
          <w:marBottom w:val="0"/>
          <w:divBdr>
            <w:top w:val="none" w:sz="0" w:space="0" w:color="auto"/>
            <w:left w:val="none" w:sz="0" w:space="0" w:color="auto"/>
            <w:bottom w:val="none" w:sz="0" w:space="0" w:color="auto"/>
            <w:right w:val="none" w:sz="0" w:space="0" w:color="auto"/>
          </w:divBdr>
          <w:divsChild>
            <w:div w:id="1257790965">
              <w:marLeft w:val="0"/>
              <w:marRight w:val="0"/>
              <w:marTop w:val="0"/>
              <w:marBottom w:val="0"/>
              <w:divBdr>
                <w:top w:val="none" w:sz="0" w:space="0" w:color="auto"/>
                <w:left w:val="none" w:sz="0" w:space="0" w:color="auto"/>
                <w:bottom w:val="none" w:sz="0" w:space="0" w:color="auto"/>
                <w:right w:val="none" w:sz="0" w:space="0" w:color="auto"/>
              </w:divBdr>
              <w:divsChild>
                <w:div w:id="548763238">
                  <w:marLeft w:val="0"/>
                  <w:marRight w:val="0"/>
                  <w:marTop w:val="0"/>
                  <w:marBottom w:val="0"/>
                  <w:divBdr>
                    <w:top w:val="none" w:sz="0" w:space="0" w:color="auto"/>
                    <w:left w:val="none" w:sz="0" w:space="0" w:color="auto"/>
                    <w:bottom w:val="none" w:sz="0" w:space="0" w:color="auto"/>
                    <w:right w:val="none" w:sz="0" w:space="0" w:color="auto"/>
                  </w:divBdr>
                </w:div>
                <w:div w:id="812258204">
                  <w:marLeft w:val="0"/>
                  <w:marRight w:val="0"/>
                  <w:marTop w:val="0"/>
                  <w:marBottom w:val="0"/>
                  <w:divBdr>
                    <w:top w:val="none" w:sz="0" w:space="0" w:color="auto"/>
                    <w:left w:val="none" w:sz="0" w:space="0" w:color="auto"/>
                    <w:bottom w:val="none" w:sz="0" w:space="0" w:color="auto"/>
                    <w:right w:val="none" w:sz="0" w:space="0" w:color="auto"/>
                  </w:divBdr>
                </w:div>
                <w:div w:id="1017460564">
                  <w:marLeft w:val="0"/>
                  <w:marRight w:val="0"/>
                  <w:marTop w:val="0"/>
                  <w:marBottom w:val="0"/>
                  <w:divBdr>
                    <w:top w:val="none" w:sz="0" w:space="0" w:color="auto"/>
                    <w:left w:val="none" w:sz="0" w:space="0" w:color="auto"/>
                    <w:bottom w:val="none" w:sz="0" w:space="0" w:color="auto"/>
                    <w:right w:val="none" w:sz="0" w:space="0" w:color="auto"/>
                  </w:divBdr>
                  <w:divsChild>
                    <w:div w:id="1596864374">
                      <w:marLeft w:val="0"/>
                      <w:marRight w:val="0"/>
                      <w:marTop w:val="0"/>
                      <w:marBottom w:val="0"/>
                      <w:divBdr>
                        <w:top w:val="none" w:sz="0" w:space="0" w:color="auto"/>
                        <w:left w:val="none" w:sz="0" w:space="0" w:color="auto"/>
                        <w:bottom w:val="none" w:sz="0" w:space="0" w:color="auto"/>
                        <w:right w:val="none" w:sz="0" w:space="0" w:color="auto"/>
                      </w:divBdr>
                    </w:div>
                  </w:divsChild>
                </w:div>
                <w:div w:id="1050881302">
                  <w:marLeft w:val="0"/>
                  <w:marRight w:val="0"/>
                  <w:marTop w:val="0"/>
                  <w:marBottom w:val="0"/>
                  <w:divBdr>
                    <w:top w:val="none" w:sz="0" w:space="0" w:color="auto"/>
                    <w:left w:val="none" w:sz="0" w:space="0" w:color="auto"/>
                    <w:bottom w:val="none" w:sz="0" w:space="0" w:color="auto"/>
                    <w:right w:val="none" w:sz="0" w:space="0" w:color="auto"/>
                  </w:divBdr>
                  <w:divsChild>
                    <w:div w:id="188030579">
                      <w:marLeft w:val="0"/>
                      <w:marRight w:val="0"/>
                      <w:marTop w:val="0"/>
                      <w:marBottom w:val="0"/>
                      <w:divBdr>
                        <w:top w:val="none" w:sz="0" w:space="0" w:color="auto"/>
                        <w:left w:val="none" w:sz="0" w:space="0" w:color="auto"/>
                        <w:bottom w:val="none" w:sz="0" w:space="0" w:color="auto"/>
                        <w:right w:val="none" w:sz="0" w:space="0" w:color="auto"/>
                      </w:divBdr>
                    </w:div>
                  </w:divsChild>
                </w:div>
                <w:div w:id="1400251327">
                  <w:marLeft w:val="0"/>
                  <w:marRight w:val="0"/>
                  <w:marTop w:val="0"/>
                  <w:marBottom w:val="0"/>
                  <w:divBdr>
                    <w:top w:val="none" w:sz="0" w:space="0" w:color="auto"/>
                    <w:left w:val="none" w:sz="0" w:space="0" w:color="auto"/>
                    <w:bottom w:val="none" w:sz="0" w:space="0" w:color="auto"/>
                    <w:right w:val="none" w:sz="0" w:space="0" w:color="auto"/>
                  </w:divBdr>
                  <w:divsChild>
                    <w:div w:id="1378314953">
                      <w:marLeft w:val="0"/>
                      <w:marRight w:val="0"/>
                      <w:marTop w:val="0"/>
                      <w:marBottom w:val="0"/>
                      <w:divBdr>
                        <w:top w:val="none" w:sz="0" w:space="0" w:color="auto"/>
                        <w:left w:val="none" w:sz="0" w:space="0" w:color="auto"/>
                        <w:bottom w:val="none" w:sz="0" w:space="0" w:color="auto"/>
                        <w:right w:val="none" w:sz="0" w:space="0" w:color="auto"/>
                      </w:divBdr>
                    </w:div>
                  </w:divsChild>
                </w:div>
                <w:div w:id="146612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460117">
      <w:bodyDiv w:val="1"/>
      <w:marLeft w:val="0"/>
      <w:marRight w:val="0"/>
      <w:marTop w:val="0"/>
      <w:marBottom w:val="0"/>
      <w:divBdr>
        <w:top w:val="none" w:sz="0" w:space="0" w:color="auto"/>
        <w:left w:val="none" w:sz="0" w:space="0" w:color="auto"/>
        <w:bottom w:val="none" w:sz="0" w:space="0" w:color="auto"/>
        <w:right w:val="none" w:sz="0" w:space="0" w:color="auto"/>
      </w:divBdr>
    </w:div>
    <w:div w:id="286816773">
      <w:bodyDiv w:val="1"/>
      <w:marLeft w:val="0"/>
      <w:marRight w:val="0"/>
      <w:marTop w:val="0"/>
      <w:marBottom w:val="0"/>
      <w:divBdr>
        <w:top w:val="none" w:sz="0" w:space="0" w:color="auto"/>
        <w:left w:val="none" w:sz="0" w:space="0" w:color="auto"/>
        <w:bottom w:val="none" w:sz="0" w:space="0" w:color="auto"/>
        <w:right w:val="none" w:sz="0" w:space="0" w:color="auto"/>
      </w:divBdr>
      <w:divsChild>
        <w:div w:id="454712231">
          <w:marLeft w:val="0"/>
          <w:marRight w:val="0"/>
          <w:marTop w:val="0"/>
          <w:marBottom w:val="0"/>
          <w:divBdr>
            <w:top w:val="none" w:sz="0" w:space="0" w:color="auto"/>
            <w:left w:val="none" w:sz="0" w:space="0" w:color="auto"/>
            <w:bottom w:val="none" w:sz="0" w:space="0" w:color="auto"/>
            <w:right w:val="none" w:sz="0" w:space="0" w:color="auto"/>
          </w:divBdr>
        </w:div>
        <w:div w:id="518546152">
          <w:marLeft w:val="0"/>
          <w:marRight w:val="0"/>
          <w:marTop w:val="0"/>
          <w:marBottom w:val="0"/>
          <w:divBdr>
            <w:top w:val="none" w:sz="0" w:space="0" w:color="auto"/>
            <w:left w:val="none" w:sz="0" w:space="0" w:color="auto"/>
            <w:bottom w:val="none" w:sz="0" w:space="0" w:color="auto"/>
            <w:right w:val="none" w:sz="0" w:space="0" w:color="auto"/>
          </w:divBdr>
        </w:div>
        <w:div w:id="1178429133">
          <w:marLeft w:val="0"/>
          <w:marRight w:val="0"/>
          <w:marTop w:val="0"/>
          <w:marBottom w:val="0"/>
          <w:divBdr>
            <w:top w:val="none" w:sz="0" w:space="0" w:color="auto"/>
            <w:left w:val="none" w:sz="0" w:space="0" w:color="auto"/>
            <w:bottom w:val="none" w:sz="0" w:space="0" w:color="auto"/>
            <w:right w:val="none" w:sz="0" w:space="0" w:color="auto"/>
          </w:divBdr>
          <w:divsChild>
            <w:div w:id="685714560">
              <w:marLeft w:val="0"/>
              <w:marRight w:val="0"/>
              <w:marTop w:val="0"/>
              <w:marBottom w:val="0"/>
              <w:divBdr>
                <w:top w:val="none" w:sz="0" w:space="0" w:color="auto"/>
                <w:left w:val="none" w:sz="0" w:space="0" w:color="auto"/>
                <w:bottom w:val="none" w:sz="0" w:space="0" w:color="auto"/>
                <w:right w:val="none" w:sz="0" w:space="0" w:color="auto"/>
              </w:divBdr>
            </w:div>
          </w:divsChild>
        </w:div>
        <w:div w:id="1403328464">
          <w:marLeft w:val="0"/>
          <w:marRight w:val="0"/>
          <w:marTop w:val="0"/>
          <w:marBottom w:val="0"/>
          <w:divBdr>
            <w:top w:val="none" w:sz="0" w:space="0" w:color="auto"/>
            <w:left w:val="none" w:sz="0" w:space="0" w:color="auto"/>
            <w:bottom w:val="none" w:sz="0" w:space="0" w:color="auto"/>
            <w:right w:val="none" w:sz="0" w:space="0" w:color="auto"/>
          </w:divBdr>
        </w:div>
        <w:div w:id="1409493923">
          <w:marLeft w:val="0"/>
          <w:marRight w:val="0"/>
          <w:marTop w:val="0"/>
          <w:marBottom w:val="0"/>
          <w:divBdr>
            <w:top w:val="none" w:sz="0" w:space="0" w:color="auto"/>
            <w:left w:val="none" w:sz="0" w:space="0" w:color="auto"/>
            <w:bottom w:val="none" w:sz="0" w:space="0" w:color="auto"/>
            <w:right w:val="none" w:sz="0" w:space="0" w:color="auto"/>
          </w:divBdr>
          <w:divsChild>
            <w:div w:id="57613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95651">
      <w:bodyDiv w:val="1"/>
      <w:marLeft w:val="0"/>
      <w:marRight w:val="0"/>
      <w:marTop w:val="0"/>
      <w:marBottom w:val="0"/>
      <w:divBdr>
        <w:top w:val="none" w:sz="0" w:space="0" w:color="auto"/>
        <w:left w:val="none" w:sz="0" w:space="0" w:color="auto"/>
        <w:bottom w:val="none" w:sz="0" w:space="0" w:color="auto"/>
        <w:right w:val="none" w:sz="0" w:space="0" w:color="auto"/>
      </w:divBdr>
    </w:div>
    <w:div w:id="357514050">
      <w:bodyDiv w:val="1"/>
      <w:marLeft w:val="0"/>
      <w:marRight w:val="0"/>
      <w:marTop w:val="0"/>
      <w:marBottom w:val="0"/>
      <w:divBdr>
        <w:top w:val="none" w:sz="0" w:space="0" w:color="auto"/>
        <w:left w:val="none" w:sz="0" w:space="0" w:color="auto"/>
        <w:bottom w:val="none" w:sz="0" w:space="0" w:color="auto"/>
        <w:right w:val="none" w:sz="0" w:space="0" w:color="auto"/>
      </w:divBdr>
    </w:div>
    <w:div w:id="370498559">
      <w:bodyDiv w:val="1"/>
      <w:marLeft w:val="0"/>
      <w:marRight w:val="0"/>
      <w:marTop w:val="0"/>
      <w:marBottom w:val="0"/>
      <w:divBdr>
        <w:top w:val="none" w:sz="0" w:space="0" w:color="auto"/>
        <w:left w:val="none" w:sz="0" w:space="0" w:color="auto"/>
        <w:bottom w:val="none" w:sz="0" w:space="0" w:color="auto"/>
        <w:right w:val="none" w:sz="0" w:space="0" w:color="auto"/>
      </w:divBdr>
    </w:div>
    <w:div w:id="417216887">
      <w:bodyDiv w:val="1"/>
      <w:marLeft w:val="0"/>
      <w:marRight w:val="0"/>
      <w:marTop w:val="0"/>
      <w:marBottom w:val="0"/>
      <w:divBdr>
        <w:top w:val="none" w:sz="0" w:space="0" w:color="auto"/>
        <w:left w:val="none" w:sz="0" w:space="0" w:color="auto"/>
        <w:bottom w:val="none" w:sz="0" w:space="0" w:color="auto"/>
        <w:right w:val="none" w:sz="0" w:space="0" w:color="auto"/>
      </w:divBdr>
    </w:div>
    <w:div w:id="439033820">
      <w:bodyDiv w:val="1"/>
      <w:marLeft w:val="0"/>
      <w:marRight w:val="0"/>
      <w:marTop w:val="0"/>
      <w:marBottom w:val="0"/>
      <w:divBdr>
        <w:top w:val="none" w:sz="0" w:space="0" w:color="auto"/>
        <w:left w:val="none" w:sz="0" w:space="0" w:color="auto"/>
        <w:bottom w:val="none" w:sz="0" w:space="0" w:color="auto"/>
        <w:right w:val="none" w:sz="0" w:space="0" w:color="auto"/>
      </w:divBdr>
    </w:div>
    <w:div w:id="561910822">
      <w:bodyDiv w:val="1"/>
      <w:marLeft w:val="0"/>
      <w:marRight w:val="0"/>
      <w:marTop w:val="0"/>
      <w:marBottom w:val="0"/>
      <w:divBdr>
        <w:top w:val="none" w:sz="0" w:space="0" w:color="auto"/>
        <w:left w:val="none" w:sz="0" w:space="0" w:color="auto"/>
        <w:bottom w:val="none" w:sz="0" w:space="0" w:color="auto"/>
        <w:right w:val="none" w:sz="0" w:space="0" w:color="auto"/>
      </w:divBdr>
    </w:div>
    <w:div w:id="641035935">
      <w:bodyDiv w:val="1"/>
      <w:marLeft w:val="0"/>
      <w:marRight w:val="0"/>
      <w:marTop w:val="0"/>
      <w:marBottom w:val="0"/>
      <w:divBdr>
        <w:top w:val="none" w:sz="0" w:space="0" w:color="auto"/>
        <w:left w:val="none" w:sz="0" w:space="0" w:color="auto"/>
        <w:bottom w:val="none" w:sz="0" w:space="0" w:color="auto"/>
        <w:right w:val="none" w:sz="0" w:space="0" w:color="auto"/>
      </w:divBdr>
    </w:div>
    <w:div w:id="650140895">
      <w:bodyDiv w:val="1"/>
      <w:marLeft w:val="0"/>
      <w:marRight w:val="0"/>
      <w:marTop w:val="0"/>
      <w:marBottom w:val="0"/>
      <w:divBdr>
        <w:top w:val="none" w:sz="0" w:space="0" w:color="auto"/>
        <w:left w:val="none" w:sz="0" w:space="0" w:color="auto"/>
        <w:bottom w:val="none" w:sz="0" w:space="0" w:color="auto"/>
        <w:right w:val="none" w:sz="0" w:space="0" w:color="auto"/>
      </w:divBdr>
    </w:div>
    <w:div w:id="718018006">
      <w:bodyDiv w:val="1"/>
      <w:marLeft w:val="0"/>
      <w:marRight w:val="0"/>
      <w:marTop w:val="0"/>
      <w:marBottom w:val="0"/>
      <w:divBdr>
        <w:top w:val="none" w:sz="0" w:space="0" w:color="auto"/>
        <w:left w:val="none" w:sz="0" w:space="0" w:color="auto"/>
        <w:bottom w:val="none" w:sz="0" w:space="0" w:color="auto"/>
        <w:right w:val="none" w:sz="0" w:space="0" w:color="auto"/>
      </w:divBdr>
    </w:div>
    <w:div w:id="728922141">
      <w:bodyDiv w:val="1"/>
      <w:marLeft w:val="0"/>
      <w:marRight w:val="0"/>
      <w:marTop w:val="0"/>
      <w:marBottom w:val="0"/>
      <w:divBdr>
        <w:top w:val="none" w:sz="0" w:space="0" w:color="auto"/>
        <w:left w:val="none" w:sz="0" w:space="0" w:color="auto"/>
        <w:bottom w:val="none" w:sz="0" w:space="0" w:color="auto"/>
        <w:right w:val="none" w:sz="0" w:space="0" w:color="auto"/>
      </w:divBdr>
    </w:div>
    <w:div w:id="771828597">
      <w:bodyDiv w:val="1"/>
      <w:marLeft w:val="0"/>
      <w:marRight w:val="0"/>
      <w:marTop w:val="0"/>
      <w:marBottom w:val="0"/>
      <w:divBdr>
        <w:top w:val="none" w:sz="0" w:space="0" w:color="auto"/>
        <w:left w:val="none" w:sz="0" w:space="0" w:color="auto"/>
        <w:bottom w:val="none" w:sz="0" w:space="0" w:color="auto"/>
        <w:right w:val="none" w:sz="0" w:space="0" w:color="auto"/>
      </w:divBdr>
    </w:div>
    <w:div w:id="780951300">
      <w:bodyDiv w:val="1"/>
      <w:marLeft w:val="0"/>
      <w:marRight w:val="0"/>
      <w:marTop w:val="0"/>
      <w:marBottom w:val="0"/>
      <w:divBdr>
        <w:top w:val="none" w:sz="0" w:space="0" w:color="auto"/>
        <w:left w:val="none" w:sz="0" w:space="0" w:color="auto"/>
        <w:bottom w:val="none" w:sz="0" w:space="0" w:color="auto"/>
        <w:right w:val="none" w:sz="0" w:space="0" w:color="auto"/>
      </w:divBdr>
    </w:div>
    <w:div w:id="820579878">
      <w:bodyDiv w:val="1"/>
      <w:marLeft w:val="0"/>
      <w:marRight w:val="0"/>
      <w:marTop w:val="0"/>
      <w:marBottom w:val="0"/>
      <w:divBdr>
        <w:top w:val="none" w:sz="0" w:space="0" w:color="auto"/>
        <w:left w:val="none" w:sz="0" w:space="0" w:color="auto"/>
        <w:bottom w:val="none" w:sz="0" w:space="0" w:color="auto"/>
        <w:right w:val="none" w:sz="0" w:space="0" w:color="auto"/>
      </w:divBdr>
    </w:div>
    <w:div w:id="823005185">
      <w:bodyDiv w:val="1"/>
      <w:marLeft w:val="0"/>
      <w:marRight w:val="0"/>
      <w:marTop w:val="0"/>
      <w:marBottom w:val="0"/>
      <w:divBdr>
        <w:top w:val="none" w:sz="0" w:space="0" w:color="auto"/>
        <w:left w:val="none" w:sz="0" w:space="0" w:color="auto"/>
        <w:bottom w:val="none" w:sz="0" w:space="0" w:color="auto"/>
        <w:right w:val="none" w:sz="0" w:space="0" w:color="auto"/>
      </w:divBdr>
    </w:div>
    <w:div w:id="855772993">
      <w:bodyDiv w:val="1"/>
      <w:marLeft w:val="0"/>
      <w:marRight w:val="0"/>
      <w:marTop w:val="0"/>
      <w:marBottom w:val="0"/>
      <w:divBdr>
        <w:top w:val="none" w:sz="0" w:space="0" w:color="auto"/>
        <w:left w:val="none" w:sz="0" w:space="0" w:color="auto"/>
        <w:bottom w:val="none" w:sz="0" w:space="0" w:color="auto"/>
        <w:right w:val="none" w:sz="0" w:space="0" w:color="auto"/>
      </w:divBdr>
    </w:div>
    <w:div w:id="969556474">
      <w:bodyDiv w:val="1"/>
      <w:marLeft w:val="0"/>
      <w:marRight w:val="0"/>
      <w:marTop w:val="0"/>
      <w:marBottom w:val="0"/>
      <w:divBdr>
        <w:top w:val="none" w:sz="0" w:space="0" w:color="auto"/>
        <w:left w:val="none" w:sz="0" w:space="0" w:color="auto"/>
        <w:bottom w:val="none" w:sz="0" w:space="0" w:color="auto"/>
        <w:right w:val="none" w:sz="0" w:space="0" w:color="auto"/>
      </w:divBdr>
    </w:div>
    <w:div w:id="1019895675">
      <w:bodyDiv w:val="1"/>
      <w:marLeft w:val="0"/>
      <w:marRight w:val="0"/>
      <w:marTop w:val="0"/>
      <w:marBottom w:val="0"/>
      <w:divBdr>
        <w:top w:val="none" w:sz="0" w:space="0" w:color="auto"/>
        <w:left w:val="none" w:sz="0" w:space="0" w:color="auto"/>
        <w:bottom w:val="none" w:sz="0" w:space="0" w:color="auto"/>
        <w:right w:val="none" w:sz="0" w:space="0" w:color="auto"/>
      </w:divBdr>
    </w:div>
    <w:div w:id="1079208279">
      <w:bodyDiv w:val="1"/>
      <w:marLeft w:val="0"/>
      <w:marRight w:val="0"/>
      <w:marTop w:val="0"/>
      <w:marBottom w:val="0"/>
      <w:divBdr>
        <w:top w:val="none" w:sz="0" w:space="0" w:color="auto"/>
        <w:left w:val="none" w:sz="0" w:space="0" w:color="auto"/>
        <w:bottom w:val="none" w:sz="0" w:space="0" w:color="auto"/>
        <w:right w:val="none" w:sz="0" w:space="0" w:color="auto"/>
      </w:divBdr>
    </w:div>
    <w:div w:id="1102725966">
      <w:bodyDiv w:val="1"/>
      <w:marLeft w:val="0"/>
      <w:marRight w:val="0"/>
      <w:marTop w:val="0"/>
      <w:marBottom w:val="0"/>
      <w:divBdr>
        <w:top w:val="none" w:sz="0" w:space="0" w:color="auto"/>
        <w:left w:val="none" w:sz="0" w:space="0" w:color="auto"/>
        <w:bottom w:val="none" w:sz="0" w:space="0" w:color="auto"/>
        <w:right w:val="none" w:sz="0" w:space="0" w:color="auto"/>
      </w:divBdr>
    </w:div>
    <w:div w:id="1242372883">
      <w:bodyDiv w:val="1"/>
      <w:marLeft w:val="0"/>
      <w:marRight w:val="0"/>
      <w:marTop w:val="0"/>
      <w:marBottom w:val="0"/>
      <w:divBdr>
        <w:top w:val="none" w:sz="0" w:space="0" w:color="auto"/>
        <w:left w:val="none" w:sz="0" w:space="0" w:color="auto"/>
        <w:bottom w:val="none" w:sz="0" w:space="0" w:color="auto"/>
        <w:right w:val="none" w:sz="0" w:space="0" w:color="auto"/>
      </w:divBdr>
    </w:div>
    <w:div w:id="1271552039">
      <w:bodyDiv w:val="1"/>
      <w:marLeft w:val="0"/>
      <w:marRight w:val="0"/>
      <w:marTop w:val="0"/>
      <w:marBottom w:val="0"/>
      <w:divBdr>
        <w:top w:val="none" w:sz="0" w:space="0" w:color="auto"/>
        <w:left w:val="none" w:sz="0" w:space="0" w:color="auto"/>
        <w:bottom w:val="none" w:sz="0" w:space="0" w:color="auto"/>
        <w:right w:val="none" w:sz="0" w:space="0" w:color="auto"/>
      </w:divBdr>
      <w:divsChild>
        <w:div w:id="2060129730">
          <w:marLeft w:val="0"/>
          <w:marRight w:val="0"/>
          <w:marTop w:val="0"/>
          <w:marBottom w:val="0"/>
          <w:divBdr>
            <w:top w:val="none" w:sz="0" w:space="0" w:color="auto"/>
            <w:left w:val="none" w:sz="0" w:space="0" w:color="auto"/>
            <w:bottom w:val="none" w:sz="0" w:space="0" w:color="auto"/>
            <w:right w:val="none" w:sz="0" w:space="0" w:color="auto"/>
          </w:divBdr>
          <w:divsChild>
            <w:div w:id="947201323">
              <w:marLeft w:val="0"/>
              <w:marRight w:val="0"/>
              <w:marTop w:val="0"/>
              <w:marBottom w:val="0"/>
              <w:divBdr>
                <w:top w:val="none" w:sz="0" w:space="0" w:color="auto"/>
                <w:left w:val="none" w:sz="0" w:space="0" w:color="auto"/>
                <w:bottom w:val="none" w:sz="0" w:space="0" w:color="auto"/>
                <w:right w:val="none" w:sz="0" w:space="0" w:color="auto"/>
              </w:divBdr>
              <w:divsChild>
                <w:div w:id="307369577">
                  <w:marLeft w:val="0"/>
                  <w:marRight w:val="0"/>
                  <w:marTop w:val="0"/>
                  <w:marBottom w:val="0"/>
                  <w:divBdr>
                    <w:top w:val="none" w:sz="0" w:space="0" w:color="auto"/>
                    <w:left w:val="none" w:sz="0" w:space="0" w:color="auto"/>
                    <w:bottom w:val="none" w:sz="0" w:space="0" w:color="auto"/>
                    <w:right w:val="none" w:sz="0" w:space="0" w:color="auto"/>
                  </w:divBdr>
                  <w:divsChild>
                    <w:div w:id="331371943">
                      <w:marLeft w:val="0"/>
                      <w:marRight w:val="0"/>
                      <w:marTop w:val="0"/>
                      <w:marBottom w:val="0"/>
                      <w:divBdr>
                        <w:top w:val="none" w:sz="0" w:space="0" w:color="auto"/>
                        <w:left w:val="none" w:sz="0" w:space="0" w:color="auto"/>
                        <w:bottom w:val="none" w:sz="0" w:space="0" w:color="auto"/>
                        <w:right w:val="none" w:sz="0" w:space="0" w:color="auto"/>
                      </w:divBdr>
                    </w:div>
                  </w:divsChild>
                </w:div>
                <w:div w:id="654919976">
                  <w:marLeft w:val="0"/>
                  <w:marRight w:val="0"/>
                  <w:marTop w:val="0"/>
                  <w:marBottom w:val="0"/>
                  <w:divBdr>
                    <w:top w:val="none" w:sz="0" w:space="0" w:color="auto"/>
                    <w:left w:val="none" w:sz="0" w:space="0" w:color="auto"/>
                    <w:bottom w:val="none" w:sz="0" w:space="0" w:color="auto"/>
                    <w:right w:val="none" w:sz="0" w:space="0" w:color="auto"/>
                  </w:divBdr>
                  <w:divsChild>
                    <w:div w:id="1007441580">
                      <w:marLeft w:val="0"/>
                      <w:marRight w:val="0"/>
                      <w:marTop w:val="0"/>
                      <w:marBottom w:val="0"/>
                      <w:divBdr>
                        <w:top w:val="none" w:sz="0" w:space="0" w:color="auto"/>
                        <w:left w:val="none" w:sz="0" w:space="0" w:color="auto"/>
                        <w:bottom w:val="none" w:sz="0" w:space="0" w:color="auto"/>
                        <w:right w:val="none" w:sz="0" w:space="0" w:color="auto"/>
                      </w:divBdr>
                    </w:div>
                  </w:divsChild>
                </w:div>
                <w:div w:id="1057633313">
                  <w:marLeft w:val="0"/>
                  <w:marRight w:val="0"/>
                  <w:marTop w:val="0"/>
                  <w:marBottom w:val="0"/>
                  <w:divBdr>
                    <w:top w:val="none" w:sz="0" w:space="0" w:color="auto"/>
                    <w:left w:val="none" w:sz="0" w:space="0" w:color="auto"/>
                    <w:bottom w:val="none" w:sz="0" w:space="0" w:color="auto"/>
                    <w:right w:val="none" w:sz="0" w:space="0" w:color="auto"/>
                  </w:divBdr>
                  <w:divsChild>
                    <w:div w:id="771241669">
                      <w:marLeft w:val="0"/>
                      <w:marRight w:val="0"/>
                      <w:marTop w:val="0"/>
                      <w:marBottom w:val="0"/>
                      <w:divBdr>
                        <w:top w:val="none" w:sz="0" w:space="0" w:color="auto"/>
                        <w:left w:val="none" w:sz="0" w:space="0" w:color="auto"/>
                        <w:bottom w:val="none" w:sz="0" w:space="0" w:color="auto"/>
                        <w:right w:val="none" w:sz="0" w:space="0" w:color="auto"/>
                      </w:divBdr>
                    </w:div>
                  </w:divsChild>
                </w:div>
                <w:div w:id="1468281344">
                  <w:marLeft w:val="0"/>
                  <w:marRight w:val="0"/>
                  <w:marTop w:val="0"/>
                  <w:marBottom w:val="0"/>
                  <w:divBdr>
                    <w:top w:val="none" w:sz="0" w:space="0" w:color="auto"/>
                    <w:left w:val="none" w:sz="0" w:space="0" w:color="auto"/>
                    <w:bottom w:val="none" w:sz="0" w:space="0" w:color="auto"/>
                    <w:right w:val="none" w:sz="0" w:space="0" w:color="auto"/>
                  </w:divBdr>
                </w:div>
                <w:div w:id="1492410856">
                  <w:marLeft w:val="0"/>
                  <w:marRight w:val="0"/>
                  <w:marTop w:val="0"/>
                  <w:marBottom w:val="0"/>
                  <w:divBdr>
                    <w:top w:val="none" w:sz="0" w:space="0" w:color="auto"/>
                    <w:left w:val="none" w:sz="0" w:space="0" w:color="auto"/>
                    <w:bottom w:val="none" w:sz="0" w:space="0" w:color="auto"/>
                    <w:right w:val="none" w:sz="0" w:space="0" w:color="auto"/>
                  </w:divBdr>
                </w:div>
                <w:div w:id="201549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340596">
      <w:bodyDiv w:val="1"/>
      <w:marLeft w:val="0"/>
      <w:marRight w:val="0"/>
      <w:marTop w:val="0"/>
      <w:marBottom w:val="0"/>
      <w:divBdr>
        <w:top w:val="none" w:sz="0" w:space="0" w:color="auto"/>
        <w:left w:val="none" w:sz="0" w:space="0" w:color="auto"/>
        <w:bottom w:val="none" w:sz="0" w:space="0" w:color="auto"/>
        <w:right w:val="none" w:sz="0" w:space="0" w:color="auto"/>
      </w:divBdr>
    </w:div>
    <w:div w:id="1397044236">
      <w:bodyDiv w:val="1"/>
      <w:marLeft w:val="0"/>
      <w:marRight w:val="0"/>
      <w:marTop w:val="0"/>
      <w:marBottom w:val="0"/>
      <w:divBdr>
        <w:top w:val="none" w:sz="0" w:space="0" w:color="auto"/>
        <w:left w:val="none" w:sz="0" w:space="0" w:color="auto"/>
        <w:bottom w:val="none" w:sz="0" w:space="0" w:color="auto"/>
        <w:right w:val="none" w:sz="0" w:space="0" w:color="auto"/>
      </w:divBdr>
    </w:div>
    <w:div w:id="1476022885">
      <w:bodyDiv w:val="1"/>
      <w:marLeft w:val="0"/>
      <w:marRight w:val="0"/>
      <w:marTop w:val="0"/>
      <w:marBottom w:val="0"/>
      <w:divBdr>
        <w:top w:val="none" w:sz="0" w:space="0" w:color="auto"/>
        <w:left w:val="none" w:sz="0" w:space="0" w:color="auto"/>
        <w:bottom w:val="none" w:sz="0" w:space="0" w:color="auto"/>
        <w:right w:val="none" w:sz="0" w:space="0" w:color="auto"/>
      </w:divBdr>
    </w:div>
    <w:div w:id="1484392603">
      <w:bodyDiv w:val="1"/>
      <w:marLeft w:val="0"/>
      <w:marRight w:val="0"/>
      <w:marTop w:val="0"/>
      <w:marBottom w:val="0"/>
      <w:divBdr>
        <w:top w:val="none" w:sz="0" w:space="0" w:color="auto"/>
        <w:left w:val="none" w:sz="0" w:space="0" w:color="auto"/>
        <w:bottom w:val="none" w:sz="0" w:space="0" w:color="auto"/>
        <w:right w:val="none" w:sz="0" w:space="0" w:color="auto"/>
      </w:divBdr>
    </w:div>
    <w:div w:id="1499232785">
      <w:bodyDiv w:val="1"/>
      <w:marLeft w:val="0"/>
      <w:marRight w:val="0"/>
      <w:marTop w:val="0"/>
      <w:marBottom w:val="0"/>
      <w:divBdr>
        <w:top w:val="none" w:sz="0" w:space="0" w:color="auto"/>
        <w:left w:val="none" w:sz="0" w:space="0" w:color="auto"/>
        <w:bottom w:val="none" w:sz="0" w:space="0" w:color="auto"/>
        <w:right w:val="none" w:sz="0" w:space="0" w:color="auto"/>
      </w:divBdr>
    </w:div>
    <w:div w:id="1641501222">
      <w:bodyDiv w:val="1"/>
      <w:marLeft w:val="0"/>
      <w:marRight w:val="0"/>
      <w:marTop w:val="0"/>
      <w:marBottom w:val="0"/>
      <w:divBdr>
        <w:top w:val="none" w:sz="0" w:space="0" w:color="auto"/>
        <w:left w:val="none" w:sz="0" w:space="0" w:color="auto"/>
        <w:bottom w:val="none" w:sz="0" w:space="0" w:color="auto"/>
        <w:right w:val="none" w:sz="0" w:space="0" w:color="auto"/>
      </w:divBdr>
    </w:div>
    <w:div w:id="1643997521">
      <w:bodyDiv w:val="1"/>
      <w:marLeft w:val="0"/>
      <w:marRight w:val="0"/>
      <w:marTop w:val="0"/>
      <w:marBottom w:val="0"/>
      <w:divBdr>
        <w:top w:val="none" w:sz="0" w:space="0" w:color="auto"/>
        <w:left w:val="none" w:sz="0" w:space="0" w:color="auto"/>
        <w:bottom w:val="none" w:sz="0" w:space="0" w:color="auto"/>
        <w:right w:val="none" w:sz="0" w:space="0" w:color="auto"/>
      </w:divBdr>
    </w:div>
    <w:div w:id="1683822950">
      <w:bodyDiv w:val="1"/>
      <w:marLeft w:val="0"/>
      <w:marRight w:val="0"/>
      <w:marTop w:val="0"/>
      <w:marBottom w:val="0"/>
      <w:divBdr>
        <w:top w:val="none" w:sz="0" w:space="0" w:color="auto"/>
        <w:left w:val="none" w:sz="0" w:space="0" w:color="auto"/>
        <w:bottom w:val="none" w:sz="0" w:space="0" w:color="auto"/>
        <w:right w:val="none" w:sz="0" w:space="0" w:color="auto"/>
      </w:divBdr>
    </w:div>
    <w:div w:id="1684742853">
      <w:bodyDiv w:val="1"/>
      <w:marLeft w:val="0"/>
      <w:marRight w:val="0"/>
      <w:marTop w:val="0"/>
      <w:marBottom w:val="0"/>
      <w:divBdr>
        <w:top w:val="none" w:sz="0" w:space="0" w:color="auto"/>
        <w:left w:val="none" w:sz="0" w:space="0" w:color="auto"/>
        <w:bottom w:val="none" w:sz="0" w:space="0" w:color="auto"/>
        <w:right w:val="none" w:sz="0" w:space="0" w:color="auto"/>
      </w:divBdr>
    </w:div>
    <w:div w:id="1762220353">
      <w:bodyDiv w:val="1"/>
      <w:marLeft w:val="0"/>
      <w:marRight w:val="0"/>
      <w:marTop w:val="0"/>
      <w:marBottom w:val="0"/>
      <w:divBdr>
        <w:top w:val="none" w:sz="0" w:space="0" w:color="auto"/>
        <w:left w:val="none" w:sz="0" w:space="0" w:color="auto"/>
        <w:bottom w:val="none" w:sz="0" w:space="0" w:color="auto"/>
        <w:right w:val="none" w:sz="0" w:space="0" w:color="auto"/>
      </w:divBdr>
    </w:div>
    <w:div w:id="1808427423">
      <w:bodyDiv w:val="1"/>
      <w:marLeft w:val="0"/>
      <w:marRight w:val="0"/>
      <w:marTop w:val="0"/>
      <w:marBottom w:val="0"/>
      <w:divBdr>
        <w:top w:val="none" w:sz="0" w:space="0" w:color="auto"/>
        <w:left w:val="none" w:sz="0" w:space="0" w:color="auto"/>
        <w:bottom w:val="none" w:sz="0" w:space="0" w:color="auto"/>
        <w:right w:val="none" w:sz="0" w:space="0" w:color="auto"/>
      </w:divBdr>
    </w:div>
    <w:div w:id="1932732974">
      <w:bodyDiv w:val="1"/>
      <w:marLeft w:val="0"/>
      <w:marRight w:val="0"/>
      <w:marTop w:val="0"/>
      <w:marBottom w:val="0"/>
      <w:divBdr>
        <w:top w:val="none" w:sz="0" w:space="0" w:color="auto"/>
        <w:left w:val="none" w:sz="0" w:space="0" w:color="auto"/>
        <w:bottom w:val="none" w:sz="0" w:space="0" w:color="auto"/>
        <w:right w:val="none" w:sz="0" w:space="0" w:color="auto"/>
      </w:divBdr>
    </w:div>
    <w:div w:id="2004427041">
      <w:bodyDiv w:val="1"/>
      <w:marLeft w:val="0"/>
      <w:marRight w:val="0"/>
      <w:marTop w:val="0"/>
      <w:marBottom w:val="0"/>
      <w:divBdr>
        <w:top w:val="none" w:sz="0" w:space="0" w:color="auto"/>
        <w:left w:val="none" w:sz="0" w:space="0" w:color="auto"/>
        <w:bottom w:val="none" w:sz="0" w:space="0" w:color="auto"/>
        <w:right w:val="none" w:sz="0" w:space="0" w:color="auto"/>
      </w:divBdr>
    </w:div>
    <w:div w:id="2062172414">
      <w:bodyDiv w:val="1"/>
      <w:marLeft w:val="0"/>
      <w:marRight w:val="0"/>
      <w:marTop w:val="0"/>
      <w:marBottom w:val="0"/>
      <w:divBdr>
        <w:top w:val="none" w:sz="0" w:space="0" w:color="auto"/>
        <w:left w:val="none" w:sz="0" w:space="0" w:color="auto"/>
        <w:bottom w:val="none" w:sz="0" w:space="0" w:color="auto"/>
        <w:right w:val="none" w:sz="0" w:space="0" w:color="auto"/>
      </w:divBdr>
    </w:div>
    <w:div w:id="209967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chart" Target="charts/chart3.xml"/><Relationship Id="rId39" Type="http://schemas.openxmlformats.org/officeDocument/2006/relationships/chart" Target="charts/chart16.xml"/><Relationship Id="rId21" Type="http://schemas.openxmlformats.org/officeDocument/2006/relationships/diagramQuickStyle" Target="diagrams/quickStyle1.xml"/><Relationship Id="rId34" Type="http://schemas.openxmlformats.org/officeDocument/2006/relationships/chart" Target="charts/chart11.xml"/><Relationship Id="rId42" Type="http://schemas.openxmlformats.org/officeDocument/2006/relationships/chart" Target="charts/chart19.xml"/><Relationship Id="rId47" Type="http://schemas.openxmlformats.org/officeDocument/2006/relationships/chart" Target="charts/chart23.xml"/><Relationship Id="rId50" Type="http://schemas.openxmlformats.org/officeDocument/2006/relationships/hyperlink" Target="https://www.accountingtools.com/articles/2018/2/16/publicly-held" TargetMode="External"/><Relationship Id="rId55" Type="http://schemas.openxmlformats.org/officeDocument/2006/relationships/chart" Target="charts/chart28.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diagramLayout" Target="diagrams/layout1.xml"/><Relationship Id="rId29" Type="http://schemas.openxmlformats.org/officeDocument/2006/relationships/chart" Target="charts/chart6.xml"/><Relationship Id="rId41" Type="http://schemas.openxmlformats.org/officeDocument/2006/relationships/chart" Target="charts/chart18.xml"/><Relationship Id="rId54" Type="http://schemas.openxmlformats.org/officeDocument/2006/relationships/chart" Target="charts/chart27.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hart" Target="charts/chart1.xml"/><Relationship Id="rId32" Type="http://schemas.openxmlformats.org/officeDocument/2006/relationships/chart" Target="charts/chart9.xml"/><Relationship Id="rId37" Type="http://schemas.openxmlformats.org/officeDocument/2006/relationships/chart" Target="charts/chart14.xml"/><Relationship Id="rId40" Type="http://schemas.openxmlformats.org/officeDocument/2006/relationships/chart" Target="charts/chart17.xml"/><Relationship Id="rId45" Type="http://schemas.openxmlformats.org/officeDocument/2006/relationships/chart" Target="charts/chart21.xml"/><Relationship Id="rId53" Type="http://schemas.openxmlformats.org/officeDocument/2006/relationships/chart" Target="charts/chart26.xml"/><Relationship Id="rId58" Type="http://schemas.openxmlformats.org/officeDocument/2006/relationships/chart" Target="charts/chart31.xml"/><Relationship Id="rId5" Type="http://schemas.openxmlformats.org/officeDocument/2006/relationships/settings" Target="settings.xml"/><Relationship Id="rId15" Type="http://schemas.openxmlformats.org/officeDocument/2006/relationships/header" Target="header3.xml"/><Relationship Id="rId23" Type="http://schemas.microsoft.com/office/2007/relationships/diagramDrawing" Target="diagrams/drawing1.xml"/><Relationship Id="rId28" Type="http://schemas.openxmlformats.org/officeDocument/2006/relationships/chart" Target="charts/chart5.xml"/><Relationship Id="rId36" Type="http://schemas.openxmlformats.org/officeDocument/2006/relationships/chart" Target="charts/chart13.xml"/><Relationship Id="rId49" Type="http://schemas.openxmlformats.org/officeDocument/2006/relationships/chart" Target="charts/chart25.xml"/><Relationship Id="rId57" Type="http://schemas.openxmlformats.org/officeDocument/2006/relationships/chart" Target="charts/chart30.xml"/><Relationship Id="rId61"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diagramData" Target="diagrams/data1.xml"/><Relationship Id="rId31" Type="http://schemas.openxmlformats.org/officeDocument/2006/relationships/chart" Target="charts/chart8.xml"/><Relationship Id="rId44" Type="http://schemas.openxmlformats.org/officeDocument/2006/relationships/hyperlink" Target="https://www.investopedia.com/terms/e/efficiencyratio.asp" TargetMode="External"/><Relationship Id="rId52" Type="http://schemas.openxmlformats.org/officeDocument/2006/relationships/hyperlink" Target="https://www.accountingtools.com/articles/2017/5/10/investor" TargetMode="External"/><Relationship Id="rId60"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2.xml"/><Relationship Id="rId22" Type="http://schemas.openxmlformats.org/officeDocument/2006/relationships/diagramColors" Target="diagrams/colors1.xml"/><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chart" Target="charts/chart12.xml"/><Relationship Id="rId43" Type="http://schemas.openxmlformats.org/officeDocument/2006/relationships/chart" Target="charts/chart20.xml"/><Relationship Id="rId48" Type="http://schemas.openxmlformats.org/officeDocument/2006/relationships/chart" Target="charts/chart24.xml"/><Relationship Id="rId56" Type="http://schemas.openxmlformats.org/officeDocument/2006/relationships/chart" Target="charts/chart29.xml"/><Relationship Id="rId8" Type="http://schemas.openxmlformats.org/officeDocument/2006/relationships/endnotes" Target="endnotes.xml"/><Relationship Id="rId51" Type="http://schemas.openxmlformats.org/officeDocument/2006/relationships/hyperlink" Target="https://www.accountingtools.com/articles/what-is-stock.html"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chart" Target="charts/chart2.xml"/><Relationship Id="rId33" Type="http://schemas.openxmlformats.org/officeDocument/2006/relationships/chart" Target="charts/chart10.xml"/><Relationship Id="rId38" Type="http://schemas.openxmlformats.org/officeDocument/2006/relationships/chart" Target="charts/chart15.xml"/><Relationship Id="rId46" Type="http://schemas.openxmlformats.org/officeDocument/2006/relationships/chart" Target="charts/chart22.xml"/><Relationship Id="rId59" Type="http://schemas.openxmlformats.org/officeDocument/2006/relationships/chart" Target="charts/chart3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26.xml"/></Relationships>
</file>

<file path=word/charts/_rels/chart27.xml.rels><?xml version="1.0" encoding="UTF-8" standalone="yes"?>
<Relationships xmlns="http://schemas.openxmlformats.org/package/2006/relationships"><Relationship Id="rId2" Type="http://schemas.openxmlformats.org/officeDocument/2006/relationships/package" Target="../embeddings/Microsoft_Excel_Worksheet27.xlsx"/><Relationship Id="rId1" Type="http://schemas.openxmlformats.org/officeDocument/2006/relationships/themeOverride" Target="../theme/themeOverride27.xml"/></Relationships>
</file>

<file path=word/charts/_rels/chart28.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28.xml"/></Relationships>
</file>

<file path=word/charts/_rels/chart29.xml.rels><?xml version="1.0" encoding="UTF-8" standalone="yes"?>
<Relationships xmlns="http://schemas.openxmlformats.org/package/2006/relationships"><Relationship Id="rId2" Type="http://schemas.openxmlformats.org/officeDocument/2006/relationships/package" Target="../embeddings/Microsoft_Excel_Worksheet29.xlsx"/><Relationship Id="rId1" Type="http://schemas.openxmlformats.org/officeDocument/2006/relationships/themeOverride" Target="../theme/themeOverride29.xml"/></Relationships>
</file>

<file path=word/charts/_rels/chart30.xml.rels><?xml version="1.0" encoding="UTF-8" standalone="yes"?>
<Relationships xmlns="http://schemas.openxmlformats.org/package/2006/relationships"><Relationship Id="rId2" Type="http://schemas.openxmlformats.org/officeDocument/2006/relationships/package" Target="../embeddings/Microsoft_Excel_Worksheet30.xlsx"/><Relationship Id="rId1" Type="http://schemas.openxmlformats.org/officeDocument/2006/relationships/themeOverride" Target="../theme/themeOverride30.xml"/></Relationships>
</file>

<file path=word/charts/_rels/chart3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31.xml"/></Relationships>
</file>

<file path=word/charts/_rels/chart3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3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Current Ratio</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Ratio!$S$5:$W$5</c:f>
              <c:numCache>
                <c:formatCode>General</c:formatCode>
                <c:ptCount val="5"/>
                <c:pt idx="0">
                  <c:v>2014</c:v>
                </c:pt>
                <c:pt idx="1">
                  <c:v>2015</c:v>
                </c:pt>
                <c:pt idx="2">
                  <c:v>2016</c:v>
                </c:pt>
                <c:pt idx="3">
                  <c:v>2017</c:v>
                </c:pt>
                <c:pt idx="4">
                  <c:v>2018</c:v>
                </c:pt>
              </c:numCache>
            </c:numRef>
          </c:cat>
          <c:val>
            <c:numRef>
              <c:f>Ratio!$S$6:$W$6</c:f>
              <c:numCache>
                <c:formatCode>General</c:formatCode>
                <c:ptCount val="5"/>
                <c:pt idx="0">
                  <c:v>1.2034450936164631</c:v>
                </c:pt>
                <c:pt idx="1">
                  <c:v>1.1888891173764891</c:v>
                </c:pt>
                <c:pt idx="2">
                  <c:v>1.197905040754355</c:v>
                </c:pt>
                <c:pt idx="3">
                  <c:v>1.1843610227799219</c:v>
                </c:pt>
                <c:pt idx="4">
                  <c:v>1.1653329454136367</c:v>
                </c:pt>
              </c:numCache>
            </c:numRef>
          </c:val>
          <c:extLst xmlns:c16r2="http://schemas.microsoft.com/office/drawing/2015/06/chart">
            <c:ext xmlns:c16="http://schemas.microsoft.com/office/drawing/2014/chart" uri="{C3380CC4-5D6E-409C-BE32-E72D297353CC}">
              <c16:uniqueId val="{00000000-D5F4-4A56-B050-E940482AE08C}"/>
            </c:ext>
          </c:extLst>
        </c:ser>
        <c:dLbls>
          <c:showLegendKey val="0"/>
          <c:showVal val="0"/>
          <c:showCatName val="0"/>
          <c:showSerName val="0"/>
          <c:showPercent val="0"/>
          <c:showBubbleSize val="0"/>
        </c:dLbls>
        <c:gapWidth val="219"/>
        <c:overlap val="-27"/>
        <c:axId val="401377152"/>
        <c:axId val="401378688"/>
      </c:barChart>
      <c:catAx>
        <c:axId val="401377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378688"/>
        <c:crosses val="autoZero"/>
        <c:auto val="1"/>
        <c:lblAlgn val="ctr"/>
        <c:lblOffset val="100"/>
        <c:noMultiLvlLbl val="0"/>
      </c:catAx>
      <c:valAx>
        <c:axId val="401378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3771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Cash Ratio</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Ratio!$S$30:$W$30</c:f>
              <c:numCache>
                <c:formatCode>General</c:formatCode>
                <c:ptCount val="5"/>
                <c:pt idx="0">
                  <c:v>2014</c:v>
                </c:pt>
                <c:pt idx="1">
                  <c:v>2015</c:v>
                </c:pt>
                <c:pt idx="2">
                  <c:v>2016</c:v>
                </c:pt>
                <c:pt idx="3">
                  <c:v>2017</c:v>
                </c:pt>
                <c:pt idx="4">
                  <c:v>2018</c:v>
                </c:pt>
              </c:numCache>
            </c:numRef>
          </c:cat>
          <c:val>
            <c:numRef>
              <c:f>Ratio!$S$31:$W$31</c:f>
              <c:numCache>
                <c:formatCode>General</c:formatCode>
                <c:ptCount val="5"/>
                <c:pt idx="0">
                  <c:v>6.21253265088915E-2</c:v>
                </c:pt>
                <c:pt idx="1">
                  <c:v>6.281570029156372E-2</c:v>
                </c:pt>
                <c:pt idx="2">
                  <c:v>6.0255868965586316E-2</c:v>
                </c:pt>
                <c:pt idx="3">
                  <c:v>5.8228218120282713E-2</c:v>
                </c:pt>
                <c:pt idx="4">
                  <c:v>6.2276122166035383E-2</c:v>
                </c:pt>
              </c:numCache>
            </c:numRef>
          </c:val>
          <c:extLst xmlns:c16r2="http://schemas.microsoft.com/office/drawing/2015/06/chart">
            <c:ext xmlns:c16="http://schemas.microsoft.com/office/drawing/2014/chart" uri="{C3380CC4-5D6E-409C-BE32-E72D297353CC}">
              <c16:uniqueId val="{00000000-FADA-4418-97F2-2632B9B4E30B}"/>
            </c:ext>
          </c:extLst>
        </c:ser>
        <c:dLbls>
          <c:showLegendKey val="0"/>
          <c:showVal val="0"/>
          <c:showCatName val="0"/>
          <c:showSerName val="0"/>
          <c:showPercent val="0"/>
          <c:showBubbleSize val="0"/>
        </c:dLbls>
        <c:gapWidth val="219"/>
        <c:overlap val="-27"/>
        <c:axId val="401571840"/>
        <c:axId val="401573376"/>
      </c:barChart>
      <c:catAx>
        <c:axId val="401571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573376"/>
        <c:crosses val="autoZero"/>
        <c:auto val="1"/>
        <c:lblAlgn val="ctr"/>
        <c:lblOffset val="100"/>
        <c:noMultiLvlLbl val="0"/>
      </c:catAx>
      <c:valAx>
        <c:axId val="401573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571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Cash Reserve Ratio</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Ratio!$S$56:$W$56</c:f>
              <c:numCache>
                <c:formatCode>General</c:formatCode>
                <c:ptCount val="5"/>
                <c:pt idx="0">
                  <c:v>2014</c:v>
                </c:pt>
                <c:pt idx="1">
                  <c:v>2015</c:v>
                </c:pt>
                <c:pt idx="2">
                  <c:v>2016</c:v>
                </c:pt>
                <c:pt idx="3">
                  <c:v>2017</c:v>
                </c:pt>
                <c:pt idx="4">
                  <c:v>2018</c:v>
                </c:pt>
              </c:numCache>
            </c:numRef>
          </c:cat>
          <c:val>
            <c:numRef>
              <c:f>Ratio!$S$57:$W$57</c:f>
              <c:numCache>
                <c:formatCode>General</c:formatCode>
                <c:ptCount val="5"/>
                <c:pt idx="0">
                  <c:v>6.0999999999999999E-2</c:v>
                </c:pt>
                <c:pt idx="1">
                  <c:v>7.2700000000000001E-2</c:v>
                </c:pt>
                <c:pt idx="2">
                  <c:v>6.4199999999999993E-2</c:v>
                </c:pt>
                <c:pt idx="3">
                  <c:v>6.7000000000000004E-2</c:v>
                </c:pt>
                <c:pt idx="4">
                  <c:v>7.3300000000000004E-2</c:v>
                </c:pt>
              </c:numCache>
            </c:numRef>
          </c:val>
          <c:extLst xmlns:c16r2="http://schemas.microsoft.com/office/drawing/2015/06/chart">
            <c:ext xmlns:c16="http://schemas.microsoft.com/office/drawing/2014/chart" uri="{C3380CC4-5D6E-409C-BE32-E72D297353CC}">
              <c16:uniqueId val="{00000000-9A72-4441-8C84-A3CE7B96810C}"/>
            </c:ext>
          </c:extLst>
        </c:ser>
        <c:dLbls>
          <c:showLegendKey val="0"/>
          <c:showVal val="0"/>
          <c:showCatName val="0"/>
          <c:showSerName val="0"/>
          <c:showPercent val="0"/>
          <c:showBubbleSize val="0"/>
        </c:dLbls>
        <c:gapWidth val="219"/>
        <c:overlap val="-27"/>
        <c:axId val="401737600"/>
        <c:axId val="401739136"/>
      </c:barChart>
      <c:catAx>
        <c:axId val="401737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739136"/>
        <c:crosses val="autoZero"/>
        <c:auto val="1"/>
        <c:lblAlgn val="ctr"/>
        <c:lblOffset val="100"/>
        <c:noMultiLvlLbl val="0"/>
      </c:catAx>
      <c:valAx>
        <c:axId val="401739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737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Statutory Liquidity</a:t>
            </a:r>
            <a:r>
              <a:rPr lang="en-US" baseline="0"/>
              <a:t> Reserve Ratio</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Ratio!$S$83:$W$83</c:f>
              <c:numCache>
                <c:formatCode>General</c:formatCode>
                <c:ptCount val="5"/>
                <c:pt idx="0">
                  <c:v>2014</c:v>
                </c:pt>
                <c:pt idx="1">
                  <c:v>2015</c:v>
                </c:pt>
                <c:pt idx="2">
                  <c:v>2016</c:v>
                </c:pt>
                <c:pt idx="3">
                  <c:v>2017</c:v>
                </c:pt>
                <c:pt idx="4">
                  <c:v>2018</c:v>
                </c:pt>
              </c:numCache>
            </c:numRef>
          </c:cat>
          <c:val>
            <c:numRef>
              <c:f>Ratio!$S$84:$W$84</c:f>
              <c:numCache>
                <c:formatCode>General</c:formatCode>
                <c:ptCount val="5"/>
                <c:pt idx="0">
                  <c:v>0.29880000000000001</c:v>
                </c:pt>
                <c:pt idx="1">
                  <c:v>0.2223</c:v>
                </c:pt>
                <c:pt idx="2">
                  <c:v>0.1671</c:v>
                </c:pt>
                <c:pt idx="3">
                  <c:v>0.14810000000000001</c:v>
                </c:pt>
                <c:pt idx="4">
                  <c:v>0.14829999999999999</c:v>
                </c:pt>
              </c:numCache>
            </c:numRef>
          </c:val>
          <c:extLst xmlns:c16r2="http://schemas.microsoft.com/office/drawing/2015/06/chart">
            <c:ext xmlns:c16="http://schemas.microsoft.com/office/drawing/2014/chart" uri="{C3380CC4-5D6E-409C-BE32-E72D297353CC}">
              <c16:uniqueId val="{00000000-2876-4ED5-8638-C3C96B8824CB}"/>
            </c:ext>
          </c:extLst>
        </c:ser>
        <c:dLbls>
          <c:showLegendKey val="0"/>
          <c:showVal val="0"/>
          <c:showCatName val="0"/>
          <c:showSerName val="0"/>
          <c:showPercent val="0"/>
          <c:showBubbleSize val="0"/>
        </c:dLbls>
        <c:gapWidth val="219"/>
        <c:overlap val="-27"/>
        <c:axId val="402587648"/>
        <c:axId val="402589184"/>
      </c:barChart>
      <c:catAx>
        <c:axId val="402587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2589184"/>
        <c:crosses val="autoZero"/>
        <c:auto val="1"/>
        <c:lblAlgn val="ctr"/>
        <c:lblOffset val="100"/>
        <c:noMultiLvlLbl val="0"/>
      </c:catAx>
      <c:valAx>
        <c:axId val="402589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2587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Net</a:t>
            </a:r>
            <a:r>
              <a:rPr lang="en-US" baseline="0"/>
              <a:t> Profit Margin</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Ratio!$S$107:$W$107</c:f>
              <c:numCache>
                <c:formatCode>General</c:formatCode>
                <c:ptCount val="5"/>
                <c:pt idx="0">
                  <c:v>2014</c:v>
                </c:pt>
                <c:pt idx="1">
                  <c:v>2015</c:v>
                </c:pt>
                <c:pt idx="2">
                  <c:v>2016</c:v>
                </c:pt>
                <c:pt idx="3">
                  <c:v>2017</c:v>
                </c:pt>
                <c:pt idx="4">
                  <c:v>2018</c:v>
                </c:pt>
              </c:numCache>
            </c:numRef>
          </c:cat>
          <c:val>
            <c:numRef>
              <c:f>Ratio!$S$108:$W$108</c:f>
              <c:numCache>
                <c:formatCode>General</c:formatCode>
                <c:ptCount val="5"/>
                <c:pt idx="0">
                  <c:v>0.36265106275386844</c:v>
                </c:pt>
                <c:pt idx="1">
                  <c:v>0.36375671604729898</c:v>
                </c:pt>
                <c:pt idx="2">
                  <c:v>0.38976075521901893</c:v>
                </c:pt>
                <c:pt idx="3">
                  <c:v>0.39209448973086797</c:v>
                </c:pt>
                <c:pt idx="4">
                  <c:v>0.33493520113873143</c:v>
                </c:pt>
              </c:numCache>
            </c:numRef>
          </c:val>
          <c:extLst xmlns:c16r2="http://schemas.microsoft.com/office/drawing/2015/06/chart">
            <c:ext xmlns:c16="http://schemas.microsoft.com/office/drawing/2014/chart" uri="{C3380CC4-5D6E-409C-BE32-E72D297353CC}">
              <c16:uniqueId val="{00000000-653B-48AA-BE92-2FE093A5EAB7}"/>
            </c:ext>
          </c:extLst>
        </c:ser>
        <c:dLbls>
          <c:showLegendKey val="0"/>
          <c:showVal val="0"/>
          <c:showCatName val="0"/>
          <c:showSerName val="0"/>
          <c:showPercent val="0"/>
          <c:showBubbleSize val="0"/>
        </c:dLbls>
        <c:gapWidth val="219"/>
        <c:overlap val="-27"/>
        <c:axId val="402847616"/>
        <c:axId val="402849152"/>
      </c:barChart>
      <c:catAx>
        <c:axId val="402847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2849152"/>
        <c:crosses val="autoZero"/>
        <c:auto val="1"/>
        <c:lblAlgn val="ctr"/>
        <c:lblOffset val="100"/>
        <c:noMultiLvlLbl val="0"/>
      </c:catAx>
      <c:valAx>
        <c:axId val="402849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28476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Operating</a:t>
            </a:r>
            <a:r>
              <a:rPr lang="en-US" baseline="0"/>
              <a:t> Profit Margin</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Ratio!$S$132:$W$132</c:f>
              <c:numCache>
                <c:formatCode>General</c:formatCode>
                <c:ptCount val="5"/>
                <c:pt idx="0">
                  <c:v>2014</c:v>
                </c:pt>
                <c:pt idx="1">
                  <c:v>2015</c:v>
                </c:pt>
                <c:pt idx="2">
                  <c:v>2016</c:v>
                </c:pt>
                <c:pt idx="3">
                  <c:v>2017</c:v>
                </c:pt>
                <c:pt idx="4">
                  <c:v>2018</c:v>
                </c:pt>
              </c:numCache>
            </c:numRef>
          </c:cat>
          <c:val>
            <c:numRef>
              <c:f>Ratio!$S$133:$W$133</c:f>
              <c:numCache>
                <c:formatCode>General</c:formatCode>
                <c:ptCount val="5"/>
                <c:pt idx="0">
                  <c:v>0.26594312695875211</c:v>
                </c:pt>
                <c:pt idx="1">
                  <c:v>0.29211496385052982</c:v>
                </c:pt>
                <c:pt idx="2">
                  <c:v>0.30408571434607046</c:v>
                </c:pt>
                <c:pt idx="3">
                  <c:v>0.29547400088854148</c:v>
                </c:pt>
                <c:pt idx="4">
                  <c:v>0.23821204768126988</c:v>
                </c:pt>
              </c:numCache>
            </c:numRef>
          </c:val>
          <c:extLst xmlns:c16r2="http://schemas.microsoft.com/office/drawing/2015/06/chart">
            <c:ext xmlns:c16="http://schemas.microsoft.com/office/drawing/2014/chart" uri="{C3380CC4-5D6E-409C-BE32-E72D297353CC}">
              <c16:uniqueId val="{00000000-9A7D-44D7-8A42-B19389C667B9}"/>
            </c:ext>
          </c:extLst>
        </c:ser>
        <c:dLbls>
          <c:showLegendKey val="0"/>
          <c:showVal val="0"/>
          <c:showCatName val="0"/>
          <c:showSerName val="0"/>
          <c:showPercent val="0"/>
          <c:showBubbleSize val="0"/>
        </c:dLbls>
        <c:gapWidth val="219"/>
        <c:overlap val="-27"/>
        <c:axId val="402993152"/>
        <c:axId val="402994688"/>
      </c:barChart>
      <c:catAx>
        <c:axId val="402993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2994688"/>
        <c:crosses val="autoZero"/>
        <c:auto val="1"/>
        <c:lblAlgn val="ctr"/>
        <c:lblOffset val="100"/>
        <c:noMultiLvlLbl val="0"/>
      </c:catAx>
      <c:valAx>
        <c:axId val="402994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29931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Return</a:t>
            </a:r>
            <a:r>
              <a:rPr lang="en-US" baseline="0"/>
              <a:t> on Total Asset</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Ratio!$S$157:$W$157</c:f>
              <c:numCache>
                <c:formatCode>General</c:formatCode>
                <c:ptCount val="5"/>
                <c:pt idx="0">
                  <c:v>2014</c:v>
                </c:pt>
                <c:pt idx="1">
                  <c:v>2015</c:v>
                </c:pt>
                <c:pt idx="2">
                  <c:v>2016</c:v>
                </c:pt>
                <c:pt idx="3">
                  <c:v>2017</c:v>
                </c:pt>
                <c:pt idx="4">
                  <c:v>2018</c:v>
                </c:pt>
              </c:numCache>
            </c:numRef>
          </c:cat>
          <c:val>
            <c:numRef>
              <c:f>Ratio!$S$158:$W$158</c:f>
              <c:numCache>
                <c:formatCode>General</c:formatCode>
                <c:ptCount val="5"/>
                <c:pt idx="0">
                  <c:v>4.9846120014387013E-2</c:v>
                </c:pt>
                <c:pt idx="1">
                  <c:v>4.4541317016311359E-2</c:v>
                </c:pt>
                <c:pt idx="2">
                  <c:v>4.6144860388605845E-2</c:v>
                </c:pt>
                <c:pt idx="3">
                  <c:v>4.108184065815873E-2</c:v>
                </c:pt>
                <c:pt idx="4">
                  <c:v>3.7323764284933947E-2</c:v>
                </c:pt>
              </c:numCache>
            </c:numRef>
          </c:val>
          <c:extLst xmlns:c16r2="http://schemas.microsoft.com/office/drawing/2015/06/chart">
            <c:ext xmlns:c16="http://schemas.microsoft.com/office/drawing/2014/chart" uri="{C3380CC4-5D6E-409C-BE32-E72D297353CC}">
              <c16:uniqueId val="{00000000-B2CA-4E6B-AA72-D949C2A55C06}"/>
            </c:ext>
          </c:extLst>
        </c:ser>
        <c:dLbls>
          <c:showLegendKey val="0"/>
          <c:showVal val="0"/>
          <c:showCatName val="0"/>
          <c:showSerName val="0"/>
          <c:showPercent val="0"/>
          <c:showBubbleSize val="0"/>
        </c:dLbls>
        <c:gapWidth val="219"/>
        <c:overlap val="-27"/>
        <c:axId val="403085184"/>
        <c:axId val="403086720"/>
      </c:barChart>
      <c:catAx>
        <c:axId val="403085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086720"/>
        <c:crosses val="autoZero"/>
        <c:auto val="1"/>
        <c:lblAlgn val="ctr"/>
        <c:lblOffset val="100"/>
        <c:noMultiLvlLbl val="0"/>
      </c:catAx>
      <c:valAx>
        <c:axId val="403086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0851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Return on Equity</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Ratio!$S$183:$W$183</c:f>
              <c:numCache>
                <c:formatCode>General</c:formatCode>
                <c:ptCount val="5"/>
                <c:pt idx="0">
                  <c:v>2014</c:v>
                </c:pt>
                <c:pt idx="1">
                  <c:v>2015</c:v>
                </c:pt>
                <c:pt idx="2">
                  <c:v>2016</c:v>
                </c:pt>
                <c:pt idx="3">
                  <c:v>2017</c:v>
                </c:pt>
                <c:pt idx="4">
                  <c:v>2018</c:v>
                </c:pt>
              </c:numCache>
            </c:numRef>
          </c:cat>
          <c:val>
            <c:numRef>
              <c:f>Ratio!$S$184:$W$184</c:f>
              <c:numCache>
                <c:formatCode>General</c:formatCode>
                <c:ptCount val="5"/>
                <c:pt idx="0">
                  <c:v>0.50039865509623982</c:v>
                </c:pt>
                <c:pt idx="1">
                  <c:v>0.47452693997659179</c:v>
                </c:pt>
                <c:pt idx="2">
                  <c:v>0.46423854435374806</c:v>
                </c:pt>
                <c:pt idx="3">
                  <c:v>0.35997679911867619</c:v>
                </c:pt>
                <c:pt idx="4">
                  <c:v>0.35596374615706822</c:v>
                </c:pt>
              </c:numCache>
            </c:numRef>
          </c:val>
          <c:extLst xmlns:c16r2="http://schemas.microsoft.com/office/drawing/2015/06/chart">
            <c:ext xmlns:c16="http://schemas.microsoft.com/office/drawing/2014/chart" uri="{C3380CC4-5D6E-409C-BE32-E72D297353CC}">
              <c16:uniqueId val="{00000000-0F0A-4E17-9738-C0BFE8BB66A2}"/>
            </c:ext>
          </c:extLst>
        </c:ser>
        <c:dLbls>
          <c:showLegendKey val="0"/>
          <c:showVal val="0"/>
          <c:showCatName val="0"/>
          <c:showSerName val="0"/>
          <c:showPercent val="0"/>
          <c:showBubbleSize val="0"/>
        </c:dLbls>
        <c:gapWidth val="219"/>
        <c:overlap val="-27"/>
        <c:axId val="403329408"/>
        <c:axId val="403330944"/>
      </c:barChart>
      <c:catAx>
        <c:axId val="403329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330944"/>
        <c:crosses val="autoZero"/>
        <c:auto val="1"/>
        <c:lblAlgn val="ctr"/>
        <c:lblOffset val="100"/>
        <c:noMultiLvlLbl val="0"/>
      </c:catAx>
      <c:valAx>
        <c:axId val="403330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329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Return on Capital Employed</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Ratio!$S$208:$W$208</c:f>
              <c:numCache>
                <c:formatCode>General</c:formatCode>
                <c:ptCount val="5"/>
                <c:pt idx="0">
                  <c:v>2014</c:v>
                </c:pt>
                <c:pt idx="1">
                  <c:v>2015</c:v>
                </c:pt>
                <c:pt idx="2">
                  <c:v>2016</c:v>
                </c:pt>
                <c:pt idx="3">
                  <c:v>2017</c:v>
                </c:pt>
                <c:pt idx="4">
                  <c:v>2018</c:v>
                </c:pt>
              </c:numCache>
            </c:numRef>
          </c:cat>
          <c:val>
            <c:numRef>
              <c:f>Ratio!$S$209:$W$209</c:f>
              <c:numCache>
                <c:formatCode>General</c:formatCode>
                <c:ptCount val="5"/>
                <c:pt idx="0">
                  <c:v>0.36695765359598015</c:v>
                </c:pt>
                <c:pt idx="1">
                  <c:v>0.38106903268650705</c:v>
                </c:pt>
                <c:pt idx="2">
                  <c:v>0.36219221021229414</c:v>
                </c:pt>
                <c:pt idx="3">
                  <c:v>0.27127079785195074</c:v>
                </c:pt>
                <c:pt idx="4">
                  <c:v>0.25316793392895309</c:v>
                </c:pt>
              </c:numCache>
            </c:numRef>
          </c:val>
          <c:extLst xmlns:c16r2="http://schemas.microsoft.com/office/drawing/2015/06/chart">
            <c:ext xmlns:c16="http://schemas.microsoft.com/office/drawing/2014/chart" uri="{C3380CC4-5D6E-409C-BE32-E72D297353CC}">
              <c16:uniqueId val="{00000000-CE76-4798-AEEC-035795817915}"/>
            </c:ext>
          </c:extLst>
        </c:ser>
        <c:dLbls>
          <c:showLegendKey val="0"/>
          <c:showVal val="0"/>
          <c:showCatName val="0"/>
          <c:showSerName val="0"/>
          <c:showPercent val="0"/>
          <c:showBubbleSize val="0"/>
        </c:dLbls>
        <c:gapWidth val="219"/>
        <c:overlap val="-27"/>
        <c:axId val="403515648"/>
        <c:axId val="403521536"/>
      </c:barChart>
      <c:catAx>
        <c:axId val="403515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521536"/>
        <c:crosses val="autoZero"/>
        <c:auto val="1"/>
        <c:lblAlgn val="ctr"/>
        <c:lblOffset val="100"/>
        <c:noMultiLvlLbl val="0"/>
      </c:catAx>
      <c:valAx>
        <c:axId val="403521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515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Cost</a:t>
            </a:r>
            <a:r>
              <a:rPr lang="en-US" baseline="0"/>
              <a:t> to income Ratio</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Ratio!$S$233:$W$233</c:f>
              <c:numCache>
                <c:formatCode>General</c:formatCode>
                <c:ptCount val="5"/>
                <c:pt idx="0">
                  <c:v>2014</c:v>
                </c:pt>
                <c:pt idx="1">
                  <c:v>2015</c:v>
                </c:pt>
                <c:pt idx="2">
                  <c:v>2016</c:v>
                </c:pt>
                <c:pt idx="3">
                  <c:v>2017</c:v>
                </c:pt>
                <c:pt idx="4">
                  <c:v>2018</c:v>
                </c:pt>
              </c:numCache>
            </c:numRef>
          </c:cat>
          <c:val>
            <c:numRef>
              <c:f>Ratio!$S$234:$W$234</c:f>
              <c:numCache>
                <c:formatCode>General</c:formatCode>
                <c:ptCount val="5"/>
                <c:pt idx="0">
                  <c:v>0.37183466738100607</c:v>
                </c:pt>
                <c:pt idx="1">
                  <c:v>0.35188428041527237</c:v>
                </c:pt>
                <c:pt idx="2">
                  <c:v>0.37904420965637786</c:v>
                </c:pt>
                <c:pt idx="3">
                  <c:v>0.40284518238685202</c:v>
                </c:pt>
                <c:pt idx="4">
                  <c:v>0.40660328719327926</c:v>
                </c:pt>
              </c:numCache>
            </c:numRef>
          </c:val>
          <c:extLst xmlns:c16r2="http://schemas.microsoft.com/office/drawing/2015/06/chart">
            <c:ext xmlns:c16="http://schemas.microsoft.com/office/drawing/2014/chart" uri="{C3380CC4-5D6E-409C-BE32-E72D297353CC}">
              <c16:uniqueId val="{00000000-96EE-4A2D-A851-4B9A4838A1FA}"/>
            </c:ext>
          </c:extLst>
        </c:ser>
        <c:dLbls>
          <c:showLegendKey val="0"/>
          <c:showVal val="0"/>
          <c:showCatName val="0"/>
          <c:showSerName val="0"/>
          <c:showPercent val="0"/>
          <c:showBubbleSize val="0"/>
        </c:dLbls>
        <c:gapWidth val="219"/>
        <c:overlap val="-27"/>
        <c:axId val="403689856"/>
        <c:axId val="403691392"/>
      </c:barChart>
      <c:catAx>
        <c:axId val="403689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691392"/>
        <c:crosses val="autoZero"/>
        <c:auto val="1"/>
        <c:lblAlgn val="ctr"/>
        <c:lblOffset val="100"/>
        <c:noMultiLvlLbl val="0"/>
      </c:catAx>
      <c:valAx>
        <c:axId val="403691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689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Net Interest Income to Total Operating Income</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Ratio!$S$259:$W$259</c:f>
              <c:numCache>
                <c:formatCode>General</c:formatCode>
                <c:ptCount val="5"/>
                <c:pt idx="0">
                  <c:v>2014</c:v>
                </c:pt>
                <c:pt idx="1">
                  <c:v>2015</c:v>
                </c:pt>
                <c:pt idx="2">
                  <c:v>2016</c:v>
                </c:pt>
                <c:pt idx="3">
                  <c:v>2017</c:v>
                </c:pt>
                <c:pt idx="4">
                  <c:v>2018</c:v>
                </c:pt>
              </c:numCache>
            </c:numRef>
          </c:cat>
          <c:val>
            <c:numRef>
              <c:f>Ratio!$S$260:$W$260</c:f>
              <c:numCache>
                <c:formatCode>General</c:formatCode>
                <c:ptCount val="5"/>
                <c:pt idx="0">
                  <c:v>0.34680474945699752</c:v>
                </c:pt>
                <c:pt idx="1">
                  <c:v>0.31402856116172112</c:v>
                </c:pt>
                <c:pt idx="2">
                  <c:v>0.33736414658877256</c:v>
                </c:pt>
                <c:pt idx="3">
                  <c:v>0.32950613907350434</c:v>
                </c:pt>
                <c:pt idx="4">
                  <c:v>0.33805728059041568</c:v>
                </c:pt>
              </c:numCache>
            </c:numRef>
          </c:val>
          <c:extLst xmlns:c16r2="http://schemas.microsoft.com/office/drawing/2015/06/chart">
            <c:ext xmlns:c16="http://schemas.microsoft.com/office/drawing/2014/chart" uri="{C3380CC4-5D6E-409C-BE32-E72D297353CC}">
              <c16:uniqueId val="{00000000-EEB0-4F91-B317-364F73FAF68D}"/>
            </c:ext>
          </c:extLst>
        </c:ser>
        <c:dLbls>
          <c:showLegendKey val="0"/>
          <c:showVal val="0"/>
          <c:showCatName val="0"/>
          <c:showSerName val="0"/>
          <c:showPercent val="0"/>
          <c:showBubbleSize val="0"/>
        </c:dLbls>
        <c:gapWidth val="219"/>
        <c:overlap val="-27"/>
        <c:axId val="404031744"/>
        <c:axId val="404045824"/>
      </c:barChart>
      <c:catAx>
        <c:axId val="404031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045824"/>
        <c:crosses val="autoZero"/>
        <c:auto val="1"/>
        <c:lblAlgn val="ctr"/>
        <c:lblOffset val="100"/>
        <c:noMultiLvlLbl val="0"/>
      </c:catAx>
      <c:valAx>
        <c:axId val="404045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031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Investment Income to Total Opeating Income</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Ratio!$S$287:$W$287</c:f>
              <c:numCache>
                <c:formatCode>General</c:formatCode>
                <c:ptCount val="5"/>
                <c:pt idx="0">
                  <c:v>2014</c:v>
                </c:pt>
                <c:pt idx="1">
                  <c:v>2015</c:v>
                </c:pt>
                <c:pt idx="2">
                  <c:v>2016</c:v>
                </c:pt>
                <c:pt idx="3">
                  <c:v>2017</c:v>
                </c:pt>
                <c:pt idx="4">
                  <c:v>2018</c:v>
                </c:pt>
              </c:numCache>
            </c:numRef>
          </c:cat>
          <c:val>
            <c:numRef>
              <c:f>Ratio!$S$288:$W$288</c:f>
              <c:numCache>
                <c:formatCode>General</c:formatCode>
                <c:ptCount val="5"/>
                <c:pt idx="0">
                  <c:v>1.6215425581131149E-2</c:v>
                </c:pt>
                <c:pt idx="1">
                  <c:v>6.8894706000654782E-2</c:v>
                </c:pt>
                <c:pt idx="2">
                  <c:v>7.2925796595595796E-2</c:v>
                </c:pt>
                <c:pt idx="3">
                  <c:v>0.10766039827184226</c:v>
                </c:pt>
                <c:pt idx="4">
                  <c:v>6.3151726567134636E-2</c:v>
                </c:pt>
              </c:numCache>
            </c:numRef>
          </c:val>
          <c:extLst xmlns:c16r2="http://schemas.microsoft.com/office/drawing/2015/06/chart">
            <c:ext xmlns:c16="http://schemas.microsoft.com/office/drawing/2014/chart" uri="{C3380CC4-5D6E-409C-BE32-E72D297353CC}">
              <c16:uniqueId val="{00000000-F3B5-4515-A674-1DEF06E31590}"/>
            </c:ext>
          </c:extLst>
        </c:ser>
        <c:dLbls>
          <c:showLegendKey val="0"/>
          <c:showVal val="0"/>
          <c:showCatName val="0"/>
          <c:showSerName val="0"/>
          <c:showPercent val="0"/>
          <c:showBubbleSize val="0"/>
        </c:dLbls>
        <c:gapWidth val="219"/>
        <c:overlap val="-27"/>
        <c:axId val="402416000"/>
        <c:axId val="402417536"/>
      </c:barChart>
      <c:catAx>
        <c:axId val="402416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2417536"/>
        <c:crosses val="autoZero"/>
        <c:auto val="1"/>
        <c:lblAlgn val="ctr"/>
        <c:lblOffset val="100"/>
        <c:noMultiLvlLbl val="0"/>
      </c:catAx>
      <c:valAx>
        <c:axId val="402417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2416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Investment Income to Total</a:t>
            </a:r>
            <a:r>
              <a:rPr lang="en-US" baseline="0"/>
              <a:t> Revenue</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Ratio!$S$312:$W$312</c:f>
              <c:numCache>
                <c:formatCode>General</c:formatCode>
                <c:ptCount val="5"/>
                <c:pt idx="0">
                  <c:v>2014</c:v>
                </c:pt>
                <c:pt idx="1">
                  <c:v>2015</c:v>
                </c:pt>
                <c:pt idx="2">
                  <c:v>2016</c:v>
                </c:pt>
                <c:pt idx="3">
                  <c:v>2017</c:v>
                </c:pt>
                <c:pt idx="4">
                  <c:v>2018</c:v>
                </c:pt>
              </c:numCache>
            </c:numRef>
          </c:cat>
          <c:val>
            <c:numRef>
              <c:f>Ratio!$S$313:$W$313</c:f>
              <c:numCache>
                <c:formatCode>General</c:formatCode>
                <c:ptCount val="5"/>
                <c:pt idx="0">
                  <c:v>6.8650413515076621E-3</c:v>
                </c:pt>
                <c:pt idx="1">
                  <c:v>3.1051822914847857E-2</c:v>
                </c:pt>
                <c:pt idx="2">
                  <c:v>3.5712192875690045E-2</c:v>
                </c:pt>
                <c:pt idx="3">
                  <c:v>5.3270689068178841E-2</c:v>
                </c:pt>
                <c:pt idx="4">
                  <c:v>2.5351508991362941E-2</c:v>
                </c:pt>
              </c:numCache>
            </c:numRef>
          </c:val>
          <c:extLst xmlns:c16r2="http://schemas.microsoft.com/office/drawing/2015/06/chart">
            <c:ext xmlns:c16="http://schemas.microsoft.com/office/drawing/2014/chart" uri="{C3380CC4-5D6E-409C-BE32-E72D297353CC}">
              <c16:uniqueId val="{00000000-0435-4FD2-AFB5-63DA2195B6C6}"/>
            </c:ext>
          </c:extLst>
        </c:ser>
        <c:dLbls>
          <c:showLegendKey val="0"/>
          <c:showVal val="0"/>
          <c:showCatName val="0"/>
          <c:showSerName val="0"/>
          <c:showPercent val="0"/>
          <c:showBubbleSize val="0"/>
        </c:dLbls>
        <c:gapWidth val="219"/>
        <c:overlap val="-27"/>
        <c:axId val="404236544"/>
        <c:axId val="404238336"/>
      </c:barChart>
      <c:catAx>
        <c:axId val="404236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238336"/>
        <c:crosses val="autoZero"/>
        <c:auto val="1"/>
        <c:lblAlgn val="ctr"/>
        <c:lblOffset val="100"/>
        <c:noMultiLvlLbl val="0"/>
      </c:catAx>
      <c:valAx>
        <c:axId val="404238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236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Return on Capital</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Ratio!$S$342:$W$342</c:f>
              <c:numCache>
                <c:formatCode>General</c:formatCode>
                <c:ptCount val="5"/>
                <c:pt idx="0">
                  <c:v>2014</c:v>
                </c:pt>
                <c:pt idx="1">
                  <c:v>2015</c:v>
                </c:pt>
                <c:pt idx="2">
                  <c:v>2016</c:v>
                </c:pt>
                <c:pt idx="3">
                  <c:v>2017</c:v>
                </c:pt>
                <c:pt idx="4">
                  <c:v>2018</c:v>
                </c:pt>
              </c:numCache>
            </c:numRef>
          </c:cat>
          <c:val>
            <c:numRef>
              <c:f>Ratio!$S$343:$W$343</c:f>
              <c:numCache>
                <c:formatCode>General</c:formatCode>
                <c:ptCount val="5"/>
                <c:pt idx="0">
                  <c:v>0.50039865509623982</c:v>
                </c:pt>
                <c:pt idx="1">
                  <c:v>0.47452693997659179</c:v>
                </c:pt>
                <c:pt idx="2">
                  <c:v>0.46423854435374806</c:v>
                </c:pt>
                <c:pt idx="3">
                  <c:v>0.35997679911867619</c:v>
                </c:pt>
                <c:pt idx="4">
                  <c:v>0.35596374615706822</c:v>
                </c:pt>
              </c:numCache>
            </c:numRef>
          </c:val>
          <c:extLst xmlns:c16r2="http://schemas.microsoft.com/office/drawing/2015/06/chart">
            <c:ext xmlns:c16="http://schemas.microsoft.com/office/drawing/2014/chart" uri="{C3380CC4-5D6E-409C-BE32-E72D297353CC}">
              <c16:uniqueId val="{00000000-1D36-4773-A781-E585B8B5CCB1}"/>
            </c:ext>
          </c:extLst>
        </c:ser>
        <c:dLbls>
          <c:showLegendKey val="0"/>
          <c:showVal val="0"/>
          <c:showCatName val="0"/>
          <c:showSerName val="0"/>
          <c:showPercent val="0"/>
          <c:showBubbleSize val="0"/>
        </c:dLbls>
        <c:gapWidth val="219"/>
        <c:overlap val="-27"/>
        <c:axId val="404529536"/>
        <c:axId val="404531072"/>
      </c:barChart>
      <c:catAx>
        <c:axId val="404529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531072"/>
        <c:crosses val="autoZero"/>
        <c:auto val="1"/>
        <c:lblAlgn val="ctr"/>
        <c:lblOffset val="100"/>
        <c:noMultiLvlLbl val="0"/>
      </c:catAx>
      <c:valAx>
        <c:axId val="404531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529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Debt to Equity Ratio</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Ratio!$S$370:$W$370</c:f>
              <c:numCache>
                <c:formatCode>General</c:formatCode>
                <c:ptCount val="5"/>
                <c:pt idx="0">
                  <c:v>2014</c:v>
                </c:pt>
                <c:pt idx="1">
                  <c:v>2015</c:v>
                </c:pt>
                <c:pt idx="2">
                  <c:v>2016</c:v>
                </c:pt>
                <c:pt idx="3">
                  <c:v>2017</c:v>
                </c:pt>
                <c:pt idx="4">
                  <c:v>2018</c:v>
                </c:pt>
              </c:numCache>
            </c:numRef>
          </c:cat>
          <c:val>
            <c:numRef>
              <c:f>Ratio!$S$371:$W$371</c:f>
              <c:numCache>
                <c:formatCode>General</c:formatCode>
                <c:ptCount val="5"/>
                <c:pt idx="0">
                  <c:v>9.0388687214132304</c:v>
                </c:pt>
                <c:pt idx="1">
                  <c:v>9.6536351361774173</c:v>
                </c:pt>
                <c:pt idx="2">
                  <c:v>9.0604604812799163</c:v>
                </c:pt>
                <c:pt idx="3">
                  <c:v>7.7624311216733624</c:v>
                </c:pt>
                <c:pt idx="4">
                  <c:v>8.5371877134256771</c:v>
                </c:pt>
              </c:numCache>
            </c:numRef>
          </c:val>
          <c:extLst xmlns:c16r2="http://schemas.microsoft.com/office/drawing/2015/06/chart">
            <c:ext xmlns:c16="http://schemas.microsoft.com/office/drawing/2014/chart" uri="{C3380CC4-5D6E-409C-BE32-E72D297353CC}">
              <c16:uniqueId val="{00000000-2265-4B51-AD94-88D0A6474944}"/>
            </c:ext>
          </c:extLst>
        </c:ser>
        <c:dLbls>
          <c:showLegendKey val="0"/>
          <c:showVal val="0"/>
          <c:showCatName val="0"/>
          <c:showSerName val="0"/>
          <c:showPercent val="0"/>
          <c:showBubbleSize val="0"/>
        </c:dLbls>
        <c:gapWidth val="219"/>
        <c:overlap val="-27"/>
        <c:axId val="404449536"/>
        <c:axId val="404635648"/>
      </c:barChart>
      <c:catAx>
        <c:axId val="404449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635648"/>
        <c:crosses val="autoZero"/>
        <c:auto val="1"/>
        <c:lblAlgn val="ctr"/>
        <c:lblOffset val="100"/>
        <c:noMultiLvlLbl val="0"/>
      </c:catAx>
      <c:valAx>
        <c:axId val="404635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449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a:t>
            </a:r>
            <a:r>
              <a:rPr lang="en-US" baseline="0"/>
              <a:t> Debt to Taotal Asset Ratio</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Ratio!$S$400:$W$400</c:f>
              <c:numCache>
                <c:formatCode>General</c:formatCode>
                <c:ptCount val="5"/>
                <c:pt idx="0">
                  <c:v>2014</c:v>
                </c:pt>
                <c:pt idx="1">
                  <c:v>2015</c:v>
                </c:pt>
                <c:pt idx="2">
                  <c:v>2016</c:v>
                </c:pt>
                <c:pt idx="3">
                  <c:v>2017</c:v>
                </c:pt>
                <c:pt idx="4">
                  <c:v>2018</c:v>
                </c:pt>
              </c:numCache>
            </c:numRef>
          </c:cat>
          <c:val>
            <c:numRef>
              <c:f>Ratio!$S$401:$W$401</c:f>
              <c:numCache>
                <c:formatCode>General</c:formatCode>
                <c:ptCount val="5"/>
                <c:pt idx="0">
                  <c:v>0.90038718228609094</c:v>
                </c:pt>
                <c:pt idx="1">
                  <c:v>0.9061353249648828</c:v>
                </c:pt>
                <c:pt idx="2">
                  <c:v>0.90060097131132733</c:v>
                </c:pt>
                <c:pt idx="3">
                  <c:v>0.88587642103952657</c:v>
                </c:pt>
                <c:pt idx="4">
                  <c:v>0.89514728764410489</c:v>
                </c:pt>
              </c:numCache>
            </c:numRef>
          </c:val>
          <c:extLst xmlns:c16r2="http://schemas.microsoft.com/office/drawing/2015/06/chart">
            <c:ext xmlns:c16="http://schemas.microsoft.com/office/drawing/2014/chart" uri="{C3380CC4-5D6E-409C-BE32-E72D297353CC}">
              <c16:uniqueId val="{00000000-8D1E-4652-B2CE-236C8DDF5542}"/>
            </c:ext>
          </c:extLst>
        </c:ser>
        <c:dLbls>
          <c:showLegendKey val="0"/>
          <c:showVal val="0"/>
          <c:showCatName val="0"/>
          <c:showSerName val="0"/>
          <c:showPercent val="0"/>
          <c:showBubbleSize val="0"/>
        </c:dLbls>
        <c:gapWidth val="219"/>
        <c:overlap val="-27"/>
        <c:axId val="404828544"/>
        <c:axId val="404830080"/>
      </c:barChart>
      <c:catAx>
        <c:axId val="404828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830080"/>
        <c:crosses val="autoZero"/>
        <c:auto val="1"/>
        <c:lblAlgn val="ctr"/>
        <c:lblOffset val="100"/>
        <c:noMultiLvlLbl val="0"/>
      </c:catAx>
      <c:valAx>
        <c:axId val="404830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828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a:t>
            </a:r>
            <a:r>
              <a:rPr lang="en-US" baseline="0"/>
              <a:t> Equity To Total Assets</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Ratio!$S$430:$W$430</c:f>
              <c:numCache>
                <c:formatCode>General</c:formatCode>
                <c:ptCount val="5"/>
                <c:pt idx="0">
                  <c:v>2014</c:v>
                </c:pt>
                <c:pt idx="1">
                  <c:v>2015</c:v>
                </c:pt>
                <c:pt idx="2">
                  <c:v>2016</c:v>
                </c:pt>
                <c:pt idx="3">
                  <c:v>2017</c:v>
                </c:pt>
                <c:pt idx="4">
                  <c:v>2018</c:v>
                </c:pt>
              </c:numCache>
            </c:numRef>
          </c:cat>
          <c:val>
            <c:numRef>
              <c:f>Ratio!$S$431:$W$431</c:f>
              <c:numCache>
                <c:formatCode>General</c:formatCode>
                <c:ptCount val="5"/>
                <c:pt idx="0">
                  <c:v>9.9612817713909119E-2</c:v>
                </c:pt>
                <c:pt idx="1">
                  <c:v>9.3864675035117223E-2</c:v>
                </c:pt>
                <c:pt idx="2">
                  <c:v>9.9399028688672675E-2</c:v>
                </c:pt>
                <c:pt idx="3">
                  <c:v>0.11412357896047345</c:v>
                </c:pt>
                <c:pt idx="4">
                  <c:v>0.10485271235589515</c:v>
                </c:pt>
              </c:numCache>
            </c:numRef>
          </c:val>
          <c:extLst xmlns:c16r2="http://schemas.microsoft.com/office/drawing/2015/06/chart">
            <c:ext xmlns:c16="http://schemas.microsoft.com/office/drawing/2014/chart" uri="{C3380CC4-5D6E-409C-BE32-E72D297353CC}">
              <c16:uniqueId val="{00000000-2257-4183-AD4F-83186549D078}"/>
            </c:ext>
          </c:extLst>
        </c:ser>
        <c:dLbls>
          <c:showLegendKey val="0"/>
          <c:showVal val="0"/>
          <c:showCatName val="0"/>
          <c:showSerName val="0"/>
          <c:showPercent val="0"/>
          <c:showBubbleSize val="0"/>
        </c:dLbls>
        <c:gapWidth val="219"/>
        <c:overlap val="-27"/>
        <c:axId val="403998592"/>
        <c:axId val="404000128"/>
      </c:barChart>
      <c:catAx>
        <c:axId val="403998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000128"/>
        <c:crosses val="autoZero"/>
        <c:auto val="1"/>
        <c:lblAlgn val="ctr"/>
        <c:lblOffset val="100"/>
        <c:noMultiLvlLbl val="0"/>
      </c:catAx>
      <c:valAx>
        <c:axId val="404000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998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Loan to Total Asset Ratio</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Ratio!$S$461:$W$461</c:f>
              <c:numCache>
                <c:formatCode>General</c:formatCode>
                <c:ptCount val="5"/>
                <c:pt idx="0">
                  <c:v>2014</c:v>
                </c:pt>
                <c:pt idx="1">
                  <c:v>2015</c:v>
                </c:pt>
                <c:pt idx="2">
                  <c:v>2016</c:v>
                </c:pt>
                <c:pt idx="3">
                  <c:v>2017</c:v>
                </c:pt>
                <c:pt idx="4">
                  <c:v>2018</c:v>
                </c:pt>
              </c:numCache>
            </c:numRef>
          </c:cat>
          <c:val>
            <c:numRef>
              <c:f>Ratio!$S$462:$W$462</c:f>
              <c:numCache>
                <c:formatCode>General</c:formatCode>
                <c:ptCount val="5"/>
                <c:pt idx="0">
                  <c:v>0.79337099327345562</c:v>
                </c:pt>
                <c:pt idx="1">
                  <c:v>0.75043446601073038</c:v>
                </c:pt>
                <c:pt idx="2">
                  <c:v>0.79910570357883359</c:v>
                </c:pt>
                <c:pt idx="3">
                  <c:v>0.7630372985435645</c:v>
                </c:pt>
                <c:pt idx="4">
                  <c:v>0.78349720437021553</c:v>
                </c:pt>
              </c:numCache>
            </c:numRef>
          </c:val>
          <c:extLst xmlns:c16r2="http://schemas.microsoft.com/office/drawing/2015/06/chart">
            <c:ext xmlns:c16="http://schemas.microsoft.com/office/drawing/2014/chart" uri="{C3380CC4-5D6E-409C-BE32-E72D297353CC}">
              <c16:uniqueId val="{00000000-CD43-44BA-9A3C-904E9AE8E8A3}"/>
            </c:ext>
          </c:extLst>
        </c:ser>
        <c:dLbls>
          <c:showLegendKey val="0"/>
          <c:showVal val="0"/>
          <c:showCatName val="0"/>
          <c:showSerName val="0"/>
          <c:showPercent val="0"/>
          <c:showBubbleSize val="0"/>
        </c:dLbls>
        <c:gapWidth val="219"/>
        <c:overlap val="-27"/>
        <c:axId val="405217280"/>
        <c:axId val="405218816"/>
      </c:barChart>
      <c:catAx>
        <c:axId val="405217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218816"/>
        <c:crosses val="autoZero"/>
        <c:auto val="1"/>
        <c:lblAlgn val="ctr"/>
        <c:lblOffset val="100"/>
        <c:noMultiLvlLbl val="0"/>
      </c:catAx>
      <c:valAx>
        <c:axId val="405218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217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Loan to Deposit</a:t>
            </a:r>
            <a:r>
              <a:rPr lang="en-US" baseline="0"/>
              <a:t> Ratio</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Ratio!$S$492:$W$492</c:f>
              <c:numCache>
                <c:formatCode>General</c:formatCode>
                <c:ptCount val="5"/>
                <c:pt idx="0">
                  <c:v>2014</c:v>
                </c:pt>
                <c:pt idx="1">
                  <c:v>2015</c:v>
                </c:pt>
                <c:pt idx="2">
                  <c:v>2016</c:v>
                </c:pt>
                <c:pt idx="3">
                  <c:v>2017</c:v>
                </c:pt>
                <c:pt idx="4">
                  <c:v>2018</c:v>
                </c:pt>
              </c:numCache>
            </c:numRef>
          </c:cat>
          <c:val>
            <c:numRef>
              <c:f>Ratio!$S$493:$W$493</c:f>
              <c:numCache>
                <c:formatCode>General</c:formatCode>
                <c:ptCount val="5"/>
                <c:pt idx="0">
                  <c:v>1.2391771079444982</c:v>
                </c:pt>
                <c:pt idx="1">
                  <c:v>1.1276654580758338</c:v>
                </c:pt>
                <c:pt idx="2">
                  <c:v>1.2372375890146536</c:v>
                </c:pt>
                <c:pt idx="3">
                  <c:v>1.1256585727465378</c:v>
                </c:pt>
                <c:pt idx="4">
                  <c:v>1.1167654630390731</c:v>
                </c:pt>
              </c:numCache>
            </c:numRef>
          </c:val>
          <c:extLst xmlns:c16r2="http://schemas.microsoft.com/office/drawing/2015/06/chart">
            <c:ext xmlns:c16="http://schemas.microsoft.com/office/drawing/2014/chart" uri="{C3380CC4-5D6E-409C-BE32-E72D297353CC}">
              <c16:uniqueId val="{00000000-A7BA-4C7D-A685-CD5B3C0414A8}"/>
            </c:ext>
          </c:extLst>
        </c:ser>
        <c:dLbls>
          <c:showLegendKey val="0"/>
          <c:showVal val="0"/>
          <c:showCatName val="0"/>
          <c:showSerName val="0"/>
          <c:showPercent val="0"/>
          <c:showBubbleSize val="0"/>
        </c:dLbls>
        <c:gapWidth val="219"/>
        <c:overlap val="-27"/>
        <c:axId val="405485440"/>
        <c:axId val="405486976"/>
      </c:barChart>
      <c:catAx>
        <c:axId val="405485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486976"/>
        <c:crosses val="autoZero"/>
        <c:auto val="1"/>
        <c:lblAlgn val="ctr"/>
        <c:lblOffset val="100"/>
        <c:noMultiLvlLbl val="0"/>
      </c:catAx>
      <c:valAx>
        <c:axId val="405486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485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Equity Multiplier</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Ratio!$S$521:$W$521</c:f>
              <c:numCache>
                <c:formatCode>General</c:formatCode>
                <c:ptCount val="5"/>
                <c:pt idx="0">
                  <c:v>2014</c:v>
                </c:pt>
                <c:pt idx="1">
                  <c:v>2015</c:v>
                </c:pt>
                <c:pt idx="2">
                  <c:v>2016</c:v>
                </c:pt>
                <c:pt idx="3">
                  <c:v>2017</c:v>
                </c:pt>
                <c:pt idx="4">
                  <c:v>2018</c:v>
                </c:pt>
              </c:numCache>
            </c:numRef>
          </c:cat>
          <c:val>
            <c:numRef>
              <c:f>Ratio!$S$522:$W$522</c:f>
              <c:numCache>
                <c:formatCode>General</c:formatCode>
                <c:ptCount val="5"/>
                <c:pt idx="0">
                  <c:v>10.03886872141323</c:v>
                </c:pt>
                <c:pt idx="1">
                  <c:v>10.653635136177417</c:v>
                </c:pt>
                <c:pt idx="2">
                  <c:v>10.060460481279916</c:v>
                </c:pt>
                <c:pt idx="3">
                  <c:v>8.7624311216733624</c:v>
                </c:pt>
                <c:pt idx="4">
                  <c:v>9.5371877134256771</c:v>
                </c:pt>
              </c:numCache>
            </c:numRef>
          </c:val>
          <c:extLst xmlns:c16r2="http://schemas.microsoft.com/office/drawing/2015/06/chart">
            <c:ext xmlns:c16="http://schemas.microsoft.com/office/drawing/2014/chart" uri="{C3380CC4-5D6E-409C-BE32-E72D297353CC}">
              <c16:uniqueId val="{00000000-1EB0-4518-8BED-1C26FF8D7F8E}"/>
            </c:ext>
          </c:extLst>
        </c:ser>
        <c:dLbls>
          <c:showLegendKey val="0"/>
          <c:showVal val="0"/>
          <c:showCatName val="0"/>
          <c:showSerName val="0"/>
          <c:showPercent val="0"/>
          <c:showBubbleSize val="0"/>
        </c:dLbls>
        <c:gapWidth val="219"/>
        <c:overlap val="-27"/>
        <c:axId val="405614592"/>
        <c:axId val="405616128"/>
      </c:barChart>
      <c:catAx>
        <c:axId val="405614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616128"/>
        <c:crosses val="autoZero"/>
        <c:auto val="1"/>
        <c:lblAlgn val="ctr"/>
        <c:lblOffset val="100"/>
        <c:noMultiLvlLbl val="0"/>
      </c:catAx>
      <c:valAx>
        <c:axId val="405616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614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Asset Utilization Ratio</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Ratio!$S$552:$W$552</c:f>
              <c:numCache>
                <c:formatCode>General</c:formatCode>
                <c:ptCount val="5"/>
                <c:pt idx="0">
                  <c:v>2014</c:v>
                </c:pt>
                <c:pt idx="1">
                  <c:v>2015</c:v>
                </c:pt>
                <c:pt idx="2">
                  <c:v>2016</c:v>
                </c:pt>
                <c:pt idx="3">
                  <c:v>2017</c:v>
                </c:pt>
                <c:pt idx="4">
                  <c:v>2018</c:v>
                </c:pt>
              </c:numCache>
            </c:numRef>
          </c:cat>
          <c:val>
            <c:numRef>
              <c:f>Ratio!$S$553:$W$553</c:f>
              <c:numCache>
                <c:formatCode>General</c:formatCode>
                <c:ptCount val="5"/>
                <c:pt idx="0">
                  <c:v>0.13744925945030972</c:v>
                </c:pt>
                <c:pt idx="1">
                  <c:v>0.1224480952552906</c:v>
                </c:pt>
                <c:pt idx="2">
                  <c:v>0.11839278267683874</c:v>
                </c:pt>
                <c:pt idx="3">
                  <c:v>0.10477535832333972</c:v>
                </c:pt>
                <c:pt idx="4">
                  <c:v>0.11143577670557926</c:v>
                </c:pt>
              </c:numCache>
            </c:numRef>
          </c:val>
          <c:extLst xmlns:c16r2="http://schemas.microsoft.com/office/drawing/2015/06/chart">
            <c:ext xmlns:c16="http://schemas.microsoft.com/office/drawing/2014/chart" uri="{C3380CC4-5D6E-409C-BE32-E72D297353CC}">
              <c16:uniqueId val="{00000000-CAC7-47DF-9097-A14815030C70}"/>
            </c:ext>
          </c:extLst>
        </c:ser>
        <c:dLbls>
          <c:showLegendKey val="0"/>
          <c:showVal val="0"/>
          <c:showCatName val="0"/>
          <c:showSerName val="0"/>
          <c:showPercent val="0"/>
          <c:showBubbleSize val="0"/>
        </c:dLbls>
        <c:gapWidth val="219"/>
        <c:overlap val="-27"/>
        <c:axId val="404965248"/>
        <c:axId val="404966784"/>
      </c:barChart>
      <c:catAx>
        <c:axId val="404965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966784"/>
        <c:crosses val="autoZero"/>
        <c:auto val="1"/>
        <c:lblAlgn val="ctr"/>
        <c:lblOffset val="100"/>
        <c:noMultiLvlLbl val="0"/>
      </c:catAx>
      <c:valAx>
        <c:axId val="404966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965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Loan</a:t>
            </a:r>
            <a:r>
              <a:rPr lang="en-US" baseline="0"/>
              <a:t> Utilization Ratio</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Ratio!$S$582:$W$582</c:f>
              <c:numCache>
                <c:formatCode>General</c:formatCode>
                <c:ptCount val="5"/>
                <c:pt idx="0">
                  <c:v>2014</c:v>
                </c:pt>
                <c:pt idx="1">
                  <c:v>2015</c:v>
                </c:pt>
                <c:pt idx="2">
                  <c:v>2016</c:v>
                </c:pt>
                <c:pt idx="3">
                  <c:v>2017</c:v>
                </c:pt>
                <c:pt idx="4">
                  <c:v>2018</c:v>
                </c:pt>
              </c:numCache>
            </c:numRef>
          </c:cat>
          <c:val>
            <c:numRef>
              <c:f>Ratio!$S$583:$W$583</c:f>
              <c:numCache>
                <c:formatCode>General</c:formatCode>
                <c:ptCount val="5"/>
                <c:pt idx="0">
                  <c:v>2.5437002277250577E-2</c:v>
                </c:pt>
                <c:pt idx="1">
                  <c:v>2.3094558306773306E-2</c:v>
                </c:pt>
                <c:pt idx="2">
                  <c:v>2.4476835015098477E-2</c:v>
                </c:pt>
                <c:pt idx="3">
                  <c:v>2.238768718724813E-2</c:v>
                </c:pt>
                <c:pt idx="4">
                  <c:v>1.9301722745386773E-2</c:v>
                </c:pt>
              </c:numCache>
            </c:numRef>
          </c:val>
          <c:extLst xmlns:c16r2="http://schemas.microsoft.com/office/drawing/2015/06/chart">
            <c:ext xmlns:c16="http://schemas.microsoft.com/office/drawing/2014/chart" uri="{C3380CC4-5D6E-409C-BE32-E72D297353CC}">
              <c16:uniqueId val="{00000000-E553-493F-AA6A-29EDE4FBAF38}"/>
            </c:ext>
          </c:extLst>
        </c:ser>
        <c:dLbls>
          <c:showLegendKey val="0"/>
          <c:showVal val="0"/>
          <c:showCatName val="0"/>
          <c:showSerName val="0"/>
          <c:showPercent val="0"/>
          <c:showBubbleSize val="0"/>
        </c:dLbls>
        <c:gapWidth val="219"/>
        <c:overlap val="-27"/>
        <c:axId val="405950464"/>
        <c:axId val="405952000"/>
      </c:barChart>
      <c:catAx>
        <c:axId val="405950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952000"/>
        <c:crosses val="autoZero"/>
        <c:auto val="1"/>
        <c:lblAlgn val="ctr"/>
        <c:lblOffset val="100"/>
        <c:noMultiLvlLbl val="0"/>
      </c:catAx>
      <c:valAx>
        <c:axId val="405952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950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Operating Ratio</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Ratio!$S$612:$W$612</c:f>
              <c:numCache>
                <c:formatCode>General</c:formatCode>
                <c:ptCount val="5"/>
                <c:pt idx="0">
                  <c:v>2014</c:v>
                </c:pt>
                <c:pt idx="1">
                  <c:v>2015</c:v>
                </c:pt>
                <c:pt idx="2">
                  <c:v>2016</c:v>
                </c:pt>
                <c:pt idx="3">
                  <c:v>2017</c:v>
                </c:pt>
                <c:pt idx="4">
                  <c:v>2018</c:v>
                </c:pt>
              </c:numCache>
            </c:numRef>
          </c:cat>
          <c:val>
            <c:numRef>
              <c:f>Ratio!$S$613:$W$613</c:f>
              <c:numCache>
                <c:formatCode>General</c:formatCode>
                <c:ptCount val="5"/>
                <c:pt idx="0">
                  <c:v>0.15742173122271122</c:v>
                </c:pt>
                <c:pt idx="1">
                  <c:v>0.15859924508379289</c:v>
                </c:pt>
                <c:pt idx="2">
                  <c:v>0.18562018593677687</c:v>
                </c:pt>
                <c:pt idx="3">
                  <c:v>0.19932900860498154</c:v>
                </c:pt>
                <c:pt idx="4">
                  <c:v>0.16322605020529449</c:v>
                </c:pt>
              </c:numCache>
            </c:numRef>
          </c:val>
          <c:extLst xmlns:c16r2="http://schemas.microsoft.com/office/drawing/2015/06/chart">
            <c:ext xmlns:c16="http://schemas.microsoft.com/office/drawing/2014/chart" uri="{C3380CC4-5D6E-409C-BE32-E72D297353CC}">
              <c16:uniqueId val="{00000000-4906-4168-BD1E-C6245CF0DE69}"/>
            </c:ext>
          </c:extLst>
        </c:ser>
        <c:dLbls>
          <c:showLegendKey val="0"/>
          <c:showVal val="0"/>
          <c:showCatName val="0"/>
          <c:showSerName val="0"/>
          <c:showPercent val="0"/>
          <c:showBubbleSize val="0"/>
        </c:dLbls>
        <c:gapWidth val="219"/>
        <c:overlap val="-27"/>
        <c:axId val="405907328"/>
        <c:axId val="405908864"/>
      </c:barChart>
      <c:catAx>
        <c:axId val="405907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908864"/>
        <c:crosses val="autoZero"/>
        <c:auto val="1"/>
        <c:lblAlgn val="ctr"/>
        <c:lblOffset val="100"/>
        <c:noMultiLvlLbl val="0"/>
      </c:catAx>
      <c:valAx>
        <c:axId val="405908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907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Yield</a:t>
            </a:r>
            <a:r>
              <a:rPr lang="en-US" baseline="0"/>
              <a:t> on assets</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Ratio!$S$644:$W$644</c:f>
              <c:numCache>
                <c:formatCode>General</c:formatCode>
                <c:ptCount val="5"/>
                <c:pt idx="0">
                  <c:v>2014</c:v>
                </c:pt>
                <c:pt idx="1">
                  <c:v>2015</c:v>
                </c:pt>
                <c:pt idx="2">
                  <c:v>2016</c:v>
                </c:pt>
                <c:pt idx="3">
                  <c:v>2017</c:v>
                </c:pt>
                <c:pt idx="4">
                  <c:v>2018</c:v>
                </c:pt>
              </c:numCache>
            </c:numRef>
          </c:cat>
          <c:val>
            <c:numRef>
              <c:f>Ratio!$S$645:$W$645</c:f>
              <c:numCache>
                <c:formatCode>General</c:formatCode>
                <c:ptCount val="5"/>
                <c:pt idx="0">
                  <c:v>2.0180979762601442E-2</c:v>
                </c:pt>
                <c:pt idx="1">
                  <c:v>1.7330952530697104E-2</c:v>
                </c:pt>
                <c:pt idx="2">
                  <c:v>1.9559578466123301E-2</c:v>
                </c:pt>
                <c:pt idx="3">
                  <c:v>1.7082640351996185E-2</c:v>
                </c:pt>
                <c:pt idx="4">
                  <c:v>1.5122845810539539E-2</c:v>
                </c:pt>
              </c:numCache>
            </c:numRef>
          </c:val>
          <c:extLst xmlns:c16r2="http://schemas.microsoft.com/office/drawing/2015/06/chart">
            <c:ext xmlns:c16="http://schemas.microsoft.com/office/drawing/2014/chart" uri="{C3380CC4-5D6E-409C-BE32-E72D297353CC}">
              <c16:uniqueId val="{00000000-63D2-4C58-8624-DADA41F61EB0}"/>
            </c:ext>
          </c:extLst>
        </c:ser>
        <c:dLbls>
          <c:showLegendKey val="0"/>
          <c:showVal val="0"/>
          <c:showCatName val="0"/>
          <c:showSerName val="0"/>
          <c:showPercent val="0"/>
          <c:showBubbleSize val="0"/>
        </c:dLbls>
        <c:gapWidth val="219"/>
        <c:overlap val="-27"/>
        <c:axId val="406343680"/>
        <c:axId val="406345216"/>
      </c:barChart>
      <c:catAx>
        <c:axId val="40634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345216"/>
        <c:crosses val="autoZero"/>
        <c:auto val="1"/>
        <c:lblAlgn val="ctr"/>
        <c:lblOffset val="100"/>
        <c:noMultiLvlLbl val="0"/>
      </c:catAx>
      <c:valAx>
        <c:axId val="406345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343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Expense Ratio</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Ratio!$S$674:$W$674</c:f>
              <c:numCache>
                <c:formatCode>General</c:formatCode>
                <c:ptCount val="5"/>
                <c:pt idx="0">
                  <c:v>2014</c:v>
                </c:pt>
                <c:pt idx="1">
                  <c:v>2015</c:v>
                </c:pt>
                <c:pt idx="2">
                  <c:v>2016</c:v>
                </c:pt>
                <c:pt idx="3">
                  <c:v>2017</c:v>
                </c:pt>
                <c:pt idx="4">
                  <c:v>2018</c:v>
                </c:pt>
              </c:numCache>
            </c:numRef>
          </c:cat>
          <c:val>
            <c:numRef>
              <c:f>Ratio!$S$675:$W$675</c:f>
              <c:numCache>
                <c:formatCode>General</c:formatCode>
                <c:ptCount val="5"/>
                <c:pt idx="0">
                  <c:v>0.10194981019778343</c:v>
                </c:pt>
                <c:pt idx="1">
                  <c:v>9.0741808407960728E-2</c:v>
                </c:pt>
                <c:pt idx="2">
                  <c:v>8.4658377194143125E-2</c:v>
                </c:pt>
                <c:pt idx="3">
                  <c:v>7.6280667054006782E-2</c:v>
                </c:pt>
                <c:pt idx="4">
                  <c:v>8.8371402150997674E-2</c:v>
                </c:pt>
              </c:numCache>
            </c:numRef>
          </c:val>
          <c:extLst xmlns:c16r2="http://schemas.microsoft.com/office/drawing/2015/06/chart">
            <c:ext xmlns:c16="http://schemas.microsoft.com/office/drawing/2014/chart" uri="{C3380CC4-5D6E-409C-BE32-E72D297353CC}">
              <c16:uniqueId val="{00000000-6B46-4A01-A956-3F2C20331072}"/>
            </c:ext>
          </c:extLst>
        </c:ser>
        <c:dLbls>
          <c:showLegendKey val="0"/>
          <c:showVal val="0"/>
          <c:showCatName val="0"/>
          <c:showSerName val="0"/>
          <c:showPercent val="0"/>
          <c:showBubbleSize val="0"/>
        </c:dLbls>
        <c:gapWidth val="219"/>
        <c:overlap val="-27"/>
        <c:axId val="406521728"/>
        <c:axId val="406523264"/>
      </c:barChart>
      <c:catAx>
        <c:axId val="406521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523264"/>
        <c:crosses val="autoZero"/>
        <c:auto val="1"/>
        <c:lblAlgn val="ctr"/>
        <c:lblOffset val="100"/>
        <c:noMultiLvlLbl val="0"/>
      </c:catAx>
      <c:valAx>
        <c:axId val="406523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521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EPS</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Ratio!$S$705:$W$705</c:f>
              <c:numCache>
                <c:formatCode>General</c:formatCode>
                <c:ptCount val="5"/>
                <c:pt idx="0">
                  <c:v>2014</c:v>
                </c:pt>
                <c:pt idx="1">
                  <c:v>2015</c:v>
                </c:pt>
                <c:pt idx="2">
                  <c:v>2016</c:v>
                </c:pt>
                <c:pt idx="3">
                  <c:v>2017</c:v>
                </c:pt>
                <c:pt idx="4">
                  <c:v>2018</c:v>
                </c:pt>
              </c:numCache>
            </c:numRef>
          </c:cat>
          <c:val>
            <c:numRef>
              <c:f>Ratio!$S$706:$W$706</c:f>
              <c:numCache>
                <c:formatCode>General</c:formatCode>
                <c:ptCount val="5"/>
                <c:pt idx="0">
                  <c:v>3.56</c:v>
                </c:pt>
                <c:pt idx="1">
                  <c:v>3.84</c:v>
                </c:pt>
                <c:pt idx="2">
                  <c:v>4.62</c:v>
                </c:pt>
                <c:pt idx="3">
                  <c:v>4.26</c:v>
                </c:pt>
                <c:pt idx="4">
                  <c:v>4.22</c:v>
                </c:pt>
              </c:numCache>
            </c:numRef>
          </c:val>
          <c:extLst xmlns:c16r2="http://schemas.microsoft.com/office/drawing/2015/06/chart">
            <c:ext xmlns:c16="http://schemas.microsoft.com/office/drawing/2014/chart" uri="{C3380CC4-5D6E-409C-BE32-E72D297353CC}">
              <c16:uniqueId val="{00000000-BD38-42EF-9FF7-CB4B901CCD89}"/>
            </c:ext>
          </c:extLst>
        </c:ser>
        <c:dLbls>
          <c:showLegendKey val="0"/>
          <c:showVal val="0"/>
          <c:showCatName val="0"/>
          <c:showSerName val="0"/>
          <c:showPercent val="0"/>
          <c:showBubbleSize val="0"/>
        </c:dLbls>
        <c:gapWidth val="219"/>
        <c:overlap val="-27"/>
        <c:axId val="406667264"/>
        <c:axId val="406668800"/>
      </c:barChart>
      <c:catAx>
        <c:axId val="406667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668800"/>
        <c:crosses val="autoZero"/>
        <c:auto val="1"/>
        <c:lblAlgn val="ctr"/>
        <c:lblOffset val="100"/>
        <c:noMultiLvlLbl val="0"/>
      </c:catAx>
      <c:valAx>
        <c:axId val="406668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667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Dividend payout</a:t>
            </a:r>
            <a:r>
              <a:rPr lang="en-US" baseline="0"/>
              <a:t> Ratio</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Ratio!$S$737:$W$737</c:f>
              <c:numCache>
                <c:formatCode>General</c:formatCode>
                <c:ptCount val="5"/>
                <c:pt idx="0">
                  <c:v>2014</c:v>
                </c:pt>
                <c:pt idx="1">
                  <c:v>2015</c:v>
                </c:pt>
                <c:pt idx="2">
                  <c:v>2016</c:v>
                </c:pt>
                <c:pt idx="3">
                  <c:v>2017</c:v>
                </c:pt>
                <c:pt idx="4">
                  <c:v>2018</c:v>
                </c:pt>
              </c:numCache>
            </c:numRef>
          </c:cat>
          <c:val>
            <c:numRef>
              <c:f>Ratio!$S$738:$W$738</c:f>
              <c:numCache>
                <c:formatCode>General</c:formatCode>
                <c:ptCount val="5"/>
                <c:pt idx="0">
                  <c:v>0.9831460674157303</c:v>
                </c:pt>
                <c:pt idx="1">
                  <c:v>0.65104166666666674</c:v>
                </c:pt>
                <c:pt idx="2">
                  <c:v>0.64935064935064934</c:v>
                </c:pt>
                <c:pt idx="3">
                  <c:v>0.70422535211267612</c:v>
                </c:pt>
                <c:pt idx="4">
                  <c:v>0.82938388625592419</c:v>
                </c:pt>
              </c:numCache>
            </c:numRef>
          </c:val>
          <c:extLst xmlns:c16r2="http://schemas.microsoft.com/office/drawing/2015/06/chart">
            <c:ext xmlns:c16="http://schemas.microsoft.com/office/drawing/2014/chart" uri="{C3380CC4-5D6E-409C-BE32-E72D297353CC}">
              <c16:uniqueId val="{00000000-3811-4891-927F-E4BBFC3F2635}"/>
            </c:ext>
          </c:extLst>
        </c:ser>
        <c:dLbls>
          <c:showLegendKey val="0"/>
          <c:showVal val="0"/>
          <c:showCatName val="0"/>
          <c:showSerName val="0"/>
          <c:showPercent val="0"/>
          <c:showBubbleSize val="0"/>
        </c:dLbls>
        <c:gapWidth val="219"/>
        <c:overlap val="-27"/>
        <c:axId val="405170048"/>
        <c:axId val="405171584"/>
      </c:barChart>
      <c:catAx>
        <c:axId val="405170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171584"/>
        <c:crosses val="autoZero"/>
        <c:auto val="1"/>
        <c:lblAlgn val="ctr"/>
        <c:lblOffset val="100"/>
        <c:noMultiLvlLbl val="0"/>
      </c:catAx>
      <c:valAx>
        <c:axId val="405171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170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Price Ratio</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Ratio!$S$769:$W$769</c:f>
              <c:numCache>
                <c:formatCode>General</c:formatCode>
                <c:ptCount val="5"/>
                <c:pt idx="0">
                  <c:v>2014</c:v>
                </c:pt>
                <c:pt idx="1">
                  <c:v>2015</c:v>
                </c:pt>
                <c:pt idx="2">
                  <c:v>2016</c:v>
                </c:pt>
                <c:pt idx="3">
                  <c:v>2017</c:v>
                </c:pt>
                <c:pt idx="4">
                  <c:v>2018</c:v>
                </c:pt>
              </c:numCache>
            </c:numRef>
          </c:cat>
          <c:val>
            <c:numRef>
              <c:f>Ratio!$S$770:$W$770</c:f>
              <c:numCache>
                <c:formatCode>General</c:formatCode>
                <c:ptCount val="5"/>
                <c:pt idx="0">
                  <c:v>7.012048193</c:v>
                </c:pt>
                <c:pt idx="1">
                  <c:v>7.7714285710000004</c:v>
                </c:pt>
                <c:pt idx="2">
                  <c:v>7.6675603219999999</c:v>
                </c:pt>
                <c:pt idx="3">
                  <c:v>7.8804347830000001</c:v>
                </c:pt>
                <c:pt idx="4">
                  <c:v>15.531914889999999</c:v>
                </c:pt>
              </c:numCache>
            </c:numRef>
          </c:val>
          <c:extLst xmlns:c16r2="http://schemas.microsoft.com/office/drawing/2015/06/chart">
            <c:ext xmlns:c16="http://schemas.microsoft.com/office/drawing/2014/chart" uri="{C3380CC4-5D6E-409C-BE32-E72D297353CC}">
              <c16:uniqueId val="{00000000-94DE-4492-9194-0F3BC549314B}"/>
            </c:ext>
          </c:extLst>
        </c:ser>
        <c:dLbls>
          <c:showLegendKey val="0"/>
          <c:showVal val="0"/>
          <c:showCatName val="0"/>
          <c:showSerName val="0"/>
          <c:showPercent val="0"/>
          <c:showBubbleSize val="0"/>
        </c:dLbls>
        <c:gapWidth val="219"/>
        <c:overlap val="-27"/>
        <c:axId val="405827584"/>
        <c:axId val="405829120"/>
      </c:barChart>
      <c:catAx>
        <c:axId val="405827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829120"/>
        <c:crosses val="autoZero"/>
        <c:auto val="1"/>
        <c:lblAlgn val="ctr"/>
        <c:lblOffset val="100"/>
        <c:noMultiLvlLbl val="0"/>
      </c:catAx>
      <c:valAx>
        <c:axId val="405829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827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Market/Book</a:t>
            </a:r>
            <a:r>
              <a:rPr lang="en-US" baseline="0"/>
              <a:t> Ratio</a:t>
            </a:r>
            <a:endParaRPr lang="en-US"/>
          </a:p>
        </c:rich>
      </c:tx>
      <c:overlay val="0"/>
      <c:spPr>
        <a:noFill/>
        <a:ln>
          <a:noFill/>
        </a:ln>
        <a:effectLst/>
      </c:spPr>
    </c:title>
    <c:autoTitleDeleted val="0"/>
    <c:plotArea>
      <c:layout>
        <c:manualLayout>
          <c:layoutTarget val="inner"/>
          <c:xMode val="edge"/>
          <c:yMode val="edge"/>
          <c:x val="7.8442038495188104E-2"/>
          <c:y val="0.15782407407407409"/>
          <c:w val="0.89655796150481193"/>
          <c:h val="0.72088764946048411"/>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Ratio!$S$799:$W$799</c:f>
              <c:numCache>
                <c:formatCode>General</c:formatCode>
                <c:ptCount val="5"/>
                <c:pt idx="0">
                  <c:v>2014</c:v>
                </c:pt>
                <c:pt idx="1">
                  <c:v>2015</c:v>
                </c:pt>
                <c:pt idx="2">
                  <c:v>2016</c:v>
                </c:pt>
                <c:pt idx="3">
                  <c:v>2017</c:v>
                </c:pt>
                <c:pt idx="4">
                  <c:v>2018</c:v>
                </c:pt>
              </c:numCache>
            </c:numRef>
          </c:cat>
          <c:val>
            <c:numRef>
              <c:f>Ratio!$S$800:$W$800</c:f>
              <c:numCache>
                <c:formatCode>General</c:formatCode>
                <c:ptCount val="5"/>
                <c:pt idx="0">
                  <c:v>0.96389533000000005</c:v>
                </c:pt>
                <c:pt idx="1">
                  <c:v>0.82750228199999998</c:v>
                </c:pt>
                <c:pt idx="2">
                  <c:v>0.85271317800000002</c:v>
                </c:pt>
                <c:pt idx="3">
                  <c:v>1.027275948</c:v>
                </c:pt>
                <c:pt idx="4">
                  <c:v>1.7240215919999999</c:v>
                </c:pt>
              </c:numCache>
            </c:numRef>
          </c:val>
          <c:extLst xmlns:c16r2="http://schemas.microsoft.com/office/drawing/2015/06/chart">
            <c:ext xmlns:c16="http://schemas.microsoft.com/office/drawing/2014/chart" uri="{C3380CC4-5D6E-409C-BE32-E72D297353CC}">
              <c16:uniqueId val="{00000000-6F67-4FD1-B400-0A3CEF100B7E}"/>
            </c:ext>
          </c:extLst>
        </c:ser>
        <c:dLbls>
          <c:showLegendKey val="0"/>
          <c:showVal val="0"/>
          <c:showCatName val="0"/>
          <c:showSerName val="0"/>
          <c:showPercent val="0"/>
          <c:showBubbleSize val="0"/>
        </c:dLbls>
        <c:gapWidth val="219"/>
        <c:overlap val="-27"/>
        <c:axId val="407177088"/>
        <c:axId val="407178624"/>
      </c:barChart>
      <c:catAx>
        <c:axId val="407177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178624"/>
        <c:crosses val="autoZero"/>
        <c:auto val="1"/>
        <c:lblAlgn val="ctr"/>
        <c:lblOffset val="100"/>
        <c:noMultiLvlLbl val="0"/>
      </c:catAx>
      <c:valAx>
        <c:axId val="407178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177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NAV</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Ratio!$S$829:$W$829</c:f>
              <c:numCache>
                <c:formatCode>General</c:formatCode>
                <c:ptCount val="5"/>
                <c:pt idx="0">
                  <c:v>2014</c:v>
                </c:pt>
                <c:pt idx="1">
                  <c:v>2015</c:v>
                </c:pt>
                <c:pt idx="2">
                  <c:v>2016</c:v>
                </c:pt>
                <c:pt idx="3">
                  <c:v>2017</c:v>
                </c:pt>
                <c:pt idx="4">
                  <c:v>2018</c:v>
                </c:pt>
              </c:numCache>
            </c:numRef>
          </c:cat>
          <c:val>
            <c:numRef>
              <c:f>Ratio!$S$830:$W$830</c:f>
              <c:numCache>
                <c:formatCode>General</c:formatCode>
                <c:ptCount val="5"/>
                <c:pt idx="0">
                  <c:v>28.314258155710956</c:v>
                </c:pt>
                <c:pt idx="1">
                  <c:v>26.799626484263438</c:v>
                </c:pt>
                <c:pt idx="2">
                  <c:v>30.252704184496444</c:v>
                </c:pt>
                <c:pt idx="3">
                  <c:v>28.03096382932824</c:v>
                </c:pt>
                <c:pt idx="4">
                  <c:v>29.249619457092756</c:v>
                </c:pt>
              </c:numCache>
            </c:numRef>
          </c:val>
          <c:extLst xmlns:c16r2="http://schemas.microsoft.com/office/drawing/2015/06/chart">
            <c:ext xmlns:c16="http://schemas.microsoft.com/office/drawing/2014/chart" uri="{C3380CC4-5D6E-409C-BE32-E72D297353CC}">
              <c16:uniqueId val="{00000000-4032-447F-B130-2A8C2C22D404}"/>
            </c:ext>
          </c:extLst>
        </c:ser>
        <c:dLbls>
          <c:showLegendKey val="0"/>
          <c:showVal val="0"/>
          <c:showCatName val="0"/>
          <c:showSerName val="0"/>
          <c:showPercent val="0"/>
          <c:showBubbleSize val="0"/>
        </c:dLbls>
        <c:gapWidth val="219"/>
        <c:overlap val="-27"/>
        <c:axId val="407437312"/>
        <c:axId val="407438848"/>
      </c:barChart>
      <c:catAx>
        <c:axId val="407437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438848"/>
        <c:crosses val="autoZero"/>
        <c:auto val="1"/>
        <c:lblAlgn val="ctr"/>
        <c:lblOffset val="100"/>
        <c:noMultiLvlLbl val="0"/>
      </c:catAx>
      <c:valAx>
        <c:axId val="407438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437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Asset</a:t>
            </a:r>
            <a:r>
              <a:rPr lang="en-US" baseline="0"/>
              <a:t> Utilization</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numRef>
              <c:f>[Meraz.xlsx]Sheet1!$C$5:$G$5</c:f>
              <c:numCache>
                <c:formatCode>General</c:formatCode>
                <c:ptCount val="5"/>
                <c:pt idx="0">
                  <c:v>2014</c:v>
                </c:pt>
                <c:pt idx="1">
                  <c:v>2015</c:v>
                </c:pt>
                <c:pt idx="2">
                  <c:v>2016</c:v>
                </c:pt>
                <c:pt idx="3">
                  <c:v>2017</c:v>
                </c:pt>
                <c:pt idx="4">
                  <c:v>2018</c:v>
                </c:pt>
              </c:numCache>
            </c:numRef>
          </c:cat>
          <c:val>
            <c:numRef>
              <c:f>[Meraz.xlsx]Sheet1!$C$6:$G$6</c:f>
              <c:numCache>
                <c:formatCode>0.00%</c:formatCode>
                <c:ptCount val="5"/>
                <c:pt idx="0">
                  <c:v>0.13744925945030972</c:v>
                </c:pt>
                <c:pt idx="1">
                  <c:v>0.1224480952552906</c:v>
                </c:pt>
                <c:pt idx="2">
                  <c:v>0.11839278267683874</c:v>
                </c:pt>
                <c:pt idx="3">
                  <c:v>0.10477535832333972</c:v>
                </c:pt>
                <c:pt idx="4">
                  <c:v>0.11143577670557926</c:v>
                </c:pt>
              </c:numCache>
            </c:numRef>
          </c:val>
          <c:extLst xmlns:c16r2="http://schemas.microsoft.com/office/drawing/2015/06/chart">
            <c:ext xmlns:c16="http://schemas.microsoft.com/office/drawing/2014/chart" uri="{C3380CC4-5D6E-409C-BE32-E72D297353CC}">
              <c16:uniqueId val="{00000000-6134-48DD-BCC6-8C2F4784A975}"/>
            </c:ext>
          </c:extLst>
        </c:ser>
        <c:dLbls>
          <c:showLegendKey val="0"/>
          <c:showVal val="0"/>
          <c:showCatName val="0"/>
          <c:showSerName val="0"/>
          <c:showPercent val="0"/>
          <c:showBubbleSize val="0"/>
        </c:dLbls>
        <c:gapWidth val="219"/>
        <c:overlap val="-27"/>
        <c:axId val="406894080"/>
        <c:axId val="406895616"/>
      </c:barChart>
      <c:catAx>
        <c:axId val="406894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895616"/>
        <c:crosses val="autoZero"/>
        <c:auto val="1"/>
        <c:lblAlgn val="ctr"/>
        <c:lblOffset val="100"/>
        <c:noMultiLvlLbl val="0"/>
      </c:catAx>
      <c:valAx>
        <c:axId val="4068956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894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Expense Ratio</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numRef>
              <c:f>[Meraz.xlsx]Sheet1!$C$23:$G$23</c:f>
              <c:numCache>
                <c:formatCode>General</c:formatCode>
                <c:ptCount val="5"/>
                <c:pt idx="0">
                  <c:v>2014</c:v>
                </c:pt>
                <c:pt idx="1">
                  <c:v>2015</c:v>
                </c:pt>
                <c:pt idx="2">
                  <c:v>2016</c:v>
                </c:pt>
                <c:pt idx="3">
                  <c:v>2017</c:v>
                </c:pt>
                <c:pt idx="4">
                  <c:v>2018</c:v>
                </c:pt>
              </c:numCache>
            </c:numRef>
          </c:cat>
          <c:val>
            <c:numRef>
              <c:f>[Meraz.xlsx]Sheet1!$C$24:$G$24</c:f>
              <c:numCache>
                <c:formatCode>0.00%</c:formatCode>
                <c:ptCount val="5"/>
                <c:pt idx="0">
                  <c:v>0.10194981019778343</c:v>
                </c:pt>
                <c:pt idx="1">
                  <c:v>9.0741808407960728E-2</c:v>
                </c:pt>
                <c:pt idx="2">
                  <c:v>8.4658377194143125E-2</c:v>
                </c:pt>
                <c:pt idx="3">
                  <c:v>7.6280667054006782E-2</c:v>
                </c:pt>
                <c:pt idx="4">
                  <c:v>8.8371402150997674E-2</c:v>
                </c:pt>
              </c:numCache>
            </c:numRef>
          </c:val>
          <c:extLst xmlns:c16r2="http://schemas.microsoft.com/office/drawing/2015/06/chart">
            <c:ext xmlns:c16="http://schemas.microsoft.com/office/drawing/2014/chart" uri="{C3380CC4-5D6E-409C-BE32-E72D297353CC}">
              <c16:uniqueId val="{00000000-1E91-4C6F-829D-F45EEBF81055}"/>
            </c:ext>
          </c:extLst>
        </c:ser>
        <c:dLbls>
          <c:showLegendKey val="0"/>
          <c:showVal val="0"/>
          <c:showCatName val="0"/>
          <c:showSerName val="0"/>
          <c:showPercent val="0"/>
          <c:showBubbleSize val="0"/>
        </c:dLbls>
        <c:gapWidth val="219"/>
        <c:overlap val="-27"/>
        <c:axId val="407575552"/>
        <c:axId val="407589632"/>
      </c:barChart>
      <c:catAx>
        <c:axId val="407575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589632"/>
        <c:crosses val="autoZero"/>
        <c:auto val="1"/>
        <c:lblAlgn val="ctr"/>
        <c:lblOffset val="100"/>
        <c:noMultiLvlLbl val="0"/>
      </c:catAx>
      <c:valAx>
        <c:axId val="4075896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575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4B98AEA-737E-4A41-94C5-4A569150356F}" type="doc">
      <dgm:prSet loTypeId="urn:microsoft.com/office/officeart/2008/layout/AlternatingHexagons" loCatId="list" qsTypeId="urn:microsoft.com/office/officeart/2005/8/quickstyle/simple1" qsCatId="simple" csTypeId="urn:microsoft.com/office/officeart/2005/8/colors/accent1_2" csCatId="accent1" phldr="1"/>
      <dgm:spPr/>
      <dgm:t>
        <a:bodyPr/>
        <a:lstStyle/>
        <a:p>
          <a:endParaRPr lang="en-US"/>
        </a:p>
      </dgm:t>
    </dgm:pt>
    <dgm:pt modelId="{2FF37D6E-05C9-4AA1-978B-CCD37905C097}">
      <dgm:prSet phldrT="[Text]"/>
      <dgm:spPr>
        <a:xfrm rot="5400000">
          <a:off x="2153213" y="-61175"/>
          <a:ext cx="845771" cy="103920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Liquidity</a:t>
          </a:r>
        </a:p>
      </dgm:t>
    </dgm:pt>
    <dgm:pt modelId="{853BB35B-32DB-490A-93AF-E048BBEE1870}" type="parTrans" cxnId="{64D9A7FD-C2C1-46CF-82C0-8B3F072BAD72}">
      <dgm:prSet/>
      <dgm:spPr/>
      <dgm:t>
        <a:bodyPr/>
        <a:lstStyle/>
        <a:p>
          <a:endParaRPr lang="en-US"/>
        </a:p>
      </dgm:t>
    </dgm:pt>
    <dgm:pt modelId="{C80B9C28-D083-4C54-975E-6621AB07879F}" type="sibTrans" cxnId="{64D9A7FD-C2C1-46CF-82C0-8B3F072BAD72}">
      <dgm:prSet custT="1"/>
      <dgm:spPr>
        <a:xfrm rot="5400000">
          <a:off x="692218" y="696457"/>
          <a:ext cx="964620" cy="96953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100">
              <a:solidFill>
                <a:sysClr val="window" lastClr="FFFFFF"/>
              </a:solidFill>
              <a:latin typeface="Arial" pitchFamily="34" charset="0"/>
              <a:ea typeface="+mn-ea"/>
              <a:cs typeface="Arial" pitchFamily="34" charset="0"/>
            </a:rPr>
            <a:t>Market Value</a:t>
          </a:r>
        </a:p>
      </dgm:t>
    </dgm:pt>
    <dgm:pt modelId="{54743DEA-C3C2-4C83-BC2D-26B8A3AA0C6C}">
      <dgm:prSet phldrT="[Text]"/>
      <dgm:spPr>
        <a:xfrm rot="5400000">
          <a:off x="1939532" y="766027"/>
          <a:ext cx="1224667" cy="167142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Dimension</a:t>
          </a:r>
        </a:p>
        <a:p>
          <a:r>
            <a:rPr lang="en-US">
              <a:solidFill>
                <a:sysClr val="window" lastClr="FFFFFF"/>
              </a:solidFill>
              <a:latin typeface="Calibri"/>
              <a:ea typeface="+mn-ea"/>
              <a:cs typeface="+mn-cs"/>
            </a:rPr>
            <a:t>of Ratio</a:t>
          </a:r>
        </a:p>
        <a:p>
          <a:r>
            <a:rPr lang="en-US">
              <a:solidFill>
                <a:sysClr val="window" lastClr="FFFFFF"/>
              </a:solidFill>
              <a:latin typeface="Calibri"/>
              <a:ea typeface="+mn-ea"/>
              <a:cs typeface="+mn-cs"/>
            </a:rPr>
            <a:t>Analysis</a:t>
          </a:r>
        </a:p>
      </dgm:t>
    </dgm:pt>
    <dgm:pt modelId="{FE426454-00A8-49AB-837C-97AF10580D7F}" type="parTrans" cxnId="{BCEDB288-2C8D-4133-8E07-0F127337663C}">
      <dgm:prSet/>
      <dgm:spPr/>
      <dgm:t>
        <a:bodyPr/>
        <a:lstStyle/>
        <a:p>
          <a:endParaRPr lang="en-US"/>
        </a:p>
      </dgm:t>
    </dgm:pt>
    <dgm:pt modelId="{CD72915E-6142-4519-8E4D-DC606013ACB2}" type="sibTrans" cxnId="{BCEDB288-2C8D-4133-8E07-0F127337663C}">
      <dgm:prSet custT="1"/>
      <dgm:spPr>
        <a:xfrm rot="5400000">
          <a:off x="3361690" y="696346"/>
          <a:ext cx="897113" cy="780488"/>
        </a:xfrm>
        <a:solidFill>
          <a:srgbClr val="4F81BD">
            <a:hueOff val="0"/>
            <a:satOff val="0"/>
            <a:lumOff val="0"/>
            <a:alphaOff val="0"/>
          </a:srgbClr>
        </a:solidFill>
        <a:ln w="25400" cap="flat" cmpd="sng" algn="ctr">
          <a:solidFill>
            <a:srgbClr val="4F81BD"/>
          </a:solidFill>
          <a:prstDash val="solid"/>
        </a:ln>
        <a:effectLst/>
      </dgm:spPr>
      <dgm:t>
        <a:bodyPr/>
        <a:lstStyle/>
        <a:p>
          <a:r>
            <a:rPr lang="en-US" sz="1100">
              <a:solidFill>
                <a:sysClr val="window" lastClr="FFFFFF"/>
              </a:solidFill>
              <a:latin typeface="Arial" pitchFamily="34" charset="0"/>
              <a:ea typeface="+mn-ea"/>
              <a:cs typeface="Arial" pitchFamily="34" charset="0"/>
            </a:rPr>
            <a:t>profitability</a:t>
          </a:r>
        </a:p>
      </dgm:t>
    </dgm:pt>
    <dgm:pt modelId="{86C8456A-7C44-4D1E-A698-D9734EFD8615}">
      <dgm:prSet phldrT="[Text]"/>
      <dgm:spPr>
        <a:xfrm rot="5400000">
          <a:off x="2787390" y="1930179"/>
          <a:ext cx="1049263" cy="103039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Solvency</a:t>
          </a:r>
        </a:p>
      </dgm:t>
    </dgm:pt>
    <dgm:pt modelId="{B5E59D4B-6F22-4160-8411-744DE3A78AC6}" type="parTrans" cxnId="{C659A05A-812A-40EB-A33C-E39837BC12B6}">
      <dgm:prSet/>
      <dgm:spPr/>
      <dgm:t>
        <a:bodyPr/>
        <a:lstStyle/>
        <a:p>
          <a:endParaRPr lang="en-US"/>
        </a:p>
      </dgm:t>
    </dgm:pt>
    <dgm:pt modelId="{889F1D83-ECEF-4BFD-8914-2B7E63B5E765}" type="sibTrans" cxnId="{C659A05A-812A-40EB-A33C-E39837BC12B6}">
      <dgm:prSet custT="1"/>
      <dgm:spPr>
        <a:xfrm rot="5400000">
          <a:off x="1315522" y="1741464"/>
          <a:ext cx="897113" cy="132256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100">
              <a:solidFill>
                <a:sysClr val="window" lastClr="FFFFFF"/>
              </a:solidFill>
              <a:latin typeface="Arial" pitchFamily="34" charset="0"/>
              <a:ea typeface="+mn-ea"/>
              <a:cs typeface="Arial" pitchFamily="34" charset="0"/>
            </a:rPr>
            <a:t>Efficiency</a:t>
          </a:r>
        </a:p>
      </dgm:t>
    </dgm:pt>
    <dgm:pt modelId="{E2955D88-C740-41D7-A0E2-A6AF1EC85C1A}">
      <dgm:prSet phldrT="[Text]"/>
      <dgm:spPr>
        <a:xfrm>
          <a:off x="3504462" y="2175766"/>
          <a:ext cx="1001178" cy="538267"/>
        </a:xfrm>
        <a:noFill/>
        <a:ln>
          <a:noFill/>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0A203C72-CEE6-401D-BAA5-FFD2E4D6DEFD}" type="parTrans" cxnId="{4773E50E-19BE-4C54-BEAA-EC7ED2E6C73D}">
      <dgm:prSet/>
      <dgm:spPr/>
      <dgm:t>
        <a:bodyPr/>
        <a:lstStyle/>
        <a:p>
          <a:endParaRPr lang="en-US"/>
        </a:p>
      </dgm:t>
    </dgm:pt>
    <dgm:pt modelId="{93E79B4B-FB85-4BDA-B058-688C6994BA0F}" type="sibTrans" cxnId="{4773E50E-19BE-4C54-BEAA-EC7ED2E6C73D}">
      <dgm:prSet/>
      <dgm:spPr/>
      <dgm:t>
        <a:bodyPr/>
        <a:lstStyle/>
        <a:p>
          <a:endParaRPr lang="en-US"/>
        </a:p>
      </dgm:t>
    </dgm:pt>
    <dgm:pt modelId="{DB44E74F-3F22-4A89-BB89-9F21087E285A}" type="pres">
      <dgm:prSet presAssocID="{C4B98AEA-737E-4A41-94C5-4A569150356F}" presName="Name0" presStyleCnt="0">
        <dgm:presLayoutVars>
          <dgm:chMax/>
          <dgm:chPref/>
          <dgm:dir/>
          <dgm:animLvl val="lvl"/>
        </dgm:presLayoutVars>
      </dgm:prSet>
      <dgm:spPr/>
      <dgm:t>
        <a:bodyPr/>
        <a:lstStyle/>
        <a:p>
          <a:endParaRPr lang="en-US"/>
        </a:p>
      </dgm:t>
    </dgm:pt>
    <dgm:pt modelId="{2E106ACC-DE82-4824-B481-C6B3EF7A46EC}" type="pres">
      <dgm:prSet presAssocID="{2FF37D6E-05C9-4AA1-978B-CCD37905C097}" presName="composite" presStyleCnt="0"/>
      <dgm:spPr/>
    </dgm:pt>
    <dgm:pt modelId="{B06073BF-B354-48E7-83C7-A23E4194C467}" type="pres">
      <dgm:prSet presAssocID="{2FF37D6E-05C9-4AA1-978B-CCD37905C097}" presName="Parent1" presStyleLbl="node1" presStyleIdx="0" presStyleCnt="6" custScaleX="133148" custScaleY="94277" custLinFactNeighborX="-65912" custLinFactNeighborY="-2915">
        <dgm:presLayoutVars>
          <dgm:chMax val="1"/>
          <dgm:chPref val="1"/>
          <dgm:bulletEnabled val="1"/>
        </dgm:presLayoutVars>
      </dgm:prSet>
      <dgm:spPr>
        <a:prstGeom prst="hexagon">
          <a:avLst>
            <a:gd name="adj" fmla="val 25000"/>
            <a:gd name="vf" fmla="val 115470"/>
          </a:avLst>
        </a:prstGeom>
      </dgm:spPr>
      <dgm:t>
        <a:bodyPr/>
        <a:lstStyle/>
        <a:p>
          <a:endParaRPr lang="en-US"/>
        </a:p>
      </dgm:t>
    </dgm:pt>
    <dgm:pt modelId="{AEC155EB-ECA4-411C-AD6B-3ED2AC789CC9}" type="pres">
      <dgm:prSet presAssocID="{2FF37D6E-05C9-4AA1-978B-CCD37905C097}" presName="Childtext1" presStyleLbl="revTx" presStyleIdx="0" presStyleCnt="3" custScaleX="76750" custScaleY="6424">
        <dgm:presLayoutVars>
          <dgm:chMax val="0"/>
          <dgm:chPref val="0"/>
          <dgm:bulletEnabled val="1"/>
        </dgm:presLayoutVars>
      </dgm:prSet>
      <dgm:spPr>
        <a:xfrm>
          <a:off x="3620849" y="467288"/>
          <a:ext cx="768404" cy="34578"/>
        </a:xfrm>
        <a:prstGeom prst="rect">
          <a:avLst/>
        </a:prstGeom>
        <a:noFill/>
        <a:ln>
          <a:noFill/>
        </a:ln>
        <a:effectLst/>
      </dgm:spPr>
      <dgm:t>
        <a:bodyPr/>
        <a:lstStyle/>
        <a:p>
          <a:endParaRPr lang="en-US"/>
        </a:p>
      </dgm:t>
    </dgm:pt>
    <dgm:pt modelId="{139D02B5-3BD1-4F42-B4F6-BE8127D3BB52}" type="pres">
      <dgm:prSet presAssocID="{2FF37D6E-05C9-4AA1-978B-CCD37905C097}" presName="BalanceSpacing" presStyleCnt="0"/>
      <dgm:spPr/>
    </dgm:pt>
    <dgm:pt modelId="{66C9E7BB-EACC-4A38-A300-24A78C5C031F}" type="pres">
      <dgm:prSet presAssocID="{2FF37D6E-05C9-4AA1-978B-CCD37905C097}" presName="BalanceSpacing1" presStyleCnt="0"/>
      <dgm:spPr/>
    </dgm:pt>
    <dgm:pt modelId="{CCD3EF67-CB79-4B1D-B1BE-CB6A3EF6521C}" type="pres">
      <dgm:prSet presAssocID="{C80B9C28-D083-4C54-975E-6621AB07879F}" presName="Accent1Text" presStyleLbl="node1" presStyleIdx="1" presStyleCnt="6" custScaleX="124221" custScaleY="107525" custLinFactX="-37488" custLinFactNeighborX="-100000" custLinFactNeighborY="77654"/>
      <dgm:spPr>
        <a:prstGeom prst="hexagon">
          <a:avLst>
            <a:gd name="adj" fmla="val 25000"/>
            <a:gd name="vf" fmla="val 115470"/>
          </a:avLst>
        </a:prstGeom>
      </dgm:spPr>
      <dgm:t>
        <a:bodyPr/>
        <a:lstStyle/>
        <a:p>
          <a:endParaRPr lang="en-US"/>
        </a:p>
      </dgm:t>
    </dgm:pt>
    <dgm:pt modelId="{A0A6C3EB-9EB5-446E-8711-2795F7424932}" type="pres">
      <dgm:prSet presAssocID="{C80B9C28-D083-4C54-975E-6621AB07879F}" presName="spaceBetweenRectangles" presStyleCnt="0"/>
      <dgm:spPr/>
    </dgm:pt>
    <dgm:pt modelId="{49B8374D-0ECB-4729-85CB-16F1ABACC818}" type="pres">
      <dgm:prSet presAssocID="{54743DEA-C3C2-4C83-BC2D-26B8A3AA0C6C}" presName="composite" presStyleCnt="0"/>
      <dgm:spPr/>
    </dgm:pt>
    <dgm:pt modelId="{1DEF982E-8E74-4176-B9AB-F5007415613A}" type="pres">
      <dgm:prSet presAssocID="{54743DEA-C3C2-4C83-BC2D-26B8A3AA0C6C}" presName="Parent1" presStyleLbl="node1" presStyleIdx="2" presStyleCnt="6" custScaleX="214151" custScaleY="136512" custLinFactNeighborX="-14810" custLinFactNeighborY="17630">
        <dgm:presLayoutVars>
          <dgm:chMax val="1"/>
          <dgm:chPref val="1"/>
          <dgm:bulletEnabled val="1"/>
        </dgm:presLayoutVars>
      </dgm:prSet>
      <dgm:spPr>
        <a:prstGeom prst="hexagon">
          <a:avLst>
            <a:gd name="adj" fmla="val 25000"/>
            <a:gd name="vf" fmla="val 115470"/>
          </a:avLst>
        </a:prstGeom>
      </dgm:spPr>
      <dgm:t>
        <a:bodyPr/>
        <a:lstStyle/>
        <a:p>
          <a:endParaRPr lang="en-US"/>
        </a:p>
      </dgm:t>
    </dgm:pt>
    <dgm:pt modelId="{973D851B-38BE-4E43-BAAE-2009A5DDE2C6}" type="pres">
      <dgm:prSet presAssocID="{54743DEA-C3C2-4C83-BC2D-26B8A3AA0C6C}" presName="Childtext1" presStyleLbl="revTx" presStyleIdx="1" presStyleCnt="3">
        <dgm:presLayoutVars>
          <dgm:chMax val="0"/>
          <dgm:chPref val="0"/>
          <dgm:bulletEnabled val="1"/>
        </dgm:presLayoutVars>
      </dgm:prSet>
      <dgm:spPr>
        <a:xfrm>
          <a:off x="1276033" y="1174444"/>
          <a:ext cx="968882" cy="538267"/>
        </a:xfrm>
        <a:prstGeom prst="rect">
          <a:avLst/>
        </a:prstGeom>
        <a:noFill/>
        <a:ln>
          <a:noFill/>
        </a:ln>
        <a:effectLst/>
      </dgm:spPr>
      <dgm:t>
        <a:bodyPr/>
        <a:lstStyle/>
        <a:p>
          <a:endParaRPr lang="en-US"/>
        </a:p>
      </dgm:t>
    </dgm:pt>
    <dgm:pt modelId="{86D56B0E-1A3C-4B4A-B6B8-1B8D71C6A76B}" type="pres">
      <dgm:prSet presAssocID="{54743DEA-C3C2-4C83-BC2D-26B8A3AA0C6C}" presName="BalanceSpacing" presStyleCnt="0"/>
      <dgm:spPr/>
    </dgm:pt>
    <dgm:pt modelId="{3B8FD512-5BD0-4917-88F1-76B806501966}" type="pres">
      <dgm:prSet presAssocID="{54743DEA-C3C2-4C83-BC2D-26B8A3AA0C6C}" presName="BalanceSpacing1" presStyleCnt="0"/>
      <dgm:spPr/>
    </dgm:pt>
    <dgm:pt modelId="{2931447A-F8F9-4BC1-B9FC-6EDC10ED5070}" type="pres">
      <dgm:prSet presAssocID="{CD72915E-6142-4519-8E4D-DC606013ACB2}" presName="Accent1Text" presStyleLbl="node1" presStyleIdx="3" presStyleCnt="6" custLinFactNeighborX="38420" custLinFactNeighborY="-39793"/>
      <dgm:spPr>
        <a:prstGeom prst="hexagon">
          <a:avLst>
            <a:gd name="adj" fmla="val 25000"/>
            <a:gd name="vf" fmla="val 115470"/>
          </a:avLst>
        </a:prstGeom>
      </dgm:spPr>
      <dgm:t>
        <a:bodyPr/>
        <a:lstStyle/>
        <a:p>
          <a:endParaRPr lang="en-US"/>
        </a:p>
      </dgm:t>
    </dgm:pt>
    <dgm:pt modelId="{45298EAC-4C71-4C03-9A81-7A709B9B7590}" type="pres">
      <dgm:prSet presAssocID="{CD72915E-6142-4519-8E4D-DC606013ACB2}" presName="spaceBetweenRectangles" presStyleCnt="0"/>
      <dgm:spPr/>
    </dgm:pt>
    <dgm:pt modelId="{784C01DE-5561-4E5A-A4F5-99D40BCC6A9A}" type="pres">
      <dgm:prSet presAssocID="{86C8456A-7C44-4D1E-A698-D9734EFD8615}" presName="composite" presStyleCnt="0"/>
      <dgm:spPr/>
    </dgm:pt>
    <dgm:pt modelId="{4750D354-9B90-47BF-A68C-DB7E26F0635F}" type="pres">
      <dgm:prSet presAssocID="{86C8456A-7C44-4D1E-A698-D9734EFD8615}" presName="Parent1" presStyleLbl="node1" presStyleIdx="4" presStyleCnt="6" custScaleX="132019" custScaleY="116960" custLinFactNeighborX="28378" custLinFactNeighborY="53">
        <dgm:presLayoutVars>
          <dgm:chMax val="1"/>
          <dgm:chPref val="1"/>
          <dgm:bulletEnabled val="1"/>
        </dgm:presLayoutVars>
      </dgm:prSet>
      <dgm:spPr>
        <a:prstGeom prst="hexagon">
          <a:avLst>
            <a:gd name="adj" fmla="val 25000"/>
            <a:gd name="vf" fmla="val 115470"/>
          </a:avLst>
        </a:prstGeom>
      </dgm:spPr>
      <dgm:t>
        <a:bodyPr/>
        <a:lstStyle/>
        <a:p>
          <a:endParaRPr lang="en-US"/>
        </a:p>
      </dgm:t>
    </dgm:pt>
    <dgm:pt modelId="{9942B31C-EA80-4294-A099-F63D279CC7EC}" type="pres">
      <dgm:prSet presAssocID="{86C8456A-7C44-4D1E-A698-D9734EFD8615}" presName="Childtext1" presStyleLbl="revTx" presStyleIdx="2" presStyleCnt="3">
        <dgm:presLayoutVars>
          <dgm:chMax val="0"/>
          <dgm:chPref val="0"/>
          <dgm:bulletEnabled val="1"/>
        </dgm:presLayoutVars>
      </dgm:prSet>
      <dgm:spPr>
        <a:prstGeom prst="rect">
          <a:avLst/>
        </a:prstGeom>
      </dgm:spPr>
      <dgm:t>
        <a:bodyPr/>
        <a:lstStyle/>
        <a:p>
          <a:endParaRPr lang="en-US"/>
        </a:p>
      </dgm:t>
    </dgm:pt>
    <dgm:pt modelId="{3E228FB3-5883-45CD-AFC9-8FE658FA00A2}" type="pres">
      <dgm:prSet presAssocID="{86C8456A-7C44-4D1E-A698-D9734EFD8615}" presName="BalanceSpacing" presStyleCnt="0"/>
      <dgm:spPr/>
    </dgm:pt>
    <dgm:pt modelId="{DC84936B-7B5E-482F-93ED-D9088249F647}" type="pres">
      <dgm:prSet presAssocID="{86C8456A-7C44-4D1E-A698-D9734EFD8615}" presName="BalanceSpacing1" presStyleCnt="0"/>
      <dgm:spPr/>
    </dgm:pt>
    <dgm:pt modelId="{551002BE-5D6E-49D4-9143-6EB72C3F5F83}" type="pres">
      <dgm:prSet presAssocID="{889F1D83-ECEF-4BFD-8914-2B7E63B5E765}" presName="Accent1Text" presStyleLbl="node1" presStyleIdx="5" presStyleCnt="6" custAng="0" custScaleX="169453" custLinFactNeighborX="-61952" custLinFactNeighborY="-4699"/>
      <dgm:spPr>
        <a:prstGeom prst="hexagon">
          <a:avLst>
            <a:gd name="adj" fmla="val 25000"/>
            <a:gd name="vf" fmla="val 115470"/>
          </a:avLst>
        </a:prstGeom>
      </dgm:spPr>
      <dgm:t>
        <a:bodyPr/>
        <a:lstStyle/>
        <a:p>
          <a:endParaRPr lang="en-US"/>
        </a:p>
      </dgm:t>
    </dgm:pt>
  </dgm:ptLst>
  <dgm:cxnLst>
    <dgm:cxn modelId="{05329C6F-45CC-497B-9D99-B8EB44C9CDB8}" type="presOf" srcId="{2FF37D6E-05C9-4AA1-978B-CCD37905C097}" destId="{B06073BF-B354-48E7-83C7-A23E4194C467}" srcOrd="0" destOrd="0" presId="urn:microsoft.com/office/officeart/2008/layout/AlternatingHexagons"/>
    <dgm:cxn modelId="{C659A05A-812A-40EB-A33C-E39837BC12B6}" srcId="{C4B98AEA-737E-4A41-94C5-4A569150356F}" destId="{86C8456A-7C44-4D1E-A698-D9734EFD8615}" srcOrd="2" destOrd="0" parTransId="{B5E59D4B-6F22-4160-8411-744DE3A78AC6}" sibTransId="{889F1D83-ECEF-4BFD-8914-2B7E63B5E765}"/>
    <dgm:cxn modelId="{A071F953-CEB6-4083-AFDF-B6E30A9E10ED}" type="presOf" srcId="{CD72915E-6142-4519-8E4D-DC606013ACB2}" destId="{2931447A-F8F9-4BC1-B9FC-6EDC10ED5070}" srcOrd="0" destOrd="0" presId="urn:microsoft.com/office/officeart/2008/layout/AlternatingHexagons"/>
    <dgm:cxn modelId="{4773E50E-19BE-4C54-BEAA-EC7ED2E6C73D}" srcId="{86C8456A-7C44-4D1E-A698-D9734EFD8615}" destId="{E2955D88-C740-41D7-A0E2-A6AF1EC85C1A}" srcOrd="0" destOrd="0" parTransId="{0A203C72-CEE6-401D-BAA5-FFD2E4D6DEFD}" sibTransId="{93E79B4B-FB85-4BDA-B058-688C6994BA0F}"/>
    <dgm:cxn modelId="{AD578E2A-A354-42E7-8690-FA4B69D2823D}" type="presOf" srcId="{E2955D88-C740-41D7-A0E2-A6AF1EC85C1A}" destId="{9942B31C-EA80-4294-A099-F63D279CC7EC}" srcOrd="0" destOrd="0" presId="urn:microsoft.com/office/officeart/2008/layout/AlternatingHexagons"/>
    <dgm:cxn modelId="{636368E6-76C5-4834-8D15-F828C5558786}" type="presOf" srcId="{86C8456A-7C44-4D1E-A698-D9734EFD8615}" destId="{4750D354-9B90-47BF-A68C-DB7E26F0635F}" srcOrd="0" destOrd="0" presId="urn:microsoft.com/office/officeart/2008/layout/AlternatingHexagons"/>
    <dgm:cxn modelId="{56766935-929C-4BC4-9850-A719FB5530A4}" type="presOf" srcId="{C80B9C28-D083-4C54-975E-6621AB07879F}" destId="{CCD3EF67-CB79-4B1D-B1BE-CB6A3EF6521C}" srcOrd="0" destOrd="0" presId="urn:microsoft.com/office/officeart/2008/layout/AlternatingHexagons"/>
    <dgm:cxn modelId="{1B798915-0CC4-4A84-965F-6C6BB4D6A487}" type="presOf" srcId="{C4B98AEA-737E-4A41-94C5-4A569150356F}" destId="{DB44E74F-3F22-4A89-BB89-9F21087E285A}" srcOrd="0" destOrd="0" presId="urn:microsoft.com/office/officeart/2008/layout/AlternatingHexagons"/>
    <dgm:cxn modelId="{B85922DB-F074-4632-B472-170A7ACE0B57}" type="presOf" srcId="{54743DEA-C3C2-4C83-BC2D-26B8A3AA0C6C}" destId="{1DEF982E-8E74-4176-B9AB-F5007415613A}" srcOrd="0" destOrd="0" presId="urn:microsoft.com/office/officeart/2008/layout/AlternatingHexagons"/>
    <dgm:cxn modelId="{64D9A7FD-C2C1-46CF-82C0-8B3F072BAD72}" srcId="{C4B98AEA-737E-4A41-94C5-4A569150356F}" destId="{2FF37D6E-05C9-4AA1-978B-CCD37905C097}" srcOrd="0" destOrd="0" parTransId="{853BB35B-32DB-490A-93AF-E048BBEE1870}" sibTransId="{C80B9C28-D083-4C54-975E-6621AB07879F}"/>
    <dgm:cxn modelId="{79A2DFC2-0642-4A9D-BE1F-6B840F8247F8}" type="presOf" srcId="{889F1D83-ECEF-4BFD-8914-2B7E63B5E765}" destId="{551002BE-5D6E-49D4-9143-6EB72C3F5F83}" srcOrd="0" destOrd="0" presId="urn:microsoft.com/office/officeart/2008/layout/AlternatingHexagons"/>
    <dgm:cxn modelId="{BCEDB288-2C8D-4133-8E07-0F127337663C}" srcId="{C4B98AEA-737E-4A41-94C5-4A569150356F}" destId="{54743DEA-C3C2-4C83-BC2D-26B8A3AA0C6C}" srcOrd="1" destOrd="0" parTransId="{FE426454-00A8-49AB-837C-97AF10580D7F}" sibTransId="{CD72915E-6142-4519-8E4D-DC606013ACB2}"/>
    <dgm:cxn modelId="{0A2EC374-526A-4DDB-A6D2-D676574D8261}" type="presParOf" srcId="{DB44E74F-3F22-4A89-BB89-9F21087E285A}" destId="{2E106ACC-DE82-4824-B481-C6B3EF7A46EC}" srcOrd="0" destOrd="0" presId="urn:microsoft.com/office/officeart/2008/layout/AlternatingHexagons"/>
    <dgm:cxn modelId="{524D054B-04EF-4594-B3FC-212B1377847A}" type="presParOf" srcId="{2E106ACC-DE82-4824-B481-C6B3EF7A46EC}" destId="{B06073BF-B354-48E7-83C7-A23E4194C467}" srcOrd="0" destOrd="0" presId="urn:microsoft.com/office/officeart/2008/layout/AlternatingHexagons"/>
    <dgm:cxn modelId="{AC3AB72A-377D-4D32-8BF7-C1676F47DDB2}" type="presParOf" srcId="{2E106ACC-DE82-4824-B481-C6B3EF7A46EC}" destId="{AEC155EB-ECA4-411C-AD6B-3ED2AC789CC9}" srcOrd="1" destOrd="0" presId="urn:microsoft.com/office/officeart/2008/layout/AlternatingHexagons"/>
    <dgm:cxn modelId="{FDC279BE-41C3-4167-8F04-1E5FE1113AF7}" type="presParOf" srcId="{2E106ACC-DE82-4824-B481-C6B3EF7A46EC}" destId="{139D02B5-3BD1-4F42-B4F6-BE8127D3BB52}" srcOrd="2" destOrd="0" presId="urn:microsoft.com/office/officeart/2008/layout/AlternatingHexagons"/>
    <dgm:cxn modelId="{4F7101E4-A54C-4A9E-BBA2-715F01217F4E}" type="presParOf" srcId="{2E106ACC-DE82-4824-B481-C6B3EF7A46EC}" destId="{66C9E7BB-EACC-4A38-A300-24A78C5C031F}" srcOrd="3" destOrd="0" presId="urn:microsoft.com/office/officeart/2008/layout/AlternatingHexagons"/>
    <dgm:cxn modelId="{0B44305A-A15F-4F3B-9B74-9967540C0882}" type="presParOf" srcId="{2E106ACC-DE82-4824-B481-C6B3EF7A46EC}" destId="{CCD3EF67-CB79-4B1D-B1BE-CB6A3EF6521C}" srcOrd="4" destOrd="0" presId="urn:microsoft.com/office/officeart/2008/layout/AlternatingHexagons"/>
    <dgm:cxn modelId="{B23A2F54-4D0A-4A3E-8048-A6CD5A1BC116}" type="presParOf" srcId="{DB44E74F-3F22-4A89-BB89-9F21087E285A}" destId="{A0A6C3EB-9EB5-446E-8711-2795F7424932}" srcOrd="1" destOrd="0" presId="urn:microsoft.com/office/officeart/2008/layout/AlternatingHexagons"/>
    <dgm:cxn modelId="{B4F8190E-B1ED-458F-B682-9AAC5088B441}" type="presParOf" srcId="{DB44E74F-3F22-4A89-BB89-9F21087E285A}" destId="{49B8374D-0ECB-4729-85CB-16F1ABACC818}" srcOrd="2" destOrd="0" presId="urn:microsoft.com/office/officeart/2008/layout/AlternatingHexagons"/>
    <dgm:cxn modelId="{1D38309B-0F97-48DA-AA72-C5514E78057F}" type="presParOf" srcId="{49B8374D-0ECB-4729-85CB-16F1ABACC818}" destId="{1DEF982E-8E74-4176-B9AB-F5007415613A}" srcOrd="0" destOrd="0" presId="urn:microsoft.com/office/officeart/2008/layout/AlternatingHexagons"/>
    <dgm:cxn modelId="{5733501C-DF00-4EB4-B284-16C438F3A35C}" type="presParOf" srcId="{49B8374D-0ECB-4729-85CB-16F1ABACC818}" destId="{973D851B-38BE-4E43-BAAE-2009A5DDE2C6}" srcOrd="1" destOrd="0" presId="urn:microsoft.com/office/officeart/2008/layout/AlternatingHexagons"/>
    <dgm:cxn modelId="{056FC8D6-FD2D-4857-805D-9CC81540AD63}" type="presParOf" srcId="{49B8374D-0ECB-4729-85CB-16F1ABACC818}" destId="{86D56B0E-1A3C-4B4A-B6B8-1B8D71C6A76B}" srcOrd="2" destOrd="0" presId="urn:microsoft.com/office/officeart/2008/layout/AlternatingHexagons"/>
    <dgm:cxn modelId="{7A0EADA7-963C-4F85-83AA-E195D2D8DC78}" type="presParOf" srcId="{49B8374D-0ECB-4729-85CB-16F1ABACC818}" destId="{3B8FD512-5BD0-4917-88F1-76B806501966}" srcOrd="3" destOrd="0" presId="urn:microsoft.com/office/officeart/2008/layout/AlternatingHexagons"/>
    <dgm:cxn modelId="{76C27E8E-B793-4CF0-AD5E-5CE1EBBC7647}" type="presParOf" srcId="{49B8374D-0ECB-4729-85CB-16F1ABACC818}" destId="{2931447A-F8F9-4BC1-B9FC-6EDC10ED5070}" srcOrd="4" destOrd="0" presId="urn:microsoft.com/office/officeart/2008/layout/AlternatingHexagons"/>
    <dgm:cxn modelId="{1A500421-DAF2-45B9-B989-A2C799977AA7}" type="presParOf" srcId="{DB44E74F-3F22-4A89-BB89-9F21087E285A}" destId="{45298EAC-4C71-4C03-9A81-7A709B9B7590}" srcOrd="3" destOrd="0" presId="urn:microsoft.com/office/officeart/2008/layout/AlternatingHexagons"/>
    <dgm:cxn modelId="{188A8ED6-12A1-4880-8A93-B99A2BFE6066}" type="presParOf" srcId="{DB44E74F-3F22-4A89-BB89-9F21087E285A}" destId="{784C01DE-5561-4E5A-A4F5-99D40BCC6A9A}" srcOrd="4" destOrd="0" presId="urn:microsoft.com/office/officeart/2008/layout/AlternatingHexagons"/>
    <dgm:cxn modelId="{8E9ECDEF-C738-4E51-AEBB-F9DF50893E83}" type="presParOf" srcId="{784C01DE-5561-4E5A-A4F5-99D40BCC6A9A}" destId="{4750D354-9B90-47BF-A68C-DB7E26F0635F}" srcOrd="0" destOrd="0" presId="urn:microsoft.com/office/officeart/2008/layout/AlternatingHexagons"/>
    <dgm:cxn modelId="{9F491B9C-BA4B-4D3C-96D0-56E55FA0B9A2}" type="presParOf" srcId="{784C01DE-5561-4E5A-A4F5-99D40BCC6A9A}" destId="{9942B31C-EA80-4294-A099-F63D279CC7EC}" srcOrd="1" destOrd="0" presId="urn:microsoft.com/office/officeart/2008/layout/AlternatingHexagons"/>
    <dgm:cxn modelId="{7C39A83B-E92C-4052-B156-3117F40DEE17}" type="presParOf" srcId="{784C01DE-5561-4E5A-A4F5-99D40BCC6A9A}" destId="{3E228FB3-5883-45CD-AFC9-8FE658FA00A2}" srcOrd="2" destOrd="0" presId="urn:microsoft.com/office/officeart/2008/layout/AlternatingHexagons"/>
    <dgm:cxn modelId="{F22337C9-6E98-4E33-BDEC-243D882E6E5E}" type="presParOf" srcId="{784C01DE-5561-4E5A-A4F5-99D40BCC6A9A}" destId="{DC84936B-7B5E-482F-93ED-D9088249F647}" srcOrd="3" destOrd="0" presId="urn:microsoft.com/office/officeart/2008/layout/AlternatingHexagons"/>
    <dgm:cxn modelId="{9BBB1731-0C2E-4338-94B8-F05B046E66D3}" type="presParOf" srcId="{784C01DE-5561-4E5A-A4F5-99D40BCC6A9A}" destId="{551002BE-5D6E-49D4-9143-6EB72C3F5F83}" srcOrd="4" destOrd="0" presId="urn:microsoft.com/office/officeart/2008/layout/AlternatingHexagons"/>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6073BF-B354-48E7-83C7-A23E4194C467}">
      <dsp:nvSpPr>
        <dsp:cNvPr id="0" name=""/>
        <dsp:cNvSpPr/>
      </dsp:nvSpPr>
      <dsp:spPr>
        <a:xfrm rot="5400000">
          <a:off x="2153213" y="-61175"/>
          <a:ext cx="845771" cy="1039204"/>
        </a:xfrm>
        <a:prstGeom prst="hexagon">
          <a:avLst>
            <a:gd name="adj" fmla="val 25000"/>
            <a:gd name="vf" fmla="val 11547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Calibri"/>
              <a:ea typeface="+mn-ea"/>
              <a:cs typeface="+mn-cs"/>
            </a:rPr>
            <a:t>Liquidity</a:t>
          </a:r>
        </a:p>
      </dsp:txBody>
      <dsp:txXfrm rot="-5400000">
        <a:off x="2229698" y="176503"/>
        <a:ext cx="692802" cy="563847"/>
      </dsp:txXfrm>
    </dsp:sp>
    <dsp:sp modelId="{AEC155EB-ECA4-411C-AD6B-3ED2AC789CC9}">
      <dsp:nvSpPr>
        <dsp:cNvPr id="0" name=""/>
        <dsp:cNvSpPr/>
      </dsp:nvSpPr>
      <dsp:spPr>
        <a:xfrm>
          <a:off x="3620849" y="467288"/>
          <a:ext cx="768404" cy="34578"/>
        </a:xfrm>
        <a:prstGeom prst="rect">
          <a:avLst/>
        </a:prstGeom>
        <a:noFill/>
        <a:ln>
          <a:noFill/>
        </a:ln>
        <a:effectLst/>
      </dsp:spPr>
      <dsp:style>
        <a:lnRef idx="0">
          <a:scrgbClr r="0" g="0" b="0"/>
        </a:lnRef>
        <a:fillRef idx="0">
          <a:scrgbClr r="0" g="0" b="0"/>
        </a:fillRef>
        <a:effectRef idx="0">
          <a:scrgbClr r="0" g="0" b="0"/>
        </a:effectRef>
        <a:fontRef idx="minor"/>
      </dsp:style>
    </dsp:sp>
    <dsp:sp modelId="{CCD3EF67-CB79-4B1D-B1BE-CB6A3EF6521C}">
      <dsp:nvSpPr>
        <dsp:cNvPr id="0" name=""/>
        <dsp:cNvSpPr/>
      </dsp:nvSpPr>
      <dsp:spPr>
        <a:xfrm rot="5400000">
          <a:off x="692218" y="696457"/>
          <a:ext cx="964620" cy="969530"/>
        </a:xfrm>
        <a:prstGeom prst="hexagon">
          <a:avLst>
            <a:gd name="adj" fmla="val 25000"/>
            <a:gd name="vf" fmla="val 11547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Arial" pitchFamily="34" charset="0"/>
              <a:ea typeface="+mn-ea"/>
              <a:cs typeface="Arial" pitchFamily="34" charset="0"/>
            </a:rPr>
            <a:t>Market Value</a:t>
          </a:r>
        </a:p>
      </dsp:txBody>
      <dsp:txXfrm rot="-5400000">
        <a:off x="851351" y="859682"/>
        <a:ext cx="646354" cy="643080"/>
      </dsp:txXfrm>
    </dsp:sp>
    <dsp:sp modelId="{1DEF982E-8E74-4176-B9AB-F5007415613A}">
      <dsp:nvSpPr>
        <dsp:cNvPr id="0" name=""/>
        <dsp:cNvSpPr/>
      </dsp:nvSpPr>
      <dsp:spPr>
        <a:xfrm rot="5400000">
          <a:off x="1939532" y="766027"/>
          <a:ext cx="1224667" cy="1671423"/>
        </a:xfrm>
        <a:prstGeom prst="hexagon">
          <a:avLst>
            <a:gd name="adj" fmla="val 25000"/>
            <a:gd name="vf" fmla="val 11547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Dimension</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of Ratio</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Analysis</a:t>
          </a:r>
        </a:p>
      </dsp:txBody>
      <dsp:txXfrm rot="-5400000">
        <a:off x="1994725" y="1193516"/>
        <a:ext cx="1114282" cy="816445"/>
      </dsp:txXfrm>
    </dsp:sp>
    <dsp:sp modelId="{973D851B-38BE-4E43-BAAE-2009A5DDE2C6}">
      <dsp:nvSpPr>
        <dsp:cNvPr id="0" name=""/>
        <dsp:cNvSpPr/>
      </dsp:nvSpPr>
      <dsp:spPr>
        <a:xfrm>
          <a:off x="1276033" y="1174444"/>
          <a:ext cx="968882" cy="538267"/>
        </a:xfrm>
        <a:prstGeom prst="rect">
          <a:avLst/>
        </a:prstGeom>
        <a:noFill/>
        <a:ln>
          <a:noFill/>
        </a:ln>
        <a:effectLst/>
      </dsp:spPr>
      <dsp:style>
        <a:lnRef idx="0">
          <a:scrgbClr r="0" g="0" b="0"/>
        </a:lnRef>
        <a:fillRef idx="0">
          <a:scrgbClr r="0" g="0" b="0"/>
        </a:fillRef>
        <a:effectRef idx="0">
          <a:scrgbClr r="0" g="0" b="0"/>
        </a:effectRef>
        <a:fontRef idx="minor"/>
      </dsp:style>
    </dsp:sp>
    <dsp:sp modelId="{2931447A-F8F9-4BC1-B9FC-6EDC10ED5070}">
      <dsp:nvSpPr>
        <dsp:cNvPr id="0" name=""/>
        <dsp:cNvSpPr/>
      </dsp:nvSpPr>
      <dsp:spPr>
        <a:xfrm rot="5400000">
          <a:off x="3361690" y="696346"/>
          <a:ext cx="897113" cy="780488"/>
        </a:xfrm>
        <a:prstGeom prst="hexagon">
          <a:avLst>
            <a:gd name="adj" fmla="val 25000"/>
            <a:gd name="vf" fmla="val 115470"/>
          </a:avLst>
        </a:prstGeom>
        <a:solidFill>
          <a:srgbClr val="4F81BD">
            <a:hueOff val="0"/>
            <a:satOff val="0"/>
            <a:lumOff val="0"/>
            <a:alphaOff val="0"/>
          </a:srgbClr>
        </a:solidFill>
        <a:ln w="25400" cap="flat" cmpd="sng" algn="ctr">
          <a:solidFill>
            <a:srgbClr val="4F81BD"/>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Arial" pitchFamily="34" charset="0"/>
              <a:ea typeface="+mn-ea"/>
              <a:cs typeface="Arial" pitchFamily="34" charset="0"/>
            </a:rPr>
            <a:t>profitability</a:t>
          </a:r>
        </a:p>
      </dsp:txBody>
      <dsp:txXfrm rot="-5400000">
        <a:off x="3541628" y="777834"/>
        <a:ext cx="537236" cy="617513"/>
      </dsp:txXfrm>
    </dsp:sp>
    <dsp:sp modelId="{4750D354-9B90-47BF-A68C-DB7E26F0635F}">
      <dsp:nvSpPr>
        <dsp:cNvPr id="0" name=""/>
        <dsp:cNvSpPr/>
      </dsp:nvSpPr>
      <dsp:spPr>
        <a:xfrm rot="5400000">
          <a:off x="2787390" y="1930179"/>
          <a:ext cx="1049263" cy="1030393"/>
        </a:xfrm>
        <a:prstGeom prst="hexagon">
          <a:avLst>
            <a:gd name="adj" fmla="val 25000"/>
            <a:gd name="vf" fmla="val 11547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Solvency</a:t>
          </a:r>
        </a:p>
      </dsp:txBody>
      <dsp:txXfrm rot="-5400000">
        <a:off x="2967013" y="2094049"/>
        <a:ext cx="690017" cy="702653"/>
      </dsp:txXfrm>
    </dsp:sp>
    <dsp:sp modelId="{9942B31C-EA80-4294-A099-F63D279CC7EC}">
      <dsp:nvSpPr>
        <dsp:cNvPr id="0" name=""/>
        <dsp:cNvSpPr/>
      </dsp:nvSpPr>
      <dsp:spPr>
        <a:xfrm>
          <a:off x="3504462" y="2175766"/>
          <a:ext cx="1001178" cy="5382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endParaRPr lang="en-US" sz="1000" kern="1200">
            <a:solidFill>
              <a:sysClr val="windowText" lastClr="000000">
                <a:hueOff val="0"/>
                <a:satOff val="0"/>
                <a:lumOff val="0"/>
                <a:alphaOff val="0"/>
              </a:sysClr>
            </a:solidFill>
            <a:latin typeface="Calibri"/>
            <a:ea typeface="+mn-ea"/>
            <a:cs typeface="+mn-cs"/>
          </a:endParaRPr>
        </a:p>
      </dsp:txBody>
      <dsp:txXfrm>
        <a:off x="3504462" y="2175766"/>
        <a:ext cx="1001178" cy="538267"/>
      </dsp:txXfrm>
    </dsp:sp>
    <dsp:sp modelId="{551002BE-5D6E-49D4-9143-6EB72C3F5F83}">
      <dsp:nvSpPr>
        <dsp:cNvPr id="0" name=""/>
        <dsp:cNvSpPr/>
      </dsp:nvSpPr>
      <dsp:spPr>
        <a:xfrm rot="5400000">
          <a:off x="1315522" y="1741464"/>
          <a:ext cx="897113" cy="1322561"/>
        </a:xfrm>
        <a:prstGeom prst="hexagon">
          <a:avLst>
            <a:gd name="adj" fmla="val 25000"/>
            <a:gd name="vf" fmla="val 11547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Arial" pitchFamily="34" charset="0"/>
              <a:ea typeface="+mn-ea"/>
              <a:cs typeface="Arial" pitchFamily="34" charset="0"/>
            </a:rPr>
            <a:t>Efficiency</a:t>
          </a:r>
        </a:p>
      </dsp:txBody>
      <dsp:txXfrm rot="-5400000">
        <a:off x="1323225" y="2103707"/>
        <a:ext cx="881707" cy="598075"/>
      </dsp:txXfrm>
    </dsp:sp>
  </dsp:spTree>
</dsp:drawing>
</file>

<file path=word/diagrams/layout1.xml><?xml version="1.0" encoding="utf-8"?>
<dgm:layoutDef xmlns:dgm="http://schemas.openxmlformats.org/drawingml/2006/diagram" xmlns:a="http://schemas.openxmlformats.org/drawingml/2006/main" uniqueId="urn:microsoft.com/office/officeart/2008/layout/AlternatingHexagons">
  <dgm:title val=""/>
  <dgm:desc val=""/>
  <dgm:catLst>
    <dgm:cat type="list" pri="1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1"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chMax/>
      <dgm:chPref/>
      <dgm:dir/>
      <dgm:animLvl val="lvl"/>
    </dgm:varLst>
    <dgm:alg type="lin">
      <dgm:param type="linDir" val="fromT"/>
    </dgm:alg>
    <dgm:shape xmlns:r="http://schemas.openxmlformats.org/officeDocument/2006/relationships" r:blip="">
      <dgm:adjLst/>
    </dgm:shape>
    <dgm:constrLst>
      <dgm:constr type="primFontSz" for="des" forName="Parent1" val="65"/>
      <dgm:constr type="primFontSz" for="des" forName="Childtext1" refType="primFontSz" refFor="des" refForName="Parent1" op="lte"/>
      <dgm:constr type="w" for="ch" forName="composite" refType="w"/>
      <dgm:constr type="h" for="ch" forName="composite" refType="h"/>
      <dgm:constr type="h" for="ch" forName="spaceBetweenRectangles" refType="w" refFor="ch" refForName="composite" fact="-0.042"/>
      <dgm:constr type="sp" refType="h" refFor="ch" refForName="composite" op="equ" fact="0.1"/>
    </dgm:constrLst>
    <dgm:forEach name="nodesForEach" axis="ch" ptType="node">
      <dgm:layoutNode name="composite">
        <dgm:alg type="composite">
          <dgm:param type="ar" val="3.6"/>
        </dgm:alg>
        <dgm:shape xmlns:r="http://schemas.openxmlformats.org/officeDocument/2006/relationships" r:blip="">
          <dgm:adjLst/>
        </dgm:shape>
        <dgm:choose name="Name1">
          <dgm:if name="Name2" func="var" arg="dir" op="equ" val="norm">
            <dgm:choose name="Name3">
              <dgm:if name="Name4" axis="self" ptType="node" func="posOdd" op="equ" val="1">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dgm:constr type="h" for="ch" forName="BalanceSpacing" refType="h" fact="0.1"/>
                  <dgm:constr type="l" for="ch" forName="BalanceSpacing1" refType="w" fact="0.69"/>
                  <dgm:constr type="t" for="ch" forName="BalanceSpacing1" refType="h" fact="0.2"/>
                  <dgm:constr type="w" for="ch" forName="BalanceSpacing1" refType="w" fact="0.31"/>
                  <dgm:constr type="h" for="ch" forName="BalanceSpacing1" refType="h" fact="0.6"/>
                </dgm:constrLst>
              </dgm:if>
              <dgm:else name="Name5">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 type="l" for="ch" forName="BalanceSpacing1" refType="w" fact="0"/>
                  <dgm:constr type="t" for="ch" forName="BalanceSpacing1" refType="h" fact="0.2"/>
                  <dgm:constr type="w" for="ch" forName="BalanceSpacing1" refType="w" fact="0.3"/>
                  <dgm:constr type="h" for="ch" forName="BalanceSpacing1" refType="h" fact="0.6"/>
                </dgm:constrLst>
              </dgm:else>
            </dgm:choose>
          </dgm:if>
          <dgm:else name="Name6">
            <dgm:choose name="Name7">
              <dgm:if name="Name8" axis="self" ptType="node" func="posOdd" op="equ" val="1">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Lst>
              </dgm:if>
              <dgm:else name="Name9">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fact="0.18"/>
                  <dgm:constr type="h" for="ch" forName="BalanceSpacing" refType="h"/>
                </dgm:constrLst>
              </dgm:else>
            </dgm:choose>
          </dgm:else>
        </dgm:choose>
        <dgm:layoutNode name="Parent1" styleLbl="node1">
          <dgm:varLst>
            <dgm:chMax val="1"/>
            <dgm:chPref val="1"/>
            <dgm:bulletEnabled val="1"/>
          </dgm:varLst>
          <dgm:alg type="tx"/>
          <dgm:shape xmlns:r="http://schemas.openxmlformats.org/officeDocument/2006/relationships" rot="90" type="hexagon" r:blip="">
            <dgm:adjLst>
              <dgm:adj idx="1" val="0.25"/>
              <dgm:adj idx="2" val="1.154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hildtext1" styleLbl="revTx">
          <dgm:varLst>
            <dgm:chMax val="0"/>
            <dgm:chPref val="0"/>
            <dgm:bulletEnabled val="1"/>
          </dgm:varLst>
          <dgm:choose name="Name10">
            <dgm:if name="Name11" func="var" arg="dir" op="equ" val="norm">
              <dgm:choose name="Name12">
                <dgm:if name="Name13" axis="self" ptType="node" func="posOdd" op="equ" val="1">
                  <dgm:alg type="tx">
                    <dgm:param type="parTxLTRAlign" val="l"/>
                  </dgm:alg>
                </dgm:if>
                <dgm:else name="Name14">
                  <dgm:alg type="tx">
                    <dgm:param type="parTxLTRAlign" val="r"/>
                  </dgm:alg>
                </dgm:else>
              </dgm:choose>
            </dgm:if>
            <dgm:else name="Name15">
              <dgm:choose name="Name16">
                <dgm:if name="Name17" axis="self" ptType="node" func="posOdd" op="equ" val="1">
                  <dgm:alg type="tx">
                    <dgm:param type="parTxLTRAlign" val="r"/>
                  </dgm:alg>
                </dgm:if>
                <dgm:else name="Name18">
                  <dgm:alg type="tx">
                    <dgm:param type="parTxLTRAlign" val="l"/>
                  </dgm:alg>
                </dgm:else>
              </dgm:choose>
            </dgm:else>
          </dgm:choose>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BalanceSpacing">
          <dgm:alg type="sp"/>
          <dgm:shape xmlns:r="http://schemas.openxmlformats.org/officeDocument/2006/relationships" r:blip="">
            <dgm:adjLst/>
          </dgm:shape>
        </dgm:layoutNode>
        <dgm:layoutNode name="BalanceSpacing1">
          <dgm:alg type="sp"/>
          <dgm:shape xmlns:r="http://schemas.openxmlformats.org/officeDocument/2006/relationships" r:blip="">
            <dgm:adjLst/>
          </dgm:shape>
        </dgm:layoutNode>
        <dgm:forEach name="Name19" axis="followSib" ptType="sibTrans" hideLastTrans="0" cnt="1">
          <dgm:layoutNode name="Accent1Text" styleLbl="node1">
            <dgm:alg type="tx"/>
            <dgm:shape xmlns:r="http://schemas.openxmlformats.org/officeDocument/2006/relationships" rot="90" type="hexagon" r:blip="">
              <dgm:adjLst>
                <dgm:adj idx="1" val="0.25"/>
                <dgm:adj idx="2" val="1.1547"/>
              </dgm:adjLst>
            </dgm:shape>
            <dgm:presOf axis="self" ptType="sibTrans"/>
            <dgm:constrLst>
              <dgm:constr type="lMarg"/>
              <dgm:constr type="rMarg"/>
              <dgm:constr type="tMarg"/>
              <dgm:constr type="bMarg"/>
            </dgm:constrLst>
            <dgm:ruleLst>
              <dgm:rule type="primFontSz" val="5" fact="NaN" max="NaN"/>
            </dgm:ruleLst>
          </dgm:layoutNode>
        </dgm:forEach>
      </dgm:layoutNode>
      <dgm:forEach name="Name2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www18</b:Tag>
    <b:SourceType>InternetSite</b:SourceType>
    <b:Guid>{44F4A329-F2D7-43E3-8AB9-988A73EB88D7}</b:Guid>
    <b:Year>2014 to 2018</b:Year>
    <b:InternetSiteTitle>www.idlc.com</b:InternetSiteTitle>
    <b:RefOrder>1</b:RefOrder>
  </b:Source>
  <b:Source>
    <b:Tag>www181</b:Tag>
    <b:SourceType>InternetSite</b:SourceType>
    <b:Guid>{472B5080-5449-4661-9E47-AEE6761877FD}</b:Guid>
    <b:Title>www.google.com</b:Title>
    <b:Year>2018</b:Year>
    <b:RefOrder>2</b:RefOrder>
  </b:Source>
  <b:Source>
    <b:Tag>www</b:Tag>
    <b:SourceType>InternetSite</b:SourceType>
    <b:Guid>{B136BB4A-8A95-411C-BB1D-E181B94BFD5A}</b:Guid>
    <b:Title>www.dse.com.bd</b:Title>
    <b:RefOrder>3</b:RefOrder>
  </b:Source>
</b:Sources>
</file>

<file path=customXml/itemProps1.xml><?xml version="1.0" encoding="utf-8"?>
<ds:datastoreItem xmlns:ds="http://schemas.openxmlformats.org/officeDocument/2006/customXml" ds:itemID="{B141C1F6-D26B-467A-B3DD-F1F1138C2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59</Pages>
  <Words>9881</Words>
  <Characters>56322</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66071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enamul</cp:lastModifiedBy>
  <cp:revision>3</cp:revision>
  <dcterms:created xsi:type="dcterms:W3CDTF">2019-12-06T05:24:00Z</dcterms:created>
  <dcterms:modified xsi:type="dcterms:W3CDTF">2019-12-06T05:54:00Z</dcterms:modified>
</cp:coreProperties>
</file>