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Default Extension="gif" ContentType="image/gif"/>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714" w:rsidRDefault="00274714" w:rsidP="008379F7">
      <w:pPr>
        <w:spacing w:after="120" w:line="240" w:lineRule="auto"/>
      </w:pPr>
      <w:r>
        <w:rPr>
          <w:noProof/>
        </w:rPr>
        <w:drawing>
          <wp:anchor distT="0" distB="0" distL="114300" distR="114300" simplePos="0" relativeHeight="251658240" behindDoc="0" locked="0" layoutInCell="1" allowOverlap="1">
            <wp:simplePos x="0" y="0"/>
            <wp:positionH relativeFrom="margin">
              <wp:align>center</wp:align>
            </wp:positionH>
            <wp:positionV relativeFrom="margin">
              <wp:posOffset>149225</wp:posOffset>
            </wp:positionV>
            <wp:extent cx="1677670" cy="1230630"/>
            <wp:effectExtent l="19050" t="0" r="0" b="0"/>
            <wp:wrapSquare wrapText="bothSides"/>
            <wp:docPr id="2" name="Picture 0" descr="dphodhaka_uiu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hodhaka_uiulogo.jpg"/>
                    <pic:cNvPicPr/>
                  </pic:nvPicPr>
                  <pic:blipFill>
                    <a:blip r:embed="rId8" cstate="print"/>
                    <a:stretch>
                      <a:fillRect/>
                    </a:stretch>
                  </pic:blipFill>
                  <pic:spPr>
                    <a:xfrm>
                      <a:off x="0" y="0"/>
                      <a:ext cx="1677670" cy="1230630"/>
                    </a:xfrm>
                    <a:prstGeom prst="rect">
                      <a:avLst/>
                    </a:prstGeom>
                  </pic:spPr>
                </pic:pic>
              </a:graphicData>
            </a:graphic>
          </wp:anchor>
        </w:drawing>
      </w:r>
      <w:r w:rsidR="008379F7">
        <w:br w:type="textWrapping" w:clear="all"/>
      </w:r>
    </w:p>
    <w:p w:rsidR="00274714" w:rsidRPr="001F0BA9" w:rsidRDefault="00274714" w:rsidP="00274714">
      <w:pPr>
        <w:spacing w:line="240" w:lineRule="auto"/>
        <w:jc w:val="center"/>
      </w:pPr>
    </w:p>
    <w:p w:rsidR="00274714" w:rsidRDefault="00274714" w:rsidP="00274714">
      <w:pPr>
        <w:spacing w:after="0" w:line="240" w:lineRule="auto"/>
        <w:jc w:val="center"/>
        <w:rPr>
          <w:b/>
          <w:color w:val="E36C0A" w:themeColor="accent6" w:themeShade="BF"/>
          <w:sz w:val="52"/>
          <w:szCs w:val="52"/>
          <w:u w:val="single"/>
        </w:rPr>
      </w:pPr>
      <w:r w:rsidRPr="001F0BA9">
        <w:rPr>
          <w:b/>
          <w:color w:val="E36C0A" w:themeColor="accent6" w:themeShade="BF"/>
          <w:sz w:val="52"/>
          <w:szCs w:val="52"/>
          <w:u w:val="single"/>
        </w:rPr>
        <w:t>UNITED INTERNATIONAL UNIVERSITY</w:t>
      </w:r>
    </w:p>
    <w:p w:rsidR="00274714" w:rsidRDefault="00274714" w:rsidP="00274714">
      <w:pPr>
        <w:spacing w:line="240" w:lineRule="auto"/>
        <w:jc w:val="center"/>
        <w:rPr>
          <w:b/>
          <w:color w:val="E36C0A" w:themeColor="accent6" w:themeShade="BF"/>
          <w:sz w:val="52"/>
          <w:szCs w:val="52"/>
          <w:u w:val="single"/>
        </w:rPr>
      </w:pPr>
    </w:p>
    <w:p w:rsidR="00274714" w:rsidRDefault="00274714" w:rsidP="008379F7">
      <w:pPr>
        <w:spacing w:after="0" w:line="240" w:lineRule="auto"/>
        <w:jc w:val="center"/>
        <w:rPr>
          <w:b/>
          <w:color w:val="E36C0A" w:themeColor="accent6" w:themeShade="BF"/>
          <w:sz w:val="48"/>
          <w:szCs w:val="48"/>
        </w:rPr>
      </w:pPr>
      <w:r w:rsidRPr="008379F7">
        <w:rPr>
          <w:b/>
          <w:color w:val="E36C0A" w:themeColor="accent6" w:themeShade="BF"/>
          <w:sz w:val="48"/>
          <w:szCs w:val="48"/>
        </w:rPr>
        <w:t>Internship- (INT 4399)</w:t>
      </w:r>
    </w:p>
    <w:p w:rsidR="008379F7" w:rsidRPr="008379F7" w:rsidRDefault="008379F7" w:rsidP="008379F7">
      <w:pPr>
        <w:spacing w:after="0" w:line="240" w:lineRule="auto"/>
        <w:jc w:val="center"/>
        <w:rPr>
          <w:b/>
          <w:color w:val="E36C0A" w:themeColor="accent6" w:themeShade="BF"/>
          <w:sz w:val="48"/>
          <w:szCs w:val="48"/>
        </w:rPr>
      </w:pPr>
    </w:p>
    <w:p w:rsidR="00274714" w:rsidRDefault="00274714" w:rsidP="008379F7">
      <w:pPr>
        <w:tabs>
          <w:tab w:val="center" w:pos="4680"/>
          <w:tab w:val="left" w:pos="7731"/>
        </w:tabs>
        <w:spacing w:after="0" w:line="240" w:lineRule="auto"/>
        <w:jc w:val="both"/>
        <w:rPr>
          <w:rFonts w:cs="Times New Roman"/>
          <w:b/>
          <w:color w:val="984806" w:themeColor="accent6" w:themeShade="80"/>
          <w:sz w:val="32"/>
          <w:szCs w:val="32"/>
        </w:rPr>
      </w:pPr>
      <w:r w:rsidRPr="004C0269">
        <w:rPr>
          <w:b/>
          <w:color w:val="984806" w:themeColor="accent6" w:themeShade="80"/>
          <w:sz w:val="32"/>
          <w:szCs w:val="32"/>
        </w:rPr>
        <w:t>Internship Report on</w:t>
      </w:r>
      <w:r w:rsidRPr="004C0269">
        <w:rPr>
          <w:color w:val="984806" w:themeColor="accent6" w:themeShade="80"/>
          <w:sz w:val="32"/>
          <w:szCs w:val="32"/>
        </w:rPr>
        <w:t xml:space="preserve"> </w:t>
      </w:r>
      <w:r w:rsidRPr="004C0269">
        <w:rPr>
          <w:rFonts w:cs="Times New Roman"/>
          <w:b/>
          <w:bCs/>
          <w:color w:val="984806" w:themeColor="accent6" w:themeShade="80"/>
          <w:sz w:val="32"/>
          <w:szCs w:val="32"/>
        </w:rPr>
        <w:t>“Implementation of Basel III Accords in Dutch-Bangla Bank Limited: Risk Based Capital Adequacy Ratios Requirement of Bangladesh Bank”</w:t>
      </w:r>
      <w:r w:rsidRPr="004C0269">
        <w:rPr>
          <w:rFonts w:cs="Times New Roman"/>
          <w:b/>
          <w:color w:val="984806" w:themeColor="accent6" w:themeShade="80"/>
          <w:sz w:val="32"/>
          <w:szCs w:val="32"/>
        </w:rPr>
        <w:tab/>
      </w:r>
    </w:p>
    <w:p w:rsidR="008379F7" w:rsidRPr="004C0269" w:rsidRDefault="008379F7" w:rsidP="00274714">
      <w:pPr>
        <w:tabs>
          <w:tab w:val="center" w:pos="4680"/>
          <w:tab w:val="left" w:pos="7731"/>
        </w:tabs>
        <w:spacing w:after="120" w:line="240" w:lineRule="auto"/>
        <w:jc w:val="both"/>
        <w:rPr>
          <w:b/>
          <w:color w:val="984806" w:themeColor="accent6" w:themeShade="80"/>
          <w:sz w:val="32"/>
          <w:szCs w:val="32"/>
        </w:rPr>
      </w:pPr>
    </w:p>
    <w:p w:rsidR="00274714" w:rsidRPr="004C0269" w:rsidRDefault="00274714" w:rsidP="00274714">
      <w:pPr>
        <w:spacing w:line="240" w:lineRule="auto"/>
        <w:jc w:val="center"/>
        <w:rPr>
          <w:b/>
          <w:sz w:val="48"/>
          <w:szCs w:val="48"/>
          <w:u w:val="single"/>
        </w:rPr>
      </w:pPr>
      <w:r>
        <w:rPr>
          <w:b/>
          <w:noProof/>
          <w:sz w:val="48"/>
          <w:szCs w:val="48"/>
          <w:u w:val="single"/>
        </w:rPr>
        <w:drawing>
          <wp:inline distT="0" distB="0" distL="0" distR="0">
            <wp:extent cx="5940642" cy="624887"/>
            <wp:effectExtent l="19050" t="0" r="2958" b="0"/>
            <wp:docPr id="5" name="Picture 1" descr="106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6033.jpg"/>
                    <pic:cNvPicPr/>
                  </pic:nvPicPr>
                  <pic:blipFill>
                    <a:blip r:embed="rId9" cstate="print"/>
                    <a:stretch>
                      <a:fillRect/>
                    </a:stretch>
                  </pic:blipFill>
                  <pic:spPr>
                    <a:xfrm>
                      <a:off x="0" y="0"/>
                      <a:ext cx="5943600" cy="625198"/>
                    </a:xfrm>
                    <a:prstGeom prst="rect">
                      <a:avLst/>
                    </a:prstGeom>
                  </pic:spPr>
                </pic:pic>
              </a:graphicData>
            </a:graphic>
          </wp:inline>
        </w:drawing>
      </w:r>
    </w:p>
    <w:p w:rsidR="008379F7" w:rsidRDefault="008379F7" w:rsidP="00274714">
      <w:pPr>
        <w:spacing w:after="0" w:line="240" w:lineRule="auto"/>
        <w:jc w:val="center"/>
        <w:rPr>
          <w:b/>
          <w:color w:val="943634" w:themeColor="accent2" w:themeShade="BF"/>
          <w:sz w:val="40"/>
          <w:szCs w:val="40"/>
          <w:u w:val="single"/>
        </w:rPr>
      </w:pPr>
    </w:p>
    <w:p w:rsidR="00274714" w:rsidRPr="00AE1323" w:rsidRDefault="00274714" w:rsidP="00274714">
      <w:pPr>
        <w:spacing w:after="0" w:line="240" w:lineRule="auto"/>
        <w:jc w:val="center"/>
        <w:rPr>
          <w:b/>
          <w:color w:val="943634" w:themeColor="accent2" w:themeShade="BF"/>
          <w:sz w:val="40"/>
          <w:szCs w:val="40"/>
          <w:u w:val="single"/>
        </w:rPr>
      </w:pPr>
      <w:r w:rsidRPr="00AE1323">
        <w:rPr>
          <w:b/>
          <w:color w:val="943634" w:themeColor="accent2" w:themeShade="BF"/>
          <w:sz w:val="40"/>
          <w:szCs w:val="40"/>
          <w:u w:val="single"/>
        </w:rPr>
        <w:t>Submitted To</w:t>
      </w:r>
    </w:p>
    <w:p w:rsidR="00274714" w:rsidRPr="001F0BA9" w:rsidRDefault="00274714" w:rsidP="00274714">
      <w:pPr>
        <w:spacing w:after="0" w:line="240" w:lineRule="auto"/>
        <w:jc w:val="center"/>
        <w:rPr>
          <w:color w:val="984806" w:themeColor="accent6" w:themeShade="80"/>
          <w:sz w:val="40"/>
          <w:szCs w:val="40"/>
        </w:rPr>
      </w:pPr>
      <w:r>
        <w:rPr>
          <w:color w:val="984806" w:themeColor="accent6" w:themeShade="80"/>
          <w:sz w:val="40"/>
          <w:szCs w:val="40"/>
        </w:rPr>
        <w:t>Nusrat Farzana (NFa)</w:t>
      </w:r>
    </w:p>
    <w:p w:rsidR="00274714" w:rsidRDefault="00274714" w:rsidP="00274714">
      <w:pPr>
        <w:spacing w:after="0" w:line="240" w:lineRule="auto"/>
        <w:jc w:val="center"/>
        <w:rPr>
          <w:color w:val="984806" w:themeColor="accent6" w:themeShade="80"/>
          <w:sz w:val="32"/>
          <w:szCs w:val="32"/>
        </w:rPr>
      </w:pPr>
      <w:r>
        <w:rPr>
          <w:color w:val="984806" w:themeColor="accent6" w:themeShade="80"/>
          <w:sz w:val="32"/>
          <w:szCs w:val="32"/>
        </w:rPr>
        <w:t>Assistant Professor</w:t>
      </w:r>
    </w:p>
    <w:p w:rsidR="00274714" w:rsidRPr="001F0BA9" w:rsidRDefault="00274714" w:rsidP="00274714">
      <w:pPr>
        <w:spacing w:after="0" w:line="240" w:lineRule="auto"/>
        <w:jc w:val="center"/>
        <w:rPr>
          <w:color w:val="984806" w:themeColor="accent6" w:themeShade="80"/>
          <w:sz w:val="32"/>
          <w:szCs w:val="32"/>
        </w:rPr>
      </w:pPr>
      <w:r>
        <w:rPr>
          <w:color w:val="984806" w:themeColor="accent6" w:themeShade="80"/>
          <w:sz w:val="32"/>
          <w:szCs w:val="32"/>
        </w:rPr>
        <w:t>Faculty of Business Administration at United International University</w:t>
      </w:r>
    </w:p>
    <w:p w:rsidR="00274714" w:rsidRPr="001F0BA9" w:rsidRDefault="00274714" w:rsidP="00274714">
      <w:pPr>
        <w:spacing w:line="240" w:lineRule="auto"/>
        <w:jc w:val="center"/>
        <w:rPr>
          <w:b/>
          <w:color w:val="F79646" w:themeColor="accent6"/>
          <w:sz w:val="36"/>
          <w:szCs w:val="36"/>
          <w:u w:val="single"/>
        </w:rPr>
      </w:pPr>
    </w:p>
    <w:p w:rsidR="00274714" w:rsidRPr="004D6BD4" w:rsidRDefault="00274714" w:rsidP="00274714">
      <w:pPr>
        <w:spacing w:after="0" w:line="240" w:lineRule="auto"/>
        <w:jc w:val="center"/>
        <w:rPr>
          <w:b/>
          <w:color w:val="943634" w:themeColor="accent2" w:themeShade="BF"/>
          <w:sz w:val="36"/>
          <w:szCs w:val="36"/>
          <w:u w:val="single"/>
        </w:rPr>
      </w:pPr>
      <w:r w:rsidRPr="004D6BD4">
        <w:rPr>
          <w:b/>
          <w:color w:val="943634" w:themeColor="accent2" w:themeShade="BF"/>
          <w:sz w:val="36"/>
          <w:szCs w:val="36"/>
          <w:u w:val="single"/>
        </w:rPr>
        <w:t>Submitted By</w:t>
      </w:r>
    </w:p>
    <w:p w:rsidR="00274714" w:rsidRPr="001F0BA9" w:rsidRDefault="00274714" w:rsidP="00274714">
      <w:pPr>
        <w:tabs>
          <w:tab w:val="center" w:pos="4680"/>
          <w:tab w:val="left" w:pos="7772"/>
        </w:tabs>
        <w:spacing w:after="0" w:line="240" w:lineRule="auto"/>
        <w:rPr>
          <w:color w:val="984806" w:themeColor="accent6" w:themeShade="80"/>
          <w:sz w:val="40"/>
          <w:szCs w:val="40"/>
        </w:rPr>
      </w:pPr>
      <w:r>
        <w:rPr>
          <w:color w:val="000000" w:themeColor="text1"/>
          <w:sz w:val="32"/>
          <w:szCs w:val="32"/>
        </w:rPr>
        <w:tab/>
      </w:r>
      <w:r w:rsidRPr="001F0BA9">
        <w:rPr>
          <w:color w:val="984806" w:themeColor="accent6" w:themeShade="80"/>
          <w:sz w:val="40"/>
          <w:szCs w:val="40"/>
        </w:rPr>
        <w:t>Hossain Md. Rezoan Kabir</w:t>
      </w:r>
      <w:r w:rsidRPr="001F0BA9">
        <w:rPr>
          <w:color w:val="984806" w:themeColor="accent6" w:themeShade="80"/>
          <w:sz w:val="40"/>
          <w:szCs w:val="40"/>
        </w:rPr>
        <w:tab/>
      </w:r>
    </w:p>
    <w:p w:rsidR="00C022D1" w:rsidRDefault="00274714" w:rsidP="009508CB">
      <w:pPr>
        <w:spacing w:after="0" w:line="240" w:lineRule="auto"/>
        <w:jc w:val="center"/>
        <w:rPr>
          <w:color w:val="984806" w:themeColor="accent6" w:themeShade="80"/>
          <w:sz w:val="32"/>
          <w:szCs w:val="32"/>
        </w:rPr>
      </w:pPr>
      <w:r w:rsidRPr="001F0BA9">
        <w:rPr>
          <w:color w:val="984806" w:themeColor="accent6" w:themeShade="80"/>
          <w:sz w:val="32"/>
          <w:szCs w:val="32"/>
        </w:rPr>
        <w:t>ID: 111 132 191</w:t>
      </w:r>
    </w:p>
    <w:p w:rsidR="00C022D1" w:rsidRPr="008379F7" w:rsidRDefault="00C022D1" w:rsidP="008379F7">
      <w:pPr>
        <w:spacing w:after="0" w:line="240" w:lineRule="auto"/>
        <w:jc w:val="center"/>
        <w:rPr>
          <w:color w:val="984806" w:themeColor="accent6" w:themeShade="80"/>
          <w:sz w:val="32"/>
          <w:szCs w:val="32"/>
        </w:rPr>
      </w:pPr>
    </w:p>
    <w:p w:rsidR="00274714" w:rsidRPr="004D6BD4" w:rsidRDefault="009508CB" w:rsidP="00274714">
      <w:pPr>
        <w:spacing w:line="240" w:lineRule="auto"/>
        <w:jc w:val="center"/>
        <w:rPr>
          <w:b/>
          <w:color w:val="984806" w:themeColor="accent6" w:themeShade="80"/>
          <w:sz w:val="32"/>
          <w:szCs w:val="32"/>
        </w:rPr>
      </w:pPr>
      <w:r>
        <w:rPr>
          <w:b/>
          <w:color w:val="984806" w:themeColor="accent6" w:themeShade="80"/>
          <w:sz w:val="40"/>
          <w:szCs w:val="40"/>
        </w:rPr>
        <w:t>Date of Submission: 20</w:t>
      </w:r>
      <w:r w:rsidR="00274714" w:rsidRPr="004D6BD4">
        <w:rPr>
          <w:b/>
          <w:color w:val="984806" w:themeColor="accent6" w:themeShade="80"/>
          <w:sz w:val="40"/>
          <w:szCs w:val="40"/>
        </w:rPr>
        <w:t>th April, 201</w:t>
      </w:r>
      <w:r w:rsidR="00274714">
        <w:rPr>
          <w:b/>
          <w:color w:val="984806" w:themeColor="accent6" w:themeShade="80"/>
          <w:sz w:val="40"/>
          <w:szCs w:val="40"/>
        </w:rPr>
        <w:t>9</w:t>
      </w:r>
    </w:p>
    <w:p w:rsidR="004838D2" w:rsidRDefault="004838D2" w:rsidP="00C23858">
      <w:pPr>
        <w:spacing w:line="240" w:lineRule="auto"/>
        <w:jc w:val="center"/>
        <w:rPr>
          <w:rFonts w:ascii="Times New Roman" w:hAnsi="Times New Roman" w:cs="Times New Roman"/>
          <w:b/>
          <w:bCs/>
          <w:sz w:val="36"/>
          <w:szCs w:val="36"/>
        </w:rPr>
        <w:sectPr w:rsidR="004838D2" w:rsidSect="004838D2">
          <w:headerReference w:type="default" r:id="rId10"/>
          <w:footerReference w:type="default" r:id="rId11"/>
          <w:pgSz w:w="11907" w:h="16839" w:code="9"/>
          <w:pgMar w:top="1440" w:right="1440" w:bottom="1440" w:left="1440" w:header="0" w:footer="0" w:gutter="0"/>
          <w:pgNumType w:fmt="lowerRoman" w:start="1"/>
          <w:cols w:space="720"/>
          <w:titlePg/>
          <w:docGrid w:linePitch="360"/>
        </w:sectPr>
      </w:pPr>
    </w:p>
    <w:p w:rsidR="00531CFD" w:rsidRPr="00B3369E" w:rsidRDefault="00C23858" w:rsidP="00C23858">
      <w:pPr>
        <w:spacing w:line="240" w:lineRule="auto"/>
        <w:jc w:val="center"/>
        <w:rPr>
          <w:rFonts w:ascii="Times New Roman" w:hAnsi="Times New Roman" w:cs="Times New Roman"/>
          <w:b/>
          <w:bCs/>
          <w:sz w:val="36"/>
          <w:szCs w:val="36"/>
        </w:rPr>
      </w:pPr>
      <w:r w:rsidRPr="00B3369E">
        <w:rPr>
          <w:rFonts w:ascii="Times New Roman" w:hAnsi="Times New Roman" w:cs="Times New Roman"/>
          <w:b/>
          <w:bCs/>
          <w:sz w:val="36"/>
          <w:szCs w:val="36"/>
        </w:rPr>
        <w:lastRenderedPageBreak/>
        <w:t>Letter of Transmittal</w:t>
      </w:r>
    </w:p>
    <w:p w:rsidR="00C23858" w:rsidRPr="00B3369E" w:rsidRDefault="00C23858" w:rsidP="00C23858">
      <w:pPr>
        <w:spacing w:line="240" w:lineRule="auto"/>
        <w:jc w:val="center"/>
        <w:rPr>
          <w:rFonts w:ascii="Times New Roman" w:hAnsi="Times New Roman" w:cs="Times New Roman"/>
          <w:b/>
          <w:bCs/>
          <w:sz w:val="24"/>
          <w:szCs w:val="24"/>
        </w:rPr>
      </w:pPr>
    </w:p>
    <w:p w:rsidR="00D01BB5" w:rsidRPr="00B3369E" w:rsidRDefault="00A76DEB" w:rsidP="00EC10F2">
      <w:pPr>
        <w:spacing w:after="0" w:line="240" w:lineRule="auto"/>
        <w:jc w:val="both"/>
        <w:rPr>
          <w:rFonts w:ascii="Times New Roman" w:hAnsi="Times New Roman" w:cs="Times New Roman"/>
          <w:color w:val="212121"/>
          <w:sz w:val="24"/>
          <w:szCs w:val="24"/>
          <w:shd w:val="clear" w:color="auto" w:fill="FFFFFF"/>
        </w:rPr>
      </w:pPr>
      <w:r w:rsidRPr="00B3369E">
        <w:rPr>
          <w:rFonts w:ascii="Times New Roman" w:hAnsi="Times New Roman" w:cs="Times New Roman"/>
          <w:color w:val="212121"/>
          <w:sz w:val="24"/>
          <w:szCs w:val="24"/>
          <w:shd w:val="clear" w:color="auto" w:fill="FFFFFF"/>
        </w:rPr>
        <w:t>20</w:t>
      </w:r>
      <w:r w:rsidR="00D01BB5" w:rsidRPr="00B3369E">
        <w:rPr>
          <w:rFonts w:ascii="Times New Roman" w:hAnsi="Times New Roman" w:cs="Times New Roman"/>
          <w:color w:val="212121"/>
          <w:sz w:val="24"/>
          <w:szCs w:val="24"/>
          <w:shd w:val="clear" w:color="auto" w:fill="FFFFFF"/>
        </w:rPr>
        <w:t>-04-2019</w:t>
      </w:r>
    </w:p>
    <w:p w:rsidR="00EC10F2" w:rsidRPr="00B3369E" w:rsidRDefault="00C23858" w:rsidP="00EC10F2">
      <w:pPr>
        <w:spacing w:after="0" w:line="240" w:lineRule="auto"/>
        <w:jc w:val="both"/>
        <w:rPr>
          <w:rFonts w:ascii="Times New Roman" w:hAnsi="Times New Roman" w:cs="Times New Roman"/>
          <w:color w:val="212121"/>
          <w:sz w:val="24"/>
          <w:szCs w:val="24"/>
          <w:shd w:val="clear" w:color="auto" w:fill="FFFFFF"/>
        </w:rPr>
      </w:pPr>
      <w:r w:rsidRPr="00B3369E">
        <w:rPr>
          <w:rFonts w:ascii="Times New Roman" w:hAnsi="Times New Roman" w:cs="Times New Roman"/>
          <w:color w:val="212121"/>
          <w:sz w:val="24"/>
          <w:szCs w:val="24"/>
          <w:shd w:val="clear" w:color="auto" w:fill="FFFFFF"/>
        </w:rPr>
        <w:t>Nusrat Farzana (NFa)</w:t>
      </w:r>
    </w:p>
    <w:p w:rsidR="00C23858" w:rsidRPr="00B3369E" w:rsidRDefault="00C23858" w:rsidP="00EC10F2">
      <w:pPr>
        <w:spacing w:after="0" w:line="240" w:lineRule="auto"/>
        <w:jc w:val="both"/>
        <w:rPr>
          <w:rFonts w:ascii="Times New Roman" w:hAnsi="Times New Roman" w:cs="Times New Roman"/>
          <w:color w:val="212121"/>
          <w:sz w:val="24"/>
          <w:szCs w:val="24"/>
          <w:shd w:val="clear" w:color="auto" w:fill="FFFFFF"/>
        </w:rPr>
      </w:pPr>
      <w:r w:rsidRPr="00B3369E">
        <w:rPr>
          <w:rFonts w:ascii="Times New Roman" w:hAnsi="Times New Roman" w:cs="Times New Roman"/>
          <w:color w:val="212121"/>
          <w:sz w:val="24"/>
          <w:szCs w:val="24"/>
          <w:shd w:val="clear" w:color="auto" w:fill="FFFFFF"/>
        </w:rPr>
        <w:t>Assistant Professor</w:t>
      </w:r>
    </w:p>
    <w:p w:rsidR="00C23858" w:rsidRPr="00B3369E" w:rsidRDefault="00C23858" w:rsidP="00EC10F2">
      <w:pPr>
        <w:spacing w:after="0" w:line="240" w:lineRule="auto"/>
        <w:jc w:val="both"/>
        <w:rPr>
          <w:rFonts w:ascii="Times New Roman" w:hAnsi="Times New Roman" w:cs="Times New Roman"/>
          <w:color w:val="212121"/>
          <w:sz w:val="24"/>
          <w:szCs w:val="24"/>
          <w:shd w:val="clear" w:color="auto" w:fill="FFFFFF"/>
        </w:rPr>
      </w:pPr>
      <w:r w:rsidRPr="00B3369E">
        <w:rPr>
          <w:rFonts w:ascii="Times New Roman" w:hAnsi="Times New Roman" w:cs="Times New Roman"/>
          <w:color w:val="212121"/>
          <w:sz w:val="24"/>
          <w:szCs w:val="24"/>
          <w:shd w:val="clear" w:color="auto" w:fill="FFFFFF"/>
        </w:rPr>
        <w:t>Faculty of Business Administration</w:t>
      </w:r>
    </w:p>
    <w:p w:rsidR="00C23858" w:rsidRPr="00B3369E" w:rsidRDefault="00C23858" w:rsidP="00EC10F2">
      <w:pPr>
        <w:spacing w:after="0" w:line="240" w:lineRule="auto"/>
        <w:jc w:val="both"/>
        <w:rPr>
          <w:rFonts w:ascii="Times New Roman" w:hAnsi="Times New Roman" w:cs="Times New Roman"/>
          <w:color w:val="212121"/>
          <w:sz w:val="24"/>
          <w:szCs w:val="24"/>
          <w:shd w:val="clear" w:color="auto" w:fill="FFFFFF"/>
        </w:rPr>
      </w:pPr>
      <w:r w:rsidRPr="00B3369E">
        <w:rPr>
          <w:rFonts w:ascii="Times New Roman" w:hAnsi="Times New Roman" w:cs="Times New Roman"/>
          <w:color w:val="212121"/>
          <w:sz w:val="24"/>
          <w:szCs w:val="24"/>
          <w:shd w:val="clear" w:color="auto" w:fill="FFFFFF"/>
        </w:rPr>
        <w:t>United International University.</w:t>
      </w:r>
    </w:p>
    <w:p w:rsidR="00EC10F2" w:rsidRPr="00B3369E" w:rsidRDefault="00EC10F2" w:rsidP="00EC10F2">
      <w:pPr>
        <w:pStyle w:val="Footer"/>
        <w:spacing w:after="100" w:afterAutospacing="1"/>
        <w:jc w:val="both"/>
        <w:rPr>
          <w:rFonts w:ascii="Times New Roman" w:hAnsi="Times New Roman" w:cs="Times New Roman"/>
          <w:b/>
          <w:bCs/>
          <w:color w:val="212121"/>
          <w:sz w:val="24"/>
          <w:szCs w:val="24"/>
          <w:shd w:val="clear" w:color="auto" w:fill="FFFFFF"/>
        </w:rPr>
      </w:pPr>
    </w:p>
    <w:p w:rsidR="00EC10F2" w:rsidRPr="009927E4" w:rsidRDefault="00EC10F2" w:rsidP="00EC10F2">
      <w:pPr>
        <w:pStyle w:val="Footer"/>
        <w:spacing w:after="100" w:afterAutospacing="1"/>
        <w:jc w:val="both"/>
        <w:rPr>
          <w:rFonts w:ascii="Times New Roman" w:hAnsi="Times New Roman" w:cs="Times New Roman"/>
          <w:b/>
          <w:bCs/>
          <w:color w:val="212121"/>
          <w:sz w:val="24"/>
          <w:szCs w:val="24"/>
          <w:shd w:val="clear" w:color="auto" w:fill="FFFFFF"/>
        </w:rPr>
      </w:pPr>
    </w:p>
    <w:p w:rsidR="00EC10F2" w:rsidRPr="00B27DAA" w:rsidRDefault="00C23858" w:rsidP="00B27DAA">
      <w:pPr>
        <w:pStyle w:val="Footer"/>
        <w:jc w:val="both"/>
        <w:rPr>
          <w:rFonts w:ascii="Times New Roman" w:hAnsi="Times New Roman" w:cs="Times New Roman"/>
          <w:sz w:val="24"/>
          <w:szCs w:val="24"/>
        </w:rPr>
      </w:pPr>
      <w:r w:rsidRPr="00B27DAA">
        <w:rPr>
          <w:rFonts w:ascii="Times New Roman" w:hAnsi="Times New Roman" w:cs="Times New Roman"/>
          <w:b/>
          <w:bCs/>
          <w:sz w:val="24"/>
          <w:szCs w:val="24"/>
          <w:shd w:val="clear" w:color="auto" w:fill="FFFFFF"/>
        </w:rPr>
        <w:t>Subject:</w:t>
      </w:r>
      <w:r w:rsidR="00F13E76" w:rsidRPr="00B27DAA">
        <w:rPr>
          <w:rFonts w:ascii="Times New Roman" w:hAnsi="Times New Roman" w:cs="Times New Roman"/>
          <w:b/>
          <w:bCs/>
          <w:sz w:val="24"/>
          <w:szCs w:val="24"/>
          <w:shd w:val="clear" w:color="auto" w:fill="FFFFFF"/>
        </w:rPr>
        <w:t xml:space="preserve"> </w:t>
      </w:r>
      <w:r w:rsidR="00F13E76" w:rsidRPr="00BB428F">
        <w:rPr>
          <w:rFonts w:ascii="Times New Roman" w:hAnsi="Times New Roman" w:cs="Times New Roman"/>
          <w:bCs/>
          <w:sz w:val="24"/>
          <w:szCs w:val="24"/>
          <w:shd w:val="clear" w:color="auto" w:fill="FFFFFF"/>
        </w:rPr>
        <w:t xml:space="preserve">Submission of Internship report on </w:t>
      </w:r>
      <w:r w:rsidR="00F13E76" w:rsidRPr="00BB428F">
        <w:rPr>
          <w:rFonts w:ascii="Times New Roman" w:hAnsi="Times New Roman" w:cs="Times New Roman"/>
          <w:b/>
          <w:bCs/>
          <w:sz w:val="24"/>
          <w:szCs w:val="24"/>
          <w:shd w:val="clear" w:color="auto" w:fill="FFFFFF"/>
        </w:rPr>
        <w:t>“</w:t>
      </w:r>
      <w:r w:rsidR="00B27DAA" w:rsidRPr="00BB428F">
        <w:rPr>
          <w:rFonts w:ascii="Times New Roman" w:hAnsi="Times New Roman" w:cs="Times New Roman"/>
          <w:b/>
          <w:bCs/>
          <w:sz w:val="24"/>
          <w:szCs w:val="24"/>
        </w:rPr>
        <w:t>Implementation of Basel III Accords in Dutch-Bangla Bank Limited: Risk Based Capital Adequacy Ratios Requirement of Bangladesh Bank</w:t>
      </w:r>
      <w:r w:rsidR="00F13E76" w:rsidRPr="00BB428F">
        <w:rPr>
          <w:rFonts w:ascii="Times New Roman" w:hAnsi="Times New Roman" w:cs="Times New Roman"/>
          <w:b/>
          <w:bCs/>
          <w:sz w:val="24"/>
          <w:szCs w:val="24"/>
          <w:shd w:val="clear" w:color="auto" w:fill="FFFFFF"/>
        </w:rPr>
        <w:t>”</w:t>
      </w:r>
      <w:r w:rsidR="00F13E76" w:rsidRPr="00BB428F">
        <w:rPr>
          <w:rFonts w:ascii="Times New Roman" w:hAnsi="Times New Roman" w:cs="Times New Roman"/>
          <w:bCs/>
          <w:sz w:val="24"/>
          <w:szCs w:val="24"/>
          <w:shd w:val="clear" w:color="auto" w:fill="FFFFFF"/>
        </w:rPr>
        <w:t>.</w:t>
      </w:r>
    </w:p>
    <w:p w:rsidR="00F13E76" w:rsidRDefault="00F13E76" w:rsidP="00EC10F2">
      <w:pPr>
        <w:pStyle w:val="Footer"/>
        <w:spacing w:after="100" w:afterAutospacing="1"/>
        <w:jc w:val="both"/>
        <w:rPr>
          <w:rFonts w:ascii="Times New Roman" w:hAnsi="Times New Roman" w:cs="Times New Roman"/>
          <w:sz w:val="24"/>
          <w:szCs w:val="24"/>
        </w:rPr>
      </w:pPr>
    </w:p>
    <w:p w:rsidR="00F13E76" w:rsidRDefault="00F13E76" w:rsidP="00EC10F2">
      <w:pPr>
        <w:pStyle w:val="Footer"/>
        <w:spacing w:after="100" w:afterAutospacing="1"/>
        <w:jc w:val="both"/>
        <w:rPr>
          <w:rFonts w:ascii="Times New Roman" w:hAnsi="Times New Roman" w:cs="Times New Roman"/>
          <w:sz w:val="24"/>
          <w:szCs w:val="24"/>
        </w:rPr>
      </w:pPr>
    </w:p>
    <w:p w:rsidR="00EC10F2" w:rsidRPr="00B3369E" w:rsidRDefault="00EC10F2" w:rsidP="00EC10F2">
      <w:pPr>
        <w:pStyle w:val="Footer"/>
        <w:spacing w:after="100" w:afterAutospacing="1"/>
        <w:jc w:val="both"/>
        <w:rPr>
          <w:rFonts w:ascii="Times New Roman" w:hAnsi="Times New Roman" w:cs="Times New Roman"/>
          <w:sz w:val="24"/>
          <w:szCs w:val="24"/>
        </w:rPr>
      </w:pPr>
      <w:r w:rsidRPr="00B3369E">
        <w:rPr>
          <w:rFonts w:ascii="Times New Roman" w:hAnsi="Times New Roman" w:cs="Times New Roman"/>
          <w:sz w:val="24"/>
          <w:szCs w:val="24"/>
        </w:rPr>
        <w:t>Dear Mam,</w:t>
      </w:r>
    </w:p>
    <w:p w:rsidR="00EC10F2" w:rsidRPr="00B3369E" w:rsidRDefault="00EC10F2" w:rsidP="00EC10F2">
      <w:pPr>
        <w:pStyle w:val="Footer"/>
        <w:spacing w:after="100" w:afterAutospacing="1"/>
        <w:jc w:val="both"/>
        <w:rPr>
          <w:rFonts w:ascii="Times New Roman" w:hAnsi="Times New Roman" w:cs="Times New Roman"/>
          <w:sz w:val="24"/>
          <w:szCs w:val="24"/>
        </w:rPr>
      </w:pPr>
    </w:p>
    <w:p w:rsidR="00EC10F2" w:rsidRPr="00B3369E" w:rsidRDefault="00284296" w:rsidP="00C623BE">
      <w:pPr>
        <w:pStyle w:val="HTMLPreformatted"/>
        <w:shd w:val="clear" w:color="auto" w:fill="FFFFFF"/>
        <w:spacing w:line="276" w:lineRule="auto"/>
        <w:jc w:val="both"/>
        <w:rPr>
          <w:rFonts w:ascii="Times New Roman" w:hAnsi="Times New Roman" w:cs="Times New Roman"/>
          <w:sz w:val="24"/>
          <w:szCs w:val="24"/>
        </w:rPr>
      </w:pPr>
      <w:r w:rsidRPr="00075FF1">
        <w:rPr>
          <w:rFonts w:ascii="Times New Roman" w:hAnsi="Times New Roman" w:cs="Times New Roman"/>
          <w:sz w:val="24"/>
          <w:szCs w:val="24"/>
        </w:rPr>
        <w:t>I'm glad to submit the internship report on “</w:t>
      </w:r>
      <w:r w:rsidR="00075FF1" w:rsidRPr="00075FF1">
        <w:rPr>
          <w:rFonts w:ascii="Times New Roman" w:hAnsi="Times New Roman" w:cs="Times New Roman"/>
          <w:bCs/>
          <w:sz w:val="24"/>
          <w:szCs w:val="24"/>
        </w:rPr>
        <w:t>Implementation of Basel III Accords in Dutch-Bangla Bank Limited: Risk Based Capital Adequacy Ratios Requirement of Bangladesh Bank</w:t>
      </w:r>
      <w:r w:rsidR="00075FF1" w:rsidRPr="00075FF1">
        <w:rPr>
          <w:rFonts w:ascii="Times New Roman" w:hAnsi="Times New Roman" w:cs="Times New Roman"/>
          <w:bCs/>
          <w:sz w:val="24"/>
          <w:szCs w:val="24"/>
          <w:shd w:val="clear" w:color="auto" w:fill="FFFFFF"/>
        </w:rPr>
        <w:t>”</w:t>
      </w:r>
      <w:r w:rsidR="002F4C2E" w:rsidRPr="00075FF1">
        <w:rPr>
          <w:rFonts w:ascii="Times New Roman" w:hAnsi="Times New Roman" w:cs="Times New Roman"/>
          <w:sz w:val="24"/>
          <w:szCs w:val="24"/>
        </w:rPr>
        <w:t xml:space="preserve"> of Motijheel Foreign Exchange Branch a partial requirement of the course INT</w:t>
      </w:r>
      <w:r w:rsidRPr="00075FF1">
        <w:rPr>
          <w:rFonts w:ascii="Times New Roman" w:hAnsi="Times New Roman" w:cs="Times New Roman"/>
          <w:sz w:val="24"/>
          <w:szCs w:val="24"/>
        </w:rPr>
        <w:t xml:space="preserve"> 4399</w:t>
      </w:r>
      <w:r w:rsidR="002F4C2E" w:rsidRPr="00075FF1">
        <w:rPr>
          <w:rFonts w:ascii="Times New Roman" w:hAnsi="Times New Roman" w:cs="Times New Roman"/>
          <w:sz w:val="24"/>
          <w:szCs w:val="24"/>
        </w:rPr>
        <w:t>.</w:t>
      </w:r>
    </w:p>
    <w:p w:rsidR="00AE11D2" w:rsidRPr="00B3369E" w:rsidRDefault="00AE11D2" w:rsidP="00C623BE">
      <w:pPr>
        <w:pStyle w:val="HTMLPreformatted"/>
        <w:shd w:val="clear" w:color="auto" w:fill="FFFFFF"/>
        <w:spacing w:line="276" w:lineRule="auto"/>
        <w:jc w:val="both"/>
        <w:rPr>
          <w:rFonts w:ascii="Times New Roman" w:hAnsi="Times New Roman" w:cs="Times New Roman"/>
          <w:sz w:val="24"/>
          <w:szCs w:val="24"/>
        </w:rPr>
      </w:pPr>
    </w:p>
    <w:p w:rsidR="008B754F" w:rsidRPr="00B3369E" w:rsidRDefault="00AE11D2" w:rsidP="00C623B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 xml:space="preserve">In this report, I have tried to focus on Basel III Accords of Dutch-Bangla Bank Limited and some important aspects of their activities and responsibilities. </w:t>
      </w:r>
      <w:r w:rsidR="00C623BE" w:rsidRPr="00B3369E">
        <w:rPr>
          <w:rFonts w:ascii="Times New Roman" w:hAnsi="Times New Roman" w:cs="Times New Roman"/>
          <w:sz w:val="24"/>
          <w:szCs w:val="24"/>
        </w:rPr>
        <w:t>Although to make this report, I tried my level best to follow your instructions and instructions by the supervisor of my organization.</w:t>
      </w:r>
    </w:p>
    <w:p w:rsidR="00C623BE" w:rsidRPr="00B3369E" w:rsidRDefault="00C623BE" w:rsidP="00C623BE">
      <w:pPr>
        <w:pStyle w:val="HTMLPreformatted"/>
        <w:spacing w:line="276" w:lineRule="auto"/>
        <w:jc w:val="both"/>
        <w:rPr>
          <w:rFonts w:ascii="Times New Roman" w:hAnsi="Times New Roman" w:cs="Times New Roman"/>
          <w:sz w:val="24"/>
          <w:szCs w:val="24"/>
        </w:rPr>
      </w:pPr>
    </w:p>
    <w:p w:rsidR="00C623BE" w:rsidRPr="00B3369E" w:rsidRDefault="00C623BE" w:rsidP="00C623BE">
      <w:pPr>
        <w:pStyle w:val="HTMLPreformatted"/>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Despite the various insufficiencies, I tried to cover all the relevant information that you gave me. It is significant that it would not have been possible since I used to prove this paper without your guidance and cooperation. If you have any questions about this report, I would appreciate you and appreciate you.</w:t>
      </w:r>
    </w:p>
    <w:p w:rsidR="00C623BE" w:rsidRPr="00B3369E" w:rsidRDefault="00C623BE" w:rsidP="008B754F">
      <w:pPr>
        <w:pStyle w:val="HTMLPreformatted"/>
        <w:spacing w:line="276" w:lineRule="auto"/>
        <w:jc w:val="both"/>
        <w:rPr>
          <w:rFonts w:ascii="Times New Roman" w:hAnsi="Times New Roman" w:cs="Times New Roman"/>
          <w:color w:val="212121"/>
          <w:sz w:val="24"/>
          <w:szCs w:val="24"/>
        </w:rPr>
      </w:pPr>
    </w:p>
    <w:p w:rsidR="00C623BE" w:rsidRPr="00B3369E" w:rsidRDefault="00C623BE" w:rsidP="008B754F">
      <w:pPr>
        <w:pStyle w:val="HTMLPreformatted"/>
        <w:spacing w:line="276" w:lineRule="auto"/>
        <w:jc w:val="both"/>
        <w:rPr>
          <w:rFonts w:ascii="Times New Roman" w:hAnsi="Times New Roman" w:cs="Times New Roman"/>
          <w:color w:val="212121"/>
          <w:sz w:val="24"/>
          <w:szCs w:val="24"/>
        </w:rPr>
      </w:pPr>
    </w:p>
    <w:p w:rsidR="008B754F" w:rsidRPr="00B3369E" w:rsidRDefault="008B754F" w:rsidP="008B754F">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Sincerely yours,</w:t>
      </w:r>
    </w:p>
    <w:p w:rsidR="008B754F" w:rsidRPr="00B3369E" w:rsidRDefault="008B754F" w:rsidP="008B754F">
      <w:pPr>
        <w:pStyle w:val="HTMLPreformatted"/>
        <w:spacing w:line="276" w:lineRule="auto"/>
        <w:jc w:val="both"/>
        <w:rPr>
          <w:rFonts w:ascii="Times New Roman" w:hAnsi="Times New Roman" w:cs="Times New Roman"/>
          <w:color w:val="212121"/>
          <w:sz w:val="24"/>
          <w:szCs w:val="24"/>
        </w:rPr>
      </w:pPr>
    </w:p>
    <w:p w:rsidR="008B754F" w:rsidRPr="00B3369E" w:rsidRDefault="008B754F" w:rsidP="008B754F">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w:t>
      </w:r>
    </w:p>
    <w:p w:rsidR="008B754F" w:rsidRPr="00B3369E" w:rsidRDefault="008B754F" w:rsidP="008B754F">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Hossain Md. Rezoan Kabir</w:t>
      </w:r>
    </w:p>
    <w:p w:rsidR="00C623BE" w:rsidRPr="00B3369E" w:rsidRDefault="00C623BE" w:rsidP="008B754F">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ID- 111 132 191</w:t>
      </w:r>
    </w:p>
    <w:p w:rsidR="008B754F" w:rsidRPr="00B3369E" w:rsidRDefault="008B754F" w:rsidP="008B754F">
      <w:pPr>
        <w:pStyle w:val="HTMLPreformatted"/>
        <w:shd w:val="clear" w:color="auto" w:fill="FFFFFF"/>
        <w:spacing w:line="276" w:lineRule="auto"/>
        <w:jc w:val="both"/>
        <w:rPr>
          <w:rFonts w:ascii="Times New Roman" w:hAnsi="Times New Roman" w:cs="Times New Roman"/>
          <w:color w:val="212121"/>
          <w:sz w:val="24"/>
          <w:szCs w:val="24"/>
        </w:rPr>
      </w:pPr>
    </w:p>
    <w:p w:rsidR="00AE11D2" w:rsidRPr="00B3369E" w:rsidRDefault="00AE11D2" w:rsidP="002F4C2E">
      <w:pPr>
        <w:pStyle w:val="HTMLPreformatted"/>
        <w:shd w:val="clear" w:color="auto" w:fill="FFFFFF"/>
        <w:jc w:val="both"/>
        <w:rPr>
          <w:rFonts w:ascii="Times New Roman" w:hAnsi="Times New Roman" w:cs="Times New Roman"/>
          <w:color w:val="212121"/>
          <w:sz w:val="24"/>
          <w:szCs w:val="24"/>
        </w:rPr>
      </w:pPr>
    </w:p>
    <w:p w:rsidR="00EC10F2" w:rsidRPr="00B3369E" w:rsidRDefault="00EC10F2" w:rsidP="00EC10F2">
      <w:pPr>
        <w:pStyle w:val="Footer"/>
        <w:spacing w:after="100" w:afterAutospacing="1"/>
        <w:jc w:val="both"/>
        <w:rPr>
          <w:rFonts w:ascii="Times New Roman" w:hAnsi="Times New Roman" w:cs="Times New Roman"/>
          <w:b/>
          <w:bCs/>
          <w:sz w:val="24"/>
          <w:szCs w:val="24"/>
        </w:rPr>
      </w:pPr>
    </w:p>
    <w:p w:rsidR="00C23858" w:rsidRPr="00B3369E" w:rsidRDefault="00ED7156" w:rsidP="00ED7156">
      <w:pPr>
        <w:spacing w:after="100" w:afterAutospacing="1" w:line="240" w:lineRule="auto"/>
        <w:jc w:val="center"/>
        <w:rPr>
          <w:rFonts w:ascii="Times New Roman" w:hAnsi="Times New Roman" w:cs="Times New Roman"/>
          <w:b/>
          <w:bCs/>
          <w:sz w:val="36"/>
          <w:szCs w:val="36"/>
        </w:rPr>
      </w:pPr>
      <w:r w:rsidRPr="00B3369E">
        <w:rPr>
          <w:rFonts w:ascii="Times New Roman" w:hAnsi="Times New Roman" w:cs="Times New Roman"/>
          <w:b/>
          <w:bCs/>
          <w:sz w:val="36"/>
          <w:szCs w:val="36"/>
        </w:rPr>
        <w:t>Acknowledgement</w:t>
      </w:r>
    </w:p>
    <w:p w:rsidR="00ED7156" w:rsidRPr="00B3369E" w:rsidRDefault="00462DB4" w:rsidP="00FA1F5C">
      <w:pPr>
        <w:spacing w:after="100" w:afterAutospacing="1"/>
        <w:jc w:val="both"/>
        <w:rPr>
          <w:rFonts w:ascii="Times New Roman" w:hAnsi="Times New Roman" w:cs="Times New Roman"/>
          <w:color w:val="212121"/>
          <w:sz w:val="24"/>
          <w:szCs w:val="24"/>
          <w:shd w:val="clear" w:color="auto" w:fill="FFFFFF"/>
        </w:rPr>
      </w:pPr>
      <w:r w:rsidRPr="00B3369E">
        <w:rPr>
          <w:rFonts w:ascii="Times New Roman" w:hAnsi="Times New Roman" w:cs="Times New Roman"/>
        </w:rPr>
        <w:br/>
      </w:r>
      <w:r w:rsidRPr="00B3369E">
        <w:rPr>
          <w:rFonts w:ascii="Times New Roman" w:hAnsi="Times New Roman" w:cs="Times New Roman"/>
          <w:color w:val="212121"/>
          <w:sz w:val="24"/>
          <w:szCs w:val="24"/>
          <w:shd w:val="clear" w:color="auto" w:fill="FFFFFF"/>
        </w:rPr>
        <w:t>I have made a lot of gratitude for preparing this report in the last three months. First and foremost, I want to express my gratitude to Almighty Allah for giving me the strength to work hard. I am grateful to my parents, who gave me basic necessities since my childhood.</w:t>
      </w:r>
    </w:p>
    <w:p w:rsidR="00192011" w:rsidRPr="00B3369E" w:rsidRDefault="00192011" w:rsidP="00FA1F5C">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This report titled </w:t>
      </w:r>
      <w:r w:rsidRPr="00B3369E">
        <w:rPr>
          <w:rFonts w:ascii="Times New Roman" w:hAnsi="Times New Roman" w:cs="Times New Roman"/>
          <w:b/>
          <w:bCs/>
          <w:color w:val="212121"/>
          <w:sz w:val="24"/>
          <w:szCs w:val="24"/>
        </w:rPr>
        <w:t>“Implementation of Basel III Accords of Dutch-Bangla Bank Limited: Control and Supervision of Bangladesh Bank”</w:t>
      </w:r>
      <w:r w:rsidRPr="00B3369E">
        <w:rPr>
          <w:rFonts w:ascii="Times New Roman" w:hAnsi="Times New Roman" w:cs="Times New Roman"/>
          <w:color w:val="212121"/>
          <w:sz w:val="24"/>
          <w:szCs w:val="24"/>
        </w:rPr>
        <w:t xml:space="preserve"> BBA Degree has been prepared to meet the requirements. I am very fortunate that while preparing this report, I have received sincere instructions, supervision and cooperation from different people.</w:t>
      </w:r>
    </w:p>
    <w:p w:rsidR="0036516F" w:rsidRPr="00B3369E" w:rsidRDefault="0036516F" w:rsidP="00FA1F5C">
      <w:pPr>
        <w:pStyle w:val="HTMLPreformatted"/>
        <w:shd w:val="clear" w:color="auto" w:fill="FFFFFF"/>
        <w:spacing w:line="276" w:lineRule="auto"/>
        <w:jc w:val="both"/>
        <w:rPr>
          <w:rFonts w:ascii="Times New Roman" w:hAnsi="Times New Roman" w:cs="Times New Roman"/>
          <w:color w:val="212121"/>
          <w:sz w:val="24"/>
          <w:szCs w:val="24"/>
        </w:rPr>
      </w:pPr>
    </w:p>
    <w:p w:rsidR="00FA1F5C" w:rsidRPr="00B3369E" w:rsidRDefault="00FA1F5C" w:rsidP="00FA1F5C">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Many people are responsible for making this report. After all, I would like giving for thanks my supervisor Nusrat Farzana (NFA), Assistant Professor and Business Administration United International University (UIU) for supervise my report. She provided some important suggestions and guidelines for preparing a new concept based report. Without her help this report could not be a comprehensive one.</w:t>
      </w:r>
    </w:p>
    <w:p w:rsidR="00FA1F5C" w:rsidRPr="00B3369E" w:rsidRDefault="00FA1F5C" w:rsidP="00FA1F5C">
      <w:pPr>
        <w:pStyle w:val="HTMLPreformatted"/>
        <w:shd w:val="clear" w:color="auto" w:fill="FFFFFF"/>
        <w:spacing w:line="276" w:lineRule="auto"/>
        <w:jc w:val="both"/>
        <w:rPr>
          <w:rFonts w:ascii="Times New Roman" w:hAnsi="Times New Roman" w:cs="Times New Roman"/>
          <w:color w:val="212121"/>
          <w:sz w:val="24"/>
          <w:szCs w:val="24"/>
        </w:rPr>
      </w:pPr>
    </w:p>
    <w:p w:rsidR="00FA1F5C" w:rsidRPr="00B3369E" w:rsidRDefault="007D3986" w:rsidP="00FA1F5C">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Secondly, </w:t>
      </w:r>
      <w:r w:rsidR="00FA1F5C" w:rsidRPr="00B3369E">
        <w:rPr>
          <w:rFonts w:ascii="Times New Roman" w:hAnsi="Times New Roman" w:cs="Times New Roman"/>
          <w:color w:val="212121"/>
          <w:sz w:val="24"/>
          <w:szCs w:val="24"/>
        </w:rPr>
        <w:t xml:space="preserve">I am most grateful to thank all the </w:t>
      </w:r>
      <w:r w:rsidRPr="00B3369E">
        <w:rPr>
          <w:rFonts w:ascii="Times New Roman" w:hAnsi="Times New Roman" w:cs="Times New Roman"/>
          <w:color w:val="212121"/>
          <w:sz w:val="24"/>
          <w:szCs w:val="24"/>
        </w:rPr>
        <w:t>employees “Dutch -</w:t>
      </w:r>
      <w:proofErr w:type="spellStart"/>
      <w:r w:rsidRPr="00B3369E">
        <w:rPr>
          <w:rFonts w:ascii="Times New Roman" w:hAnsi="Times New Roman" w:cs="Times New Roman"/>
          <w:color w:val="212121"/>
          <w:sz w:val="24"/>
          <w:szCs w:val="24"/>
        </w:rPr>
        <w:t>Bangla</w:t>
      </w:r>
      <w:proofErr w:type="spellEnd"/>
      <w:r w:rsidRPr="00B3369E">
        <w:rPr>
          <w:rFonts w:ascii="Times New Roman" w:hAnsi="Times New Roman" w:cs="Times New Roman"/>
          <w:color w:val="212121"/>
          <w:sz w:val="24"/>
          <w:szCs w:val="24"/>
        </w:rPr>
        <w:t xml:space="preserve"> Bank Limited- </w:t>
      </w:r>
      <w:proofErr w:type="spellStart"/>
      <w:r w:rsidRPr="00B3369E">
        <w:rPr>
          <w:rFonts w:ascii="Times New Roman" w:hAnsi="Times New Roman" w:cs="Times New Roman"/>
          <w:color w:val="212121"/>
          <w:sz w:val="24"/>
          <w:szCs w:val="24"/>
        </w:rPr>
        <w:t>Banani</w:t>
      </w:r>
      <w:proofErr w:type="spellEnd"/>
      <w:r w:rsidRPr="00B3369E">
        <w:rPr>
          <w:rFonts w:ascii="Times New Roman" w:hAnsi="Times New Roman" w:cs="Times New Roman"/>
          <w:color w:val="212121"/>
          <w:sz w:val="24"/>
          <w:szCs w:val="24"/>
        </w:rPr>
        <w:t xml:space="preserve"> Branch. specially </w:t>
      </w:r>
      <w:proofErr w:type="spellStart"/>
      <w:r w:rsidRPr="00B3369E">
        <w:rPr>
          <w:rFonts w:ascii="Times New Roman" w:hAnsi="Times New Roman" w:cs="Times New Roman"/>
          <w:color w:val="212121"/>
          <w:sz w:val="24"/>
          <w:szCs w:val="24"/>
        </w:rPr>
        <w:t>Nazneen</w:t>
      </w:r>
      <w:proofErr w:type="spellEnd"/>
      <w:r w:rsidRPr="00B3369E">
        <w:rPr>
          <w:rFonts w:ascii="Times New Roman" w:hAnsi="Times New Roman" w:cs="Times New Roman"/>
          <w:color w:val="212121"/>
          <w:sz w:val="24"/>
          <w:szCs w:val="24"/>
        </w:rPr>
        <w:t xml:space="preserve"> Sultana (Assistant Vice President of Motijheel Foreign Exchange Branch), </w:t>
      </w:r>
      <w:proofErr w:type="spellStart"/>
      <w:r w:rsidRPr="00B3369E">
        <w:rPr>
          <w:rFonts w:ascii="Times New Roman" w:hAnsi="Times New Roman" w:cs="Times New Roman"/>
          <w:color w:val="212121"/>
          <w:sz w:val="24"/>
          <w:szCs w:val="24"/>
        </w:rPr>
        <w:t>Junaid</w:t>
      </w:r>
      <w:proofErr w:type="spellEnd"/>
      <w:r w:rsidRPr="00B3369E">
        <w:rPr>
          <w:rFonts w:ascii="Times New Roman" w:hAnsi="Times New Roman" w:cs="Times New Roman"/>
          <w:color w:val="212121"/>
          <w:sz w:val="24"/>
          <w:szCs w:val="24"/>
        </w:rPr>
        <w:t xml:space="preserve"> </w:t>
      </w:r>
      <w:proofErr w:type="spellStart"/>
      <w:r w:rsidRPr="00B3369E">
        <w:rPr>
          <w:rFonts w:ascii="Times New Roman" w:hAnsi="Times New Roman" w:cs="Times New Roman"/>
          <w:color w:val="212121"/>
          <w:sz w:val="24"/>
          <w:szCs w:val="24"/>
        </w:rPr>
        <w:t>Hossain</w:t>
      </w:r>
      <w:proofErr w:type="spellEnd"/>
      <w:r w:rsidRPr="00B3369E">
        <w:rPr>
          <w:rFonts w:ascii="Times New Roman" w:hAnsi="Times New Roman" w:cs="Times New Roman"/>
          <w:color w:val="212121"/>
          <w:sz w:val="24"/>
          <w:szCs w:val="24"/>
        </w:rPr>
        <w:t xml:space="preserve"> (GB </w:t>
      </w:r>
      <w:proofErr w:type="spellStart"/>
      <w:r w:rsidRPr="00B3369E">
        <w:rPr>
          <w:rFonts w:ascii="Times New Roman" w:hAnsi="Times New Roman" w:cs="Times New Roman"/>
          <w:color w:val="212121"/>
          <w:sz w:val="24"/>
          <w:szCs w:val="24"/>
        </w:rPr>
        <w:t>Incharge</w:t>
      </w:r>
      <w:proofErr w:type="spellEnd"/>
      <w:r w:rsidRPr="00B3369E">
        <w:rPr>
          <w:rFonts w:ascii="Times New Roman" w:hAnsi="Times New Roman" w:cs="Times New Roman"/>
          <w:color w:val="212121"/>
          <w:sz w:val="24"/>
          <w:szCs w:val="24"/>
        </w:rPr>
        <w:t xml:space="preserve"> Motijheel Foreign Exchange Branch), Omar </w:t>
      </w:r>
      <w:proofErr w:type="spellStart"/>
      <w:r w:rsidRPr="00B3369E">
        <w:rPr>
          <w:rFonts w:ascii="Times New Roman" w:hAnsi="Times New Roman" w:cs="Times New Roman"/>
          <w:color w:val="212121"/>
          <w:sz w:val="24"/>
          <w:szCs w:val="24"/>
        </w:rPr>
        <w:t>Faruque</w:t>
      </w:r>
      <w:proofErr w:type="spellEnd"/>
      <w:r w:rsidRPr="00B3369E">
        <w:rPr>
          <w:rFonts w:ascii="Times New Roman" w:hAnsi="Times New Roman" w:cs="Times New Roman"/>
          <w:color w:val="212121"/>
          <w:sz w:val="24"/>
          <w:szCs w:val="24"/>
        </w:rPr>
        <w:t xml:space="preserve">(Executive officer </w:t>
      </w:r>
      <w:proofErr w:type="spellStart"/>
      <w:r w:rsidRPr="00B3369E">
        <w:rPr>
          <w:rFonts w:ascii="Times New Roman" w:hAnsi="Times New Roman" w:cs="Times New Roman"/>
          <w:color w:val="212121"/>
          <w:sz w:val="24"/>
          <w:szCs w:val="24"/>
        </w:rPr>
        <w:t>Motijheel</w:t>
      </w:r>
      <w:proofErr w:type="spellEnd"/>
      <w:r w:rsidRPr="00B3369E">
        <w:rPr>
          <w:rFonts w:ascii="Times New Roman" w:hAnsi="Times New Roman" w:cs="Times New Roman"/>
          <w:color w:val="212121"/>
          <w:sz w:val="24"/>
          <w:szCs w:val="24"/>
        </w:rPr>
        <w:t xml:space="preserve"> Foreign Exchange Branch ) </w:t>
      </w:r>
      <w:proofErr w:type="spellStart"/>
      <w:r w:rsidRPr="00B3369E">
        <w:rPr>
          <w:rFonts w:ascii="Times New Roman" w:hAnsi="Times New Roman" w:cs="Times New Roman"/>
          <w:color w:val="212121"/>
          <w:sz w:val="24"/>
          <w:szCs w:val="24"/>
        </w:rPr>
        <w:t>Ferdous</w:t>
      </w:r>
      <w:proofErr w:type="spellEnd"/>
      <w:r w:rsidRPr="00B3369E">
        <w:rPr>
          <w:rFonts w:ascii="Times New Roman" w:hAnsi="Times New Roman" w:cs="Times New Roman"/>
          <w:color w:val="212121"/>
          <w:sz w:val="24"/>
          <w:szCs w:val="24"/>
        </w:rPr>
        <w:t xml:space="preserve"> </w:t>
      </w:r>
      <w:proofErr w:type="spellStart"/>
      <w:r w:rsidRPr="00B3369E">
        <w:rPr>
          <w:rFonts w:ascii="Times New Roman" w:hAnsi="Times New Roman" w:cs="Times New Roman"/>
          <w:color w:val="212121"/>
          <w:sz w:val="24"/>
          <w:szCs w:val="24"/>
        </w:rPr>
        <w:t>Ahmedullah</w:t>
      </w:r>
      <w:proofErr w:type="spellEnd"/>
      <w:r w:rsidRPr="00B3369E">
        <w:rPr>
          <w:rFonts w:ascii="Times New Roman" w:hAnsi="Times New Roman" w:cs="Times New Roman"/>
          <w:color w:val="212121"/>
          <w:sz w:val="24"/>
          <w:szCs w:val="24"/>
        </w:rPr>
        <w:t xml:space="preserve"> (Senior Executive Officer Motijheel Foreign Exchange Branch) MD. </w:t>
      </w:r>
      <w:proofErr w:type="spellStart"/>
      <w:r w:rsidRPr="00B3369E">
        <w:rPr>
          <w:rFonts w:ascii="Times New Roman" w:hAnsi="Times New Roman" w:cs="Times New Roman"/>
          <w:color w:val="212121"/>
          <w:sz w:val="24"/>
          <w:szCs w:val="24"/>
        </w:rPr>
        <w:t>Rafiqul</w:t>
      </w:r>
      <w:proofErr w:type="spellEnd"/>
      <w:r w:rsidRPr="00B3369E">
        <w:rPr>
          <w:rFonts w:ascii="Times New Roman" w:hAnsi="Times New Roman" w:cs="Times New Roman"/>
          <w:color w:val="212121"/>
          <w:sz w:val="24"/>
          <w:szCs w:val="24"/>
        </w:rPr>
        <w:t xml:space="preserve"> Islam (Deputy General Manager, Bangladesh Bank), </w:t>
      </w:r>
      <w:proofErr w:type="spellStart"/>
      <w:r w:rsidRPr="00B3369E">
        <w:rPr>
          <w:rFonts w:ascii="Times New Roman" w:hAnsi="Times New Roman" w:cs="Times New Roman"/>
          <w:color w:val="212121"/>
          <w:sz w:val="24"/>
          <w:szCs w:val="24"/>
        </w:rPr>
        <w:t>Mamunur</w:t>
      </w:r>
      <w:proofErr w:type="spellEnd"/>
      <w:r w:rsidRPr="00B3369E">
        <w:rPr>
          <w:rFonts w:ascii="Times New Roman" w:hAnsi="Times New Roman" w:cs="Times New Roman"/>
          <w:color w:val="212121"/>
          <w:sz w:val="24"/>
          <w:szCs w:val="24"/>
        </w:rPr>
        <w:t xml:space="preserve"> Rashid (Officer </w:t>
      </w:r>
      <w:proofErr w:type="spellStart"/>
      <w:r w:rsidRPr="00B3369E">
        <w:rPr>
          <w:rFonts w:ascii="Times New Roman" w:hAnsi="Times New Roman" w:cs="Times New Roman"/>
          <w:color w:val="212121"/>
          <w:sz w:val="24"/>
          <w:szCs w:val="24"/>
        </w:rPr>
        <w:t>Motijheel</w:t>
      </w:r>
      <w:proofErr w:type="spellEnd"/>
      <w:r w:rsidRPr="00B3369E">
        <w:rPr>
          <w:rFonts w:ascii="Times New Roman" w:hAnsi="Times New Roman" w:cs="Times New Roman"/>
          <w:color w:val="212121"/>
          <w:sz w:val="24"/>
          <w:szCs w:val="24"/>
        </w:rPr>
        <w:t xml:space="preserve"> Foreign Exchange Branch) and </w:t>
      </w:r>
      <w:r w:rsidR="00FA1F5C" w:rsidRPr="00B3369E">
        <w:rPr>
          <w:rFonts w:ascii="Times New Roman" w:hAnsi="Times New Roman" w:cs="Times New Roman"/>
          <w:color w:val="212121"/>
          <w:sz w:val="24"/>
          <w:szCs w:val="24"/>
        </w:rPr>
        <w:t>each step was assigned to another person who helped me, and gave me a valuable time and energy to make this report. They give me some information.</w:t>
      </w:r>
    </w:p>
    <w:p w:rsidR="007D3986" w:rsidRPr="00B3369E" w:rsidRDefault="007D3986" w:rsidP="00FA1F5C">
      <w:pPr>
        <w:pStyle w:val="HTMLPreformatted"/>
        <w:shd w:val="clear" w:color="auto" w:fill="FFFFFF"/>
        <w:spacing w:line="276" w:lineRule="auto"/>
        <w:jc w:val="both"/>
        <w:rPr>
          <w:rFonts w:ascii="Times New Roman" w:hAnsi="Times New Roman" w:cs="Times New Roman"/>
          <w:color w:val="212121"/>
          <w:sz w:val="24"/>
          <w:szCs w:val="24"/>
        </w:rPr>
      </w:pPr>
    </w:p>
    <w:p w:rsidR="00192011" w:rsidRPr="00B3369E" w:rsidRDefault="00192011" w:rsidP="007D3986">
      <w:pPr>
        <w:spacing w:after="100" w:afterAutospacing="1"/>
        <w:jc w:val="both"/>
        <w:rPr>
          <w:rFonts w:ascii="Times New Roman" w:hAnsi="Times New Roman" w:cs="Times New Roman"/>
          <w:b/>
          <w:bCs/>
          <w:sz w:val="24"/>
          <w:szCs w:val="24"/>
        </w:rPr>
      </w:pPr>
    </w:p>
    <w:p w:rsidR="00D5175F" w:rsidRPr="00B3369E" w:rsidRDefault="00D5175F" w:rsidP="007D3986">
      <w:pPr>
        <w:spacing w:after="100" w:afterAutospacing="1"/>
        <w:jc w:val="both"/>
        <w:rPr>
          <w:rFonts w:ascii="Times New Roman" w:hAnsi="Times New Roman" w:cs="Times New Roman"/>
          <w:b/>
          <w:bCs/>
          <w:sz w:val="24"/>
          <w:szCs w:val="24"/>
        </w:rPr>
      </w:pPr>
    </w:p>
    <w:p w:rsidR="00D5175F" w:rsidRPr="00B3369E" w:rsidRDefault="00D5175F" w:rsidP="007D3986">
      <w:pPr>
        <w:spacing w:after="100" w:afterAutospacing="1"/>
        <w:jc w:val="both"/>
        <w:rPr>
          <w:rFonts w:ascii="Times New Roman" w:hAnsi="Times New Roman" w:cs="Times New Roman"/>
          <w:b/>
          <w:bCs/>
          <w:sz w:val="24"/>
          <w:szCs w:val="24"/>
        </w:rPr>
      </w:pPr>
    </w:p>
    <w:p w:rsidR="00D5175F" w:rsidRPr="00B3369E" w:rsidRDefault="00D5175F" w:rsidP="007D3986">
      <w:pPr>
        <w:spacing w:after="100" w:afterAutospacing="1"/>
        <w:jc w:val="both"/>
        <w:rPr>
          <w:rFonts w:ascii="Times New Roman" w:hAnsi="Times New Roman" w:cs="Times New Roman"/>
          <w:b/>
          <w:bCs/>
          <w:sz w:val="24"/>
          <w:szCs w:val="24"/>
        </w:rPr>
      </w:pPr>
    </w:p>
    <w:p w:rsidR="00D5175F" w:rsidRPr="00B3369E" w:rsidRDefault="00D5175F" w:rsidP="007D3986">
      <w:pPr>
        <w:spacing w:after="100" w:afterAutospacing="1"/>
        <w:jc w:val="both"/>
        <w:rPr>
          <w:rFonts w:ascii="Times New Roman" w:hAnsi="Times New Roman" w:cs="Times New Roman"/>
          <w:b/>
          <w:bCs/>
          <w:sz w:val="24"/>
          <w:szCs w:val="24"/>
        </w:rPr>
      </w:pPr>
    </w:p>
    <w:p w:rsidR="00D5175F" w:rsidRDefault="00D5175F" w:rsidP="007D3986">
      <w:pPr>
        <w:spacing w:after="100" w:afterAutospacing="1"/>
        <w:jc w:val="both"/>
        <w:rPr>
          <w:rFonts w:ascii="Times New Roman" w:hAnsi="Times New Roman" w:cs="Times New Roman"/>
          <w:b/>
          <w:bCs/>
          <w:sz w:val="24"/>
          <w:szCs w:val="24"/>
        </w:rPr>
      </w:pPr>
    </w:p>
    <w:p w:rsidR="005D4AF5" w:rsidRDefault="005D4AF5" w:rsidP="007D3986">
      <w:pPr>
        <w:spacing w:after="100" w:afterAutospacing="1"/>
        <w:jc w:val="both"/>
        <w:rPr>
          <w:rFonts w:ascii="Times New Roman" w:hAnsi="Times New Roman" w:cs="Times New Roman"/>
          <w:b/>
          <w:bCs/>
          <w:sz w:val="24"/>
          <w:szCs w:val="24"/>
        </w:rPr>
      </w:pPr>
    </w:p>
    <w:p w:rsidR="00F13E76" w:rsidRPr="00B3369E" w:rsidRDefault="00F13E76" w:rsidP="007D3986">
      <w:pPr>
        <w:spacing w:after="100" w:afterAutospacing="1"/>
        <w:jc w:val="both"/>
        <w:rPr>
          <w:rFonts w:ascii="Times New Roman" w:hAnsi="Times New Roman" w:cs="Times New Roman"/>
          <w:b/>
          <w:bCs/>
          <w:sz w:val="24"/>
          <w:szCs w:val="24"/>
        </w:rPr>
      </w:pPr>
    </w:p>
    <w:p w:rsidR="00D5175F" w:rsidRPr="00B3369E" w:rsidRDefault="00D5175F" w:rsidP="007D3986">
      <w:pPr>
        <w:spacing w:after="100" w:afterAutospacing="1"/>
        <w:jc w:val="both"/>
        <w:rPr>
          <w:rFonts w:ascii="Times New Roman" w:hAnsi="Times New Roman" w:cs="Times New Roman"/>
          <w:b/>
          <w:bCs/>
          <w:sz w:val="24"/>
          <w:szCs w:val="24"/>
        </w:rPr>
      </w:pPr>
    </w:p>
    <w:p w:rsidR="00D5175F" w:rsidRPr="00B3369E" w:rsidRDefault="00D5175F" w:rsidP="00D5175F">
      <w:pPr>
        <w:jc w:val="center"/>
        <w:rPr>
          <w:rFonts w:ascii="Times New Roman" w:hAnsi="Times New Roman" w:cs="Times New Roman"/>
          <w:b/>
          <w:bCs/>
          <w:color w:val="632423" w:themeColor="accent2" w:themeShade="80"/>
          <w:sz w:val="36"/>
          <w:szCs w:val="36"/>
        </w:rPr>
      </w:pPr>
      <w:bookmarkStart w:id="0" w:name="_Toc6613990"/>
      <w:r w:rsidRPr="00B3369E">
        <w:rPr>
          <w:rFonts w:ascii="Times New Roman" w:hAnsi="Times New Roman" w:cs="Times New Roman"/>
          <w:b/>
          <w:bCs/>
          <w:color w:val="632423" w:themeColor="accent2" w:themeShade="80"/>
          <w:sz w:val="36"/>
          <w:szCs w:val="36"/>
        </w:rPr>
        <w:t>Table of Content</w:t>
      </w:r>
      <w:bookmarkEnd w:id="0"/>
    </w:p>
    <w:p w:rsidR="00D5175F" w:rsidRPr="00B3369E" w:rsidRDefault="00276A72" w:rsidP="00D5175F">
      <w:pPr>
        <w:pStyle w:val="TOC1"/>
        <w:tabs>
          <w:tab w:val="right" w:leader="hyphen" w:pos="9017"/>
        </w:tabs>
        <w:spacing w:line="240" w:lineRule="auto"/>
        <w:jc w:val="both"/>
        <w:rPr>
          <w:rFonts w:ascii="Times New Roman" w:eastAsiaTheme="minorEastAsia" w:hAnsi="Times New Roman" w:cs="Times New Roman"/>
          <w:b w:val="0"/>
          <w:bCs w:val="0"/>
          <w:caps w:val="0"/>
          <w:noProof/>
          <w:sz w:val="21"/>
          <w:szCs w:val="21"/>
        </w:rPr>
      </w:pPr>
      <w:r w:rsidRPr="00276A72">
        <w:rPr>
          <w:rFonts w:ascii="Times New Roman" w:hAnsi="Times New Roman" w:cs="Times New Roman"/>
          <w:sz w:val="21"/>
          <w:szCs w:val="21"/>
        </w:rPr>
        <w:fldChar w:fldCharType="begin"/>
      </w:r>
      <w:r w:rsidR="00D5175F" w:rsidRPr="00B3369E">
        <w:rPr>
          <w:rFonts w:ascii="Times New Roman" w:hAnsi="Times New Roman" w:cs="Times New Roman"/>
          <w:sz w:val="21"/>
          <w:szCs w:val="21"/>
        </w:rPr>
        <w:instrText xml:space="preserve"> TOC \o "1-3" \h \z \u </w:instrText>
      </w:r>
      <w:r w:rsidRPr="00276A72">
        <w:rPr>
          <w:rFonts w:ascii="Times New Roman" w:hAnsi="Times New Roman" w:cs="Times New Roman"/>
          <w:sz w:val="21"/>
          <w:szCs w:val="21"/>
        </w:rPr>
        <w:fldChar w:fldCharType="separate"/>
      </w:r>
      <w:hyperlink w:anchor="_Toc6613990" w:history="1">
        <w:r w:rsidR="00D5175F" w:rsidRPr="00B3369E">
          <w:rPr>
            <w:rStyle w:val="Hyperlink"/>
            <w:rFonts w:ascii="Times New Roman" w:hAnsi="Times New Roman" w:cs="Times New Roman"/>
            <w:noProof/>
            <w:sz w:val="21"/>
            <w:szCs w:val="21"/>
          </w:rPr>
          <w:t>Table of Content</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_Toc6613990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1"/>
        <w:tabs>
          <w:tab w:val="right" w:leader="hyphen" w:pos="9017"/>
        </w:tabs>
        <w:spacing w:line="240" w:lineRule="auto"/>
        <w:jc w:val="both"/>
        <w:rPr>
          <w:rFonts w:ascii="Times New Roman" w:eastAsiaTheme="minorEastAsia" w:hAnsi="Times New Roman" w:cs="Times New Roman"/>
          <w:b w:val="0"/>
          <w:bCs w:val="0"/>
          <w:caps w:val="0"/>
          <w:noProof/>
          <w:sz w:val="21"/>
          <w:szCs w:val="21"/>
        </w:rPr>
      </w:pPr>
      <w:hyperlink w:anchor="_Toc6613991" w:history="1">
        <w:r w:rsidR="00D5175F" w:rsidRPr="00B3369E">
          <w:rPr>
            <w:rStyle w:val="Hyperlink"/>
            <w:rFonts w:ascii="Times New Roman" w:hAnsi="Times New Roman" w:cs="Times New Roman"/>
            <w:noProof/>
            <w:sz w:val="21"/>
            <w:szCs w:val="21"/>
          </w:rPr>
          <w:t>Chapter-1</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_Toc6613991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3992" w:history="1">
        <w:r w:rsidR="00D5175F" w:rsidRPr="00B3369E">
          <w:rPr>
            <w:rStyle w:val="Hyperlink"/>
            <w:rFonts w:ascii="Times New Roman" w:hAnsi="Times New Roman" w:cs="Times New Roman"/>
            <w:noProof/>
            <w:sz w:val="21"/>
            <w:szCs w:val="21"/>
          </w:rPr>
          <w:t>1.1 Introduction</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_Toc6613992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3993" w:history="1">
        <w:r w:rsidR="00D5175F" w:rsidRPr="00B3369E">
          <w:rPr>
            <w:rStyle w:val="Hyperlink"/>
            <w:rFonts w:ascii="Times New Roman" w:hAnsi="Times New Roman" w:cs="Times New Roman"/>
            <w:noProof/>
            <w:sz w:val="21"/>
            <w:szCs w:val="21"/>
          </w:rPr>
          <w:t>1.2 Prelude of the Report</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_Toc6613993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3994" w:history="1">
        <w:r w:rsidR="00D5175F" w:rsidRPr="00B3369E">
          <w:rPr>
            <w:rStyle w:val="Hyperlink"/>
            <w:rFonts w:ascii="Times New Roman" w:hAnsi="Times New Roman" w:cs="Times New Roman"/>
            <w:noProof/>
            <w:sz w:val="21"/>
            <w:szCs w:val="21"/>
          </w:rPr>
          <w:t>1.3 Objective of the Report:</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_Toc6613994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3995" w:history="1">
        <w:r w:rsidR="00D5175F" w:rsidRPr="00B3369E">
          <w:rPr>
            <w:rStyle w:val="Hyperlink"/>
            <w:rFonts w:ascii="Times New Roman" w:hAnsi="Times New Roman" w:cs="Times New Roman"/>
            <w:noProof/>
            <w:sz w:val="21"/>
            <w:szCs w:val="21"/>
          </w:rPr>
          <w:t>1.4 Source of Information:</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_Toc6613995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2</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3996" w:history="1">
        <w:r w:rsidR="00D5175F" w:rsidRPr="00B3369E">
          <w:rPr>
            <w:rStyle w:val="Hyperlink"/>
            <w:rFonts w:ascii="Times New Roman" w:hAnsi="Times New Roman" w:cs="Times New Roman"/>
            <w:noProof/>
            <w:sz w:val="21"/>
            <w:szCs w:val="21"/>
          </w:rPr>
          <w:t>1.5 Methodology</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_Toc6613996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2</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3997" w:history="1">
        <w:r w:rsidR="00D5175F" w:rsidRPr="00B3369E">
          <w:rPr>
            <w:rStyle w:val="Hyperlink"/>
            <w:rFonts w:ascii="Times New Roman" w:hAnsi="Times New Roman" w:cs="Times New Roman"/>
            <w:noProof/>
            <w:sz w:val="21"/>
            <w:szCs w:val="21"/>
          </w:rPr>
          <w:t>1.6 Background of the Study</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_Toc6613997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3998" w:history="1">
        <w:r w:rsidR="00D5175F" w:rsidRPr="00B3369E">
          <w:rPr>
            <w:rStyle w:val="Hyperlink"/>
            <w:rFonts w:ascii="Times New Roman" w:hAnsi="Times New Roman" w:cs="Times New Roman"/>
            <w:noProof/>
            <w:sz w:val="21"/>
            <w:szCs w:val="21"/>
          </w:rPr>
          <w:t>1.7 Scope in the report:</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_Toc6613998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3999" w:history="1">
        <w:r w:rsidR="00D5175F" w:rsidRPr="00B3369E">
          <w:rPr>
            <w:rStyle w:val="Hyperlink"/>
            <w:rFonts w:ascii="Times New Roman" w:hAnsi="Times New Roman" w:cs="Times New Roman"/>
            <w:noProof/>
            <w:sz w:val="21"/>
            <w:szCs w:val="21"/>
          </w:rPr>
          <w:t>1.8 Limitations of the report:</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_Toc6613999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1"/>
        <w:tabs>
          <w:tab w:val="right" w:leader="hyphen" w:pos="9017"/>
        </w:tabs>
        <w:spacing w:line="240" w:lineRule="auto"/>
        <w:jc w:val="both"/>
        <w:rPr>
          <w:rFonts w:ascii="Times New Roman" w:eastAsiaTheme="minorEastAsia" w:hAnsi="Times New Roman" w:cs="Times New Roman"/>
          <w:b w:val="0"/>
          <w:bCs w:val="0"/>
          <w:caps w:val="0"/>
          <w:noProof/>
          <w:sz w:val="21"/>
          <w:szCs w:val="21"/>
        </w:rPr>
      </w:pPr>
      <w:hyperlink w:anchor="_Toc6614000" w:history="1">
        <w:r w:rsidR="00D5175F" w:rsidRPr="00B3369E">
          <w:rPr>
            <w:rStyle w:val="Hyperlink"/>
            <w:rFonts w:ascii="Times New Roman" w:hAnsi="Times New Roman" w:cs="Times New Roman"/>
            <w:noProof/>
            <w:sz w:val="21"/>
            <w:szCs w:val="21"/>
          </w:rPr>
          <w:t>Chapter-2: Job Description</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_Toc6614000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4</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01" w:history="1">
        <w:r w:rsidR="00D5175F" w:rsidRPr="00B3369E">
          <w:rPr>
            <w:rStyle w:val="Hyperlink"/>
            <w:rFonts w:ascii="Times New Roman" w:hAnsi="Times New Roman" w:cs="Times New Roman"/>
            <w:noProof/>
            <w:sz w:val="21"/>
            <w:szCs w:val="21"/>
          </w:rPr>
          <w:t>2.1 Internship at DBBL:</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_Toc6614001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4</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02" w:history="1">
        <w:r w:rsidR="00D5175F" w:rsidRPr="00B3369E">
          <w:rPr>
            <w:rStyle w:val="Hyperlink"/>
            <w:rFonts w:ascii="Times New Roman" w:hAnsi="Times New Roman" w:cs="Times New Roman"/>
            <w:noProof/>
            <w:sz w:val="21"/>
            <w:szCs w:val="21"/>
          </w:rPr>
          <w:t>2.2 Description my job at DBBL:</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_Toc6614002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4</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03" w:history="1">
        <w:r w:rsidR="00D5175F" w:rsidRPr="00B3369E">
          <w:rPr>
            <w:rStyle w:val="Hyperlink"/>
            <w:rFonts w:ascii="Times New Roman" w:hAnsi="Times New Roman" w:cs="Times New Roman"/>
            <w:i w:val="0"/>
            <w:iCs w:val="0"/>
            <w:noProof/>
            <w:sz w:val="21"/>
            <w:szCs w:val="21"/>
          </w:rPr>
          <w:t>2.2.1 Account Open:</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_Toc6614003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04" w:history="1">
        <w:r w:rsidR="00D5175F" w:rsidRPr="00B3369E">
          <w:rPr>
            <w:rStyle w:val="Hyperlink"/>
            <w:rFonts w:ascii="Times New Roman" w:hAnsi="Times New Roman" w:cs="Times New Roman"/>
            <w:i w:val="0"/>
            <w:iCs w:val="0"/>
            <w:noProof/>
            <w:sz w:val="21"/>
            <w:szCs w:val="21"/>
          </w:rPr>
          <w:t>2.2.2 Cheque clearing:</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_Toc6614004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05" w:history="1">
        <w:r w:rsidR="00D5175F" w:rsidRPr="00B3369E">
          <w:rPr>
            <w:rStyle w:val="Hyperlink"/>
            <w:rFonts w:ascii="Times New Roman" w:hAnsi="Times New Roman" w:cs="Times New Roman"/>
            <w:i w:val="0"/>
            <w:iCs w:val="0"/>
            <w:noProof/>
            <w:sz w:val="21"/>
            <w:szCs w:val="21"/>
          </w:rPr>
          <w:t>2.2.3 Cheque Issue:</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_Toc6614005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06" w:history="1">
        <w:r w:rsidR="00D5175F" w:rsidRPr="00B3369E">
          <w:rPr>
            <w:rStyle w:val="Hyperlink"/>
            <w:rFonts w:ascii="Times New Roman" w:hAnsi="Times New Roman" w:cs="Times New Roman"/>
            <w:i w:val="0"/>
            <w:iCs w:val="0"/>
            <w:noProof/>
            <w:sz w:val="21"/>
            <w:szCs w:val="21"/>
          </w:rPr>
          <w:t>2.2.4 Real-time gross settlement (RTGS):</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_Toc6614006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5</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07" w:history="1">
        <w:r w:rsidR="00D5175F" w:rsidRPr="00B3369E">
          <w:rPr>
            <w:rStyle w:val="Hyperlink"/>
            <w:rFonts w:ascii="Times New Roman" w:hAnsi="Times New Roman" w:cs="Times New Roman"/>
            <w:noProof/>
            <w:sz w:val="21"/>
            <w:szCs w:val="21"/>
          </w:rPr>
          <w:t>2.2.5 Client account statement: Some clients asked for their bank account statements. According to their needs, I gave a bank account statement to our customer. We do not apply any complains in the bank account statement.</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_Toc6614007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5</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08" w:history="1">
        <w:r w:rsidR="00D5175F" w:rsidRPr="00B3369E">
          <w:rPr>
            <w:rStyle w:val="Hyperlink"/>
            <w:rFonts w:ascii="Times New Roman" w:hAnsi="Times New Roman" w:cs="Times New Roman"/>
            <w:i w:val="0"/>
            <w:iCs w:val="0"/>
            <w:noProof/>
            <w:sz w:val="21"/>
            <w:szCs w:val="21"/>
          </w:rPr>
          <w:t>2.2.6 Scanning too many different documents:</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_Toc6614008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5</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09" w:history="1">
        <w:r w:rsidR="00D5175F" w:rsidRPr="00B3369E">
          <w:rPr>
            <w:rStyle w:val="Hyperlink"/>
            <w:rFonts w:ascii="Times New Roman" w:hAnsi="Times New Roman" w:cs="Times New Roman"/>
            <w:i w:val="0"/>
            <w:iCs w:val="0"/>
            <w:noProof/>
            <w:sz w:val="21"/>
            <w:szCs w:val="21"/>
          </w:rPr>
          <w:t>2.2.7 Remittance:</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_Toc6614009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5</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10" w:history="1">
        <w:r w:rsidR="00D5175F" w:rsidRPr="00B3369E">
          <w:rPr>
            <w:rStyle w:val="Hyperlink"/>
            <w:rFonts w:ascii="Times New Roman" w:hAnsi="Times New Roman" w:cs="Times New Roman"/>
            <w:i w:val="0"/>
            <w:iCs w:val="0"/>
            <w:noProof/>
            <w:sz w:val="21"/>
            <w:szCs w:val="21"/>
          </w:rPr>
          <w:t>2.2.8 Nostro and Vostro account:</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_Toc6614010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5</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11" w:history="1">
        <w:r w:rsidR="00D5175F" w:rsidRPr="00B3369E">
          <w:rPr>
            <w:rStyle w:val="Hyperlink"/>
            <w:rFonts w:ascii="Times New Roman" w:hAnsi="Times New Roman" w:cs="Times New Roman"/>
            <w:noProof/>
            <w:sz w:val="21"/>
            <w:szCs w:val="21"/>
          </w:rPr>
          <w:t>2.3 Learned from Dach-Bangla Bank Limited:</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_Toc6614011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5</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12" w:history="1">
        <w:r w:rsidR="00D5175F" w:rsidRPr="00B3369E">
          <w:rPr>
            <w:rStyle w:val="Hyperlink"/>
            <w:rFonts w:ascii="Times New Roman" w:hAnsi="Times New Roman" w:cs="Times New Roman"/>
            <w:noProof/>
            <w:sz w:val="21"/>
            <w:szCs w:val="21"/>
            <w:shd w:val="clear" w:color="auto" w:fill="FFFFFF"/>
          </w:rPr>
          <w:t>2.4 Lessons learned from internship at the program</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_Toc6614012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6</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1"/>
        <w:tabs>
          <w:tab w:val="right" w:leader="hyphen" w:pos="9017"/>
        </w:tabs>
        <w:spacing w:line="240" w:lineRule="auto"/>
        <w:jc w:val="both"/>
        <w:rPr>
          <w:rFonts w:ascii="Times New Roman" w:eastAsiaTheme="minorEastAsia" w:hAnsi="Times New Roman" w:cs="Times New Roman"/>
          <w:b w:val="0"/>
          <w:bCs w:val="0"/>
          <w:caps w:val="0"/>
          <w:noProof/>
          <w:sz w:val="21"/>
          <w:szCs w:val="21"/>
        </w:rPr>
      </w:pPr>
      <w:hyperlink w:anchor="_Toc6614013" w:history="1">
        <w:r w:rsidR="00D5175F" w:rsidRPr="00B3369E">
          <w:rPr>
            <w:rStyle w:val="Hyperlink"/>
            <w:rFonts w:ascii="Times New Roman" w:hAnsi="Times New Roman" w:cs="Times New Roman"/>
            <w:noProof/>
            <w:sz w:val="21"/>
            <w:szCs w:val="21"/>
          </w:rPr>
          <w:t>Chapter-3: An Overview of Dutch-Bangla Limited</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_Toc6614013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6</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14" w:history="1">
        <w:r w:rsidR="00D5175F" w:rsidRPr="00B3369E">
          <w:rPr>
            <w:rStyle w:val="Hyperlink"/>
            <w:rFonts w:ascii="Times New Roman" w:hAnsi="Times New Roman" w:cs="Times New Roman"/>
            <w:noProof/>
            <w:sz w:val="21"/>
            <w:szCs w:val="21"/>
          </w:rPr>
          <w:t>3.1 Historical Background:</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_Toc6614014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6</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15" w:history="1">
        <w:r w:rsidR="00D5175F" w:rsidRPr="00B3369E">
          <w:rPr>
            <w:rStyle w:val="Hyperlink"/>
            <w:rFonts w:ascii="Times New Roman" w:hAnsi="Times New Roman" w:cs="Times New Roman"/>
            <w:noProof/>
            <w:sz w:val="21"/>
            <w:szCs w:val="21"/>
          </w:rPr>
          <w:t>3.2 The Board Corporate Governance &amp; Its Committees:</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_Toc6614015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7</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16" w:history="1">
        <w:r w:rsidR="00D5175F" w:rsidRPr="00B3369E">
          <w:rPr>
            <w:rStyle w:val="Hyperlink"/>
            <w:rFonts w:ascii="Times New Roman" w:hAnsi="Times New Roman" w:cs="Times New Roman"/>
            <w:noProof/>
            <w:sz w:val="21"/>
            <w:szCs w:val="21"/>
          </w:rPr>
          <w:t>3.3 DBBL Organizational Structure and Management</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_Toc6614016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8</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17" w:history="1">
        <w:r w:rsidR="00D5175F" w:rsidRPr="00B3369E">
          <w:rPr>
            <w:rStyle w:val="Hyperlink"/>
            <w:rFonts w:ascii="Times New Roman" w:hAnsi="Times New Roman" w:cs="Times New Roman"/>
            <w:noProof/>
            <w:sz w:val="21"/>
            <w:szCs w:val="21"/>
            <w:shd w:val="clear" w:color="auto" w:fill="FFFFFF"/>
          </w:rPr>
          <w:t>3.4 Mission of Dutch-Bangla Bank Limited:</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_Toc6614017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8</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18" w:history="1">
        <w:r w:rsidR="00D5175F" w:rsidRPr="00B3369E">
          <w:rPr>
            <w:rStyle w:val="Hyperlink"/>
            <w:rFonts w:ascii="Times New Roman" w:hAnsi="Times New Roman" w:cs="Times New Roman"/>
            <w:noProof/>
            <w:sz w:val="21"/>
            <w:szCs w:val="21"/>
          </w:rPr>
          <w:t>3.5 Vision of Dutch-Bangla Bank Limited:</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_Toc6614018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8</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19" w:history="1">
        <w:r w:rsidR="00D5175F" w:rsidRPr="00B3369E">
          <w:rPr>
            <w:rStyle w:val="Hyperlink"/>
            <w:rFonts w:ascii="Times New Roman" w:hAnsi="Times New Roman" w:cs="Times New Roman"/>
            <w:noProof/>
            <w:sz w:val="21"/>
            <w:szCs w:val="21"/>
          </w:rPr>
          <w:t>3.6 DBBL Core Objective:</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_Toc6614019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9</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20" w:history="1">
        <w:r w:rsidR="00D5175F" w:rsidRPr="00B3369E">
          <w:rPr>
            <w:rStyle w:val="Hyperlink"/>
            <w:rFonts w:ascii="Times New Roman" w:hAnsi="Times New Roman" w:cs="Times New Roman"/>
            <w:noProof/>
            <w:sz w:val="21"/>
            <w:szCs w:val="21"/>
          </w:rPr>
          <w:t>3.7 DBBL of Strategy</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_Toc6614020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9</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21" w:history="1">
        <w:r w:rsidR="00D5175F" w:rsidRPr="00B3369E">
          <w:rPr>
            <w:rStyle w:val="Hyperlink"/>
            <w:rFonts w:ascii="Times New Roman" w:hAnsi="Times New Roman" w:cs="Times New Roman"/>
            <w:noProof/>
            <w:sz w:val="21"/>
            <w:szCs w:val="21"/>
          </w:rPr>
          <w:t>3.8 DBBL Achievements:</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_Toc6614021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9</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22" w:history="1">
        <w:r w:rsidR="00D5175F" w:rsidRPr="00B3369E">
          <w:rPr>
            <w:rStyle w:val="Hyperlink"/>
            <w:rFonts w:ascii="Times New Roman" w:hAnsi="Times New Roman" w:cs="Times New Roman"/>
            <w:noProof/>
            <w:sz w:val="21"/>
            <w:szCs w:val="21"/>
          </w:rPr>
          <w:t>3.9 Dutch-Bangla Bank Strength:</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_Toc6614022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10</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23" w:history="1">
        <w:r w:rsidR="00D5175F" w:rsidRPr="00B3369E">
          <w:rPr>
            <w:rStyle w:val="Hyperlink"/>
            <w:rFonts w:ascii="Times New Roman" w:hAnsi="Times New Roman" w:cs="Times New Roman"/>
            <w:noProof/>
            <w:sz w:val="21"/>
            <w:szCs w:val="21"/>
          </w:rPr>
          <w:t>3.10 DBBL Main Activities:</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_Toc6614023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10</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24" w:history="1">
        <w:r w:rsidR="00D5175F" w:rsidRPr="00B3369E">
          <w:rPr>
            <w:rStyle w:val="Hyperlink"/>
            <w:rFonts w:ascii="Times New Roman" w:hAnsi="Times New Roman" w:cs="Times New Roman"/>
            <w:noProof/>
            <w:sz w:val="21"/>
            <w:szCs w:val="21"/>
          </w:rPr>
          <w:t>3.11 DBBL Corporate Division:</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_Toc6614024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10</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25" w:history="1">
        <w:r w:rsidR="00D5175F" w:rsidRPr="00B3369E">
          <w:rPr>
            <w:rStyle w:val="Hyperlink"/>
            <w:rFonts w:ascii="Times New Roman" w:hAnsi="Times New Roman" w:cs="Times New Roman"/>
            <w:noProof/>
            <w:sz w:val="21"/>
            <w:szCs w:val="21"/>
          </w:rPr>
          <w:t>3.12 DBBL off-shore Banking Unit (OBU)</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_Toc6614025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11</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26" w:history="1">
        <w:r w:rsidR="00D5175F" w:rsidRPr="00B3369E">
          <w:rPr>
            <w:rStyle w:val="Hyperlink"/>
            <w:rFonts w:ascii="Times New Roman" w:hAnsi="Times New Roman" w:cs="Times New Roman"/>
            <w:noProof/>
            <w:sz w:val="21"/>
            <w:szCs w:val="21"/>
          </w:rPr>
          <w:t>3.13 DBBL Product &amp; Services List:</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_Toc6614026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11</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27" w:history="1">
        <w:r w:rsidR="00D5175F" w:rsidRPr="00B3369E">
          <w:rPr>
            <w:rStyle w:val="Hyperlink"/>
            <w:rFonts w:ascii="Times New Roman" w:hAnsi="Times New Roman" w:cs="Times New Roman"/>
            <w:i w:val="0"/>
            <w:iCs w:val="0"/>
            <w:noProof/>
            <w:sz w:val="21"/>
            <w:szCs w:val="21"/>
          </w:rPr>
          <w:t>3.13.1 Deposit plus Scheme (DPS):</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_Toc6614027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11</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28" w:history="1">
        <w:r w:rsidR="00D5175F" w:rsidRPr="00B3369E">
          <w:rPr>
            <w:rStyle w:val="Hyperlink"/>
            <w:rFonts w:ascii="Times New Roman" w:hAnsi="Times New Roman" w:cs="Times New Roman"/>
            <w:i w:val="0"/>
            <w:iCs w:val="0"/>
            <w:noProof/>
            <w:sz w:val="21"/>
            <w:szCs w:val="21"/>
          </w:rPr>
          <w:t>3.13.2 Periodic Benefit Scheme (PBS):</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_Toc6614028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12</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29" w:history="1">
        <w:r w:rsidR="00D5175F" w:rsidRPr="00B3369E">
          <w:rPr>
            <w:rStyle w:val="Hyperlink"/>
            <w:rFonts w:ascii="Times New Roman" w:hAnsi="Times New Roman" w:cs="Times New Roman"/>
            <w:i w:val="0"/>
            <w:iCs w:val="0"/>
            <w:noProof/>
            <w:sz w:val="21"/>
            <w:szCs w:val="21"/>
          </w:rPr>
          <w:t>3.13.3 Children Education Savings Scheme (CHESS):</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_Toc6614029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12</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30" w:history="1">
        <w:r w:rsidR="00D5175F" w:rsidRPr="00B3369E">
          <w:rPr>
            <w:rStyle w:val="Hyperlink"/>
            <w:rFonts w:ascii="Times New Roman" w:hAnsi="Times New Roman" w:cs="Times New Roman"/>
            <w:i w:val="0"/>
            <w:iCs w:val="0"/>
            <w:noProof/>
            <w:sz w:val="21"/>
            <w:szCs w:val="21"/>
          </w:rPr>
          <w:t>3.13.4 Millionaire Deposit Scheme (MDS):</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_Toc6614030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12</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31" w:history="1">
        <w:r w:rsidR="00D5175F" w:rsidRPr="00B3369E">
          <w:rPr>
            <w:rStyle w:val="Hyperlink"/>
            <w:rFonts w:ascii="Times New Roman" w:hAnsi="Times New Roman" w:cs="Times New Roman"/>
            <w:i w:val="0"/>
            <w:iCs w:val="0"/>
            <w:noProof/>
            <w:sz w:val="21"/>
            <w:szCs w:val="21"/>
          </w:rPr>
          <w:t>3.13.5 Such as other loans and advances Retail loan product:</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_Toc6614031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12</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32" w:history="1">
        <w:r w:rsidR="00D5175F" w:rsidRPr="00B3369E">
          <w:rPr>
            <w:rStyle w:val="Hyperlink"/>
            <w:rFonts w:ascii="Times New Roman" w:hAnsi="Times New Roman" w:cs="Times New Roman"/>
            <w:i w:val="0"/>
            <w:iCs w:val="0"/>
            <w:noProof/>
            <w:sz w:val="21"/>
            <w:szCs w:val="21"/>
          </w:rPr>
          <w:t>3.13.6 Personal Banking:</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_Toc6614032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12</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33" w:history="1">
        <w:r w:rsidR="00D5175F" w:rsidRPr="00B3369E">
          <w:rPr>
            <w:rStyle w:val="Hyperlink"/>
            <w:rFonts w:ascii="Times New Roman" w:hAnsi="Times New Roman" w:cs="Times New Roman"/>
            <w:i w:val="0"/>
            <w:iCs w:val="0"/>
            <w:noProof/>
            <w:sz w:val="21"/>
            <w:szCs w:val="21"/>
          </w:rPr>
          <w:t>3.13.7 Corporate Banking:</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_Toc6614033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13</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34" w:history="1">
        <w:r w:rsidR="00D5175F" w:rsidRPr="00B3369E">
          <w:rPr>
            <w:rStyle w:val="Hyperlink"/>
            <w:rFonts w:ascii="Times New Roman" w:hAnsi="Times New Roman" w:cs="Times New Roman"/>
            <w:i w:val="0"/>
            <w:iCs w:val="0"/>
            <w:noProof/>
            <w:sz w:val="21"/>
            <w:szCs w:val="21"/>
          </w:rPr>
          <w:t>3.13.8 DBBL Mobile Banking Service:</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_Toc6614034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14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35" w:history="1">
        <w:r w:rsidR="00D5175F" w:rsidRPr="00B3369E">
          <w:rPr>
            <w:rStyle w:val="Hyperlink"/>
            <w:rFonts w:ascii="Times New Roman" w:hAnsi="Times New Roman" w:cs="Times New Roman"/>
            <w:i w:val="0"/>
            <w:iCs w:val="0"/>
            <w:noProof/>
            <w:sz w:val="21"/>
            <w:szCs w:val="21"/>
          </w:rPr>
          <w:t>3.13.9 DBBL Agent Banking Service:</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_Toc6614035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14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36" w:history="1">
        <w:r w:rsidR="00D5175F" w:rsidRPr="00B3369E">
          <w:rPr>
            <w:rStyle w:val="Hyperlink"/>
            <w:rFonts w:ascii="Times New Roman" w:hAnsi="Times New Roman" w:cs="Times New Roman"/>
            <w:noProof/>
            <w:sz w:val="21"/>
            <w:szCs w:val="21"/>
          </w:rPr>
          <w:t>3.14 Last Three (2014-17) Years for Dutch-Bangla Bank Limited Financial Highlights:</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_Toc6614036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14</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37" w:history="1">
        <w:r w:rsidR="00D5175F" w:rsidRPr="00B3369E">
          <w:rPr>
            <w:rStyle w:val="Hyperlink"/>
            <w:rFonts w:ascii="Times New Roman" w:hAnsi="Times New Roman" w:cs="Times New Roman"/>
            <w:noProof/>
            <w:sz w:val="21"/>
            <w:szCs w:val="21"/>
          </w:rPr>
          <w:t>3.15 DBBL of Corporate Social Responsibilities:</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_Toc6614037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18</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38" w:history="1">
        <w:r w:rsidR="00D5175F" w:rsidRPr="00B3369E">
          <w:rPr>
            <w:rStyle w:val="Hyperlink"/>
            <w:rFonts w:ascii="Times New Roman" w:hAnsi="Times New Roman" w:cs="Times New Roman"/>
            <w:noProof/>
            <w:sz w:val="21"/>
            <w:szCs w:val="21"/>
          </w:rPr>
          <w:t>3.16 DBBL In-house Green Banking Management:</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_Toc6614038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19</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1"/>
        <w:tabs>
          <w:tab w:val="right" w:leader="hyphen" w:pos="9017"/>
        </w:tabs>
        <w:spacing w:line="240" w:lineRule="auto"/>
        <w:jc w:val="both"/>
        <w:rPr>
          <w:rFonts w:ascii="Times New Roman" w:eastAsiaTheme="minorEastAsia" w:hAnsi="Times New Roman" w:cs="Times New Roman"/>
          <w:b w:val="0"/>
          <w:bCs w:val="0"/>
          <w:caps w:val="0"/>
          <w:noProof/>
          <w:sz w:val="21"/>
          <w:szCs w:val="21"/>
        </w:rPr>
      </w:pPr>
      <w:hyperlink w:anchor="_Toc6614039" w:history="1">
        <w:r w:rsidR="00D5175F" w:rsidRPr="00B3369E">
          <w:rPr>
            <w:rStyle w:val="Hyperlink"/>
            <w:rFonts w:ascii="Times New Roman" w:hAnsi="Times New Roman" w:cs="Times New Roman"/>
            <w:noProof/>
            <w:sz w:val="21"/>
            <w:szCs w:val="21"/>
          </w:rPr>
          <w:t>Chapter-4: OVERVIEW OF BASEL INFORMATION</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_Toc6614039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19</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40" w:history="1">
        <w:r w:rsidR="00D5175F" w:rsidRPr="00B3369E">
          <w:rPr>
            <w:rStyle w:val="Hyperlink"/>
            <w:rFonts w:ascii="Times New Roman" w:hAnsi="Times New Roman" w:cs="Times New Roman"/>
            <w:noProof/>
            <w:sz w:val="21"/>
            <w:szCs w:val="21"/>
          </w:rPr>
          <w:t>4.1 BASEL Accords:</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_Toc6614040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19</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41" w:history="1">
        <w:r w:rsidR="00D5175F" w:rsidRPr="00B3369E">
          <w:rPr>
            <w:rStyle w:val="Hyperlink"/>
            <w:rFonts w:ascii="Times New Roman" w:hAnsi="Times New Roman" w:cs="Times New Roman"/>
            <w:noProof/>
            <w:sz w:val="21"/>
            <w:szCs w:val="21"/>
          </w:rPr>
          <w:t>4.2 Basel I</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_Toc6614041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20</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42" w:history="1">
        <w:r w:rsidR="00D5175F" w:rsidRPr="00B3369E">
          <w:rPr>
            <w:rStyle w:val="Hyperlink"/>
            <w:rFonts w:ascii="Times New Roman" w:hAnsi="Times New Roman" w:cs="Times New Roman"/>
            <w:i w:val="0"/>
            <w:iCs w:val="0"/>
            <w:noProof/>
            <w:sz w:val="21"/>
            <w:szCs w:val="21"/>
          </w:rPr>
          <w:t>4.2.1 Tier 1 Capital:</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_Toc6614042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21</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43" w:history="1">
        <w:r w:rsidR="00D5175F" w:rsidRPr="00B3369E">
          <w:rPr>
            <w:rStyle w:val="Hyperlink"/>
            <w:rFonts w:ascii="Times New Roman" w:hAnsi="Times New Roman" w:cs="Times New Roman"/>
            <w:i w:val="0"/>
            <w:iCs w:val="0"/>
            <w:noProof/>
            <w:sz w:val="21"/>
            <w:szCs w:val="21"/>
          </w:rPr>
          <w:t>4.2.2 Tier 2 Capital (Supplementary Capital):</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_Toc6614043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21</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44" w:history="1">
        <w:r w:rsidR="00D5175F" w:rsidRPr="00B3369E">
          <w:rPr>
            <w:rStyle w:val="Hyperlink"/>
            <w:rFonts w:ascii="Times New Roman" w:hAnsi="Times New Roman" w:cs="Times New Roman"/>
            <w:i w:val="0"/>
            <w:iCs w:val="0"/>
            <w:noProof/>
            <w:sz w:val="21"/>
            <w:szCs w:val="21"/>
          </w:rPr>
          <w:t>4.2.3 Credit Risk:</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_Toc6614044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21</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45" w:history="1">
        <w:r w:rsidR="00D5175F" w:rsidRPr="00B3369E">
          <w:rPr>
            <w:rStyle w:val="Hyperlink"/>
            <w:rFonts w:ascii="Times New Roman" w:hAnsi="Times New Roman" w:cs="Times New Roman"/>
            <w:i w:val="0"/>
            <w:iCs w:val="0"/>
            <w:noProof/>
            <w:sz w:val="21"/>
            <w:szCs w:val="21"/>
          </w:rPr>
          <w:t>4.2.4 Market Risk:</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_Toc6614045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22</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46" w:history="1">
        <w:r w:rsidR="00D5175F" w:rsidRPr="00B3369E">
          <w:rPr>
            <w:rStyle w:val="Hyperlink"/>
            <w:rFonts w:ascii="Times New Roman" w:hAnsi="Times New Roman" w:cs="Times New Roman"/>
            <w:i w:val="0"/>
            <w:iCs w:val="0"/>
            <w:noProof/>
            <w:sz w:val="21"/>
            <w:szCs w:val="21"/>
          </w:rPr>
          <w:t>4.2.5 Basel 1 positive:</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_Toc6614046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22</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47" w:history="1">
        <w:r w:rsidR="00D5175F" w:rsidRPr="00B3369E">
          <w:rPr>
            <w:rStyle w:val="Hyperlink"/>
            <w:rFonts w:ascii="Times New Roman" w:hAnsi="Times New Roman" w:cs="Times New Roman"/>
            <w:i w:val="0"/>
            <w:iCs w:val="0"/>
            <w:noProof/>
            <w:sz w:val="21"/>
            <w:szCs w:val="21"/>
          </w:rPr>
          <w:t>4.2.6 Weaknesses of Basel 1:</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_Toc6614047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23</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48" w:history="1">
        <w:r w:rsidR="00D5175F" w:rsidRPr="00B3369E">
          <w:rPr>
            <w:rStyle w:val="Hyperlink"/>
            <w:rFonts w:ascii="Times New Roman" w:hAnsi="Times New Roman" w:cs="Times New Roman"/>
            <w:noProof/>
            <w:sz w:val="21"/>
            <w:szCs w:val="21"/>
          </w:rPr>
          <w:t>4.2.7 Basel I Pitfalls and limitation: Basel's very limited differ resources are in the classes. So achieving is basically 0%, 20%, and 100% only. So they are losing any of the resources, which is that there was nothing in the pitfall Basel 1.</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_Toc6614048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23</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49" w:history="1">
        <w:r w:rsidR="00D5175F" w:rsidRPr="00B3369E">
          <w:rPr>
            <w:rStyle w:val="Hyperlink"/>
            <w:rFonts w:ascii="Times New Roman" w:hAnsi="Times New Roman" w:cs="Times New Roman"/>
            <w:noProof/>
            <w:sz w:val="21"/>
            <w:szCs w:val="21"/>
          </w:rPr>
          <w:t>4.3 Basel II</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_Toc6614049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23</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50" w:history="1">
        <w:r w:rsidR="00D5175F" w:rsidRPr="00B3369E">
          <w:rPr>
            <w:rStyle w:val="Hyperlink"/>
            <w:rFonts w:ascii="Times New Roman" w:hAnsi="Times New Roman" w:cs="Times New Roman"/>
            <w:i w:val="0"/>
            <w:iCs w:val="0"/>
            <w:noProof/>
            <w:sz w:val="21"/>
            <w:szCs w:val="21"/>
          </w:rPr>
          <w:t>4.3.1 Objectives of Basel II:</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_Toc6614050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51" w:history="1">
        <w:r w:rsidR="00D5175F" w:rsidRPr="00B3369E">
          <w:rPr>
            <w:rStyle w:val="Hyperlink"/>
            <w:rFonts w:ascii="Times New Roman" w:hAnsi="Times New Roman" w:cs="Times New Roman"/>
            <w:i w:val="0"/>
            <w:iCs w:val="0"/>
            <w:noProof/>
            <w:sz w:val="21"/>
            <w:szCs w:val="21"/>
          </w:rPr>
          <w:t>4.3.2 Basel II version aims at:</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_Toc6614051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52" w:history="1">
        <w:r w:rsidR="00D5175F" w:rsidRPr="00B3369E">
          <w:rPr>
            <w:rStyle w:val="Hyperlink"/>
            <w:rFonts w:ascii="Times New Roman" w:hAnsi="Times New Roman" w:cs="Times New Roman"/>
            <w:i w:val="0"/>
            <w:iCs w:val="0"/>
            <w:noProof/>
            <w:sz w:val="21"/>
            <w:szCs w:val="21"/>
          </w:rPr>
          <w:t>4.3.3 Basel II Accord proposes three implementation options:</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_Toc6614052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53" w:history="1">
        <w:r w:rsidR="00D5175F" w:rsidRPr="00B3369E">
          <w:rPr>
            <w:rStyle w:val="Hyperlink"/>
            <w:rFonts w:ascii="Times New Roman" w:hAnsi="Times New Roman" w:cs="Times New Roman"/>
            <w:i w:val="0"/>
            <w:iCs w:val="0"/>
            <w:noProof/>
            <w:sz w:val="21"/>
            <w:szCs w:val="21"/>
          </w:rPr>
          <w:t>4.3.4 Basel II of Three pillars:</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_Toc6614053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25</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54" w:history="1">
        <w:r w:rsidR="00D5175F" w:rsidRPr="00B3369E">
          <w:rPr>
            <w:rStyle w:val="Hyperlink"/>
            <w:rFonts w:ascii="Times New Roman" w:hAnsi="Times New Roman" w:cs="Times New Roman"/>
            <w:i w:val="0"/>
            <w:iCs w:val="0"/>
            <w:noProof/>
            <w:sz w:val="21"/>
            <w:szCs w:val="21"/>
          </w:rPr>
          <w:t>4.3.5 Limitations of Basel II:</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_Toc6614054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27</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55" w:history="1">
        <w:r w:rsidR="00D5175F" w:rsidRPr="00B3369E">
          <w:rPr>
            <w:rStyle w:val="Hyperlink"/>
            <w:rFonts w:ascii="Times New Roman" w:hAnsi="Times New Roman" w:cs="Times New Roman"/>
            <w:noProof/>
            <w:sz w:val="21"/>
            <w:szCs w:val="21"/>
          </w:rPr>
          <w:t>4.4 Basel III</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_Toc6614055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27</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56" w:history="1">
        <w:r w:rsidR="00D5175F" w:rsidRPr="00B3369E">
          <w:rPr>
            <w:rStyle w:val="Hyperlink"/>
            <w:rFonts w:ascii="Times New Roman" w:hAnsi="Times New Roman" w:cs="Times New Roman"/>
            <w:i w:val="0"/>
            <w:iCs w:val="0"/>
            <w:noProof/>
            <w:sz w:val="21"/>
            <w:szCs w:val="21"/>
          </w:rPr>
          <w:t>4.4.1 Basel III: Three Pillars Still Standing:</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_Toc6614056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28</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57" w:history="1">
        <w:r w:rsidR="00D5175F" w:rsidRPr="00B3369E">
          <w:rPr>
            <w:rStyle w:val="Hyperlink"/>
            <w:rFonts w:ascii="Times New Roman" w:hAnsi="Times New Roman" w:cs="Times New Roman"/>
            <w:i w:val="0"/>
            <w:iCs w:val="0"/>
            <w:noProof/>
            <w:sz w:val="21"/>
            <w:szCs w:val="21"/>
          </w:rPr>
          <w:t>4.4.2 Key Points of Basel III accord:</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_Toc6614057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28</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58" w:history="1">
        <w:r w:rsidR="00D5175F" w:rsidRPr="00B3369E">
          <w:rPr>
            <w:rStyle w:val="Hyperlink"/>
            <w:rFonts w:ascii="Times New Roman" w:hAnsi="Times New Roman" w:cs="Times New Roman"/>
            <w:i w:val="0"/>
            <w:iCs w:val="0"/>
            <w:noProof/>
            <w:sz w:val="21"/>
            <w:szCs w:val="21"/>
          </w:rPr>
          <w:t>4.4.3 Basel III Accords the main features:</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_Toc6614058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29</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59" w:history="1">
        <w:r w:rsidR="00D5175F" w:rsidRPr="00B3369E">
          <w:rPr>
            <w:rStyle w:val="Hyperlink"/>
            <w:rFonts w:ascii="Times New Roman" w:hAnsi="Times New Roman" w:cs="Times New Roman"/>
            <w:i w:val="0"/>
            <w:iCs w:val="0"/>
            <w:noProof/>
            <w:sz w:val="21"/>
            <w:szCs w:val="21"/>
          </w:rPr>
          <w:t>4.4.5 Difference between Basel II to Basel III Regulatory Capital Ratio:</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_Toc6614059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29</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60" w:history="1">
        <w:r w:rsidR="00D5175F" w:rsidRPr="00B3369E">
          <w:rPr>
            <w:rStyle w:val="Hyperlink"/>
            <w:rFonts w:ascii="Times New Roman" w:hAnsi="Times New Roman" w:cs="Times New Roman"/>
            <w:noProof/>
            <w:sz w:val="21"/>
            <w:szCs w:val="21"/>
          </w:rPr>
          <w:t>4.5 Basel-III differs from Basel I and II</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_Toc6614060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29</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61" w:history="1">
        <w:r w:rsidR="00D5175F" w:rsidRPr="00B3369E">
          <w:rPr>
            <w:rStyle w:val="Hyperlink"/>
            <w:rFonts w:ascii="Times New Roman" w:hAnsi="Times New Roman" w:cs="Times New Roman"/>
            <w:noProof/>
            <w:sz w:val="21"/>
            <w:szCs w:val="21"/>
          </w:rPr>
          <w:t>4.6 Basel Committee Secretariat:</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_Toc6614061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30</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1"/>
        <w:tabs>
          <w:tab w:val="right" w:leader="hyphen" w:pos="9017"/>
        </w:tabs>
        <w:spacing w:line="240" w:lineRule="auto"/>
        <w:jc w:val="both"/>
        <w:rPr>
          <w:rFonts w:ascii="Times New Roman" w:eastAsiaTheme="minorEastAsia" w:hAnsi="Times New Roman" w:cs="Times New Roman"/>
          <w:b w:val="0"/>
          <w:bCs w:val="0"/>
          <w:caps w:val="0"/>
          <w:noProof/>
          <w:sz w:val="21"/>
          <w:szCs w:val="21"/>
        </w:rPr>
      </w:pPr>
      <w:hyperlink w:anchor="_Toc6614062" w:history="1">
        <w:r w:rsidR="00D5175F" w:rsidRPr="00B3369E">
          <w:rPr>
            <w:rStyle w:val="Hyperlink"/>
            <w:rFonts w:ascii="Times New Roman" w:hAnsi="Times New Roman" w:cs="Times New Roman"/>
            <w:noProof/>
            <w:sz w:val="21"/>
            <w:szCs w:val="21"/>
          </w:rPr>
          <w:t>Chapter-5</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_Toc6614062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30</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63" w:history="1">
        <w:r w:rsidR="00D5175F" w:rsidRPr="00B3369E">
          <w:rPr>
            <w:rStyle w:val="Hyperlink"/>
            <w:rFonts w:ascii="Times New Roman" w:hAnsi="Times New Roman" w:cs="Times New Roman"/>
            <w:noProof/>
            <w:sz w:val="21"/>
            <w:szCs w:val="21"/>
          </w:rPr>
          <w:t>5.1 Implementation of the Basel III in Bangladesh Bank</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_Toc6614063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30</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64" w:history="1">
        <w:r w:rsidR="00D5175F" w:rsidRPr="00B3369E">
          <w:rPr>
            <w:rStyle w:val="Hyperlink"/>
            <w:rFonts w:ascii="Times New Roman" w:hAnsi="Times New Roman" w:cs="Times New Roman"/>
            <w:noProof/>
            <w:sz w:val="21"/>
            <w:szCs w:val="21"/>
          </w:rPr>
          <w:t>5.2 Basel III Means for Bangladesh banking system:</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_Toc6614064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30</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65" w:history="1">
        <w:r w:rsidR="00D5175F" w:rsidRPr="00B3369E">
          <w:rPr>
            <w:rStyle w:val="Hyperlink"/>
            <w:rFonts w:ascii="Times New Roman" w:hAnsi="Times New Roman" w:cs="Times New Roman"/>
            <w:noProof/>
            <w:sz w:val="21"/>
            <w:szCs w:val="21"/>
          </w:rPr>
          <w:t>5.3 Key Issues for Bangladesh Banking Sector</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_Toc6614065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30</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66" w:history="1">
        <w:r w:rsidR="00D5175F" w:rsidRPr="00B3369E">
          <w:rPr>
            <w:rStyle w:val="Hyperlink"/>
            <w:rFonts w:ascii="Times New Roman" w:hAnsi="Times New Roman" w:cs="Times New Roman"/>
            <w:i w:val="0"/>
            <w:iCs w:val="0"/>
            <w:noProof/>
            <w:sz w:val="21"/>
            <w:szCs w:val="21"/>
            <w:shd w:val="clear" w:color="auto" w:fill="FFFFFF"/>
          </w:rPr>
          <w:t>5.3.1 Capital Standard</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_Toc6614066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31</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67" w:history="1">
        <w:r w:rsidR="00D5175F" w:rsidRPr="00B3369E">
          <w:rPr>
            <w:rStyle w:val="Hyperlink"/>
            <w:rFonts w:ascii="Times New Roman" w:hAnsi="Times New Roman" w:cs="Times New Roman"/>
            <w:i w:val="0"/>
            <w:iCs w:val="0"/>
            <w:noProof/>
            <w:sz w:val="21"/>
            <w:szCs w:val="21"/>
          </w:rPr>
          <w:t>5.3.2 Capital to Risk-weighted Asset Ratio</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_Toc6614067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31</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68" w:history="1">
        <w:r w:rsidR="00D5175F" w:rsidRPr="00B3369E">
          <w:rPr>
            <w:rStyle w:val="Hyperlink"/>
            <w:rFonts w:ascii="Times New Roman" w:hAnsi="Times New Roman" w:cs="Times New Roman"/>
            <w:i w:val="0"/>
            <w:iCs w:val="0"/>
            <w:noProof/>
            <w:sz w:val="21"/>
            <w:szCs w:val="21"/>
          </w:rPr>
          <w:t>5.3.3 Leverage Ratio</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_Toc6614068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31</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69" w:history="1">
        <w:r w:rsidR="00D5175F" w:rsidRPr="00B3369E">
          <w:rPr>
            <w:rStyle w:val="Hyperlink"/>
            <w:rFonts w:ascii="Times New Roman" w:hAnsi="Times New Roman" w:cs="Times New Roman"/>
            <w:i w:val="0"/>
            <w:iCs w:val="0"/>
            <w:noProof/>
            <w:sz w:val="21"/>
            <w:szCs w:val="21"/>
            <w:shd w:val="clear" w:color="auto" w:fill="FFFFFF"/>
          </w:rPr>
          <w:t>5.3.4 Liquidity Standard</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_Toc6614069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31</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70" w:history="1">
        <w:r w:rsidR="00D5175F" w:rsidRPr="00B3369E">
          <w:rPr>
            <w:rStyle w:val="Hyperlink"/>
            <w:rFonts w:ascii="Times New Roman" w:hAnsi="Times New Roman" w:cs="Times New Roman"/>
            <w:i w:val="0"/>
            <w:iCs w:val="0"/>
            <w:noProof/>
            <w:sz w:val="21"/>
            <w:szCs w:val="21"/>
          </w:rPr>
          <w:t>5.3.5 Liquidity Coverage Ratio</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_Toc6614070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32</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71" w:history="1">
        <w:r w:rsidR="00D5175F" w:rsidRPr="00B3369E">
          <w:rPr>
            <w:rStyle w:val="Hyperlink"/>
            <w:rFonts w:ascii="Times New Roman" w:hAnsi="Times New Roman" w:cs="Times New Roman"/>
            <w:i w:val="0"/>
            <w:iCs w:val="0"/>
            <w:noProof/>
            <w:sz w:val="21"/>
            <w:szCs w:val="21"/>
            <w:shd w:val="clear" w:color="auto" w:fill="FFFFFF"/>
          </w:rPr>
          <w:t>5.3.6 Net Stable Funding Ratio</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_Toc6614071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32</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72" w:history="1">
        <w:r w:rsidR="00D5175F" w:rsidRPr="00B3369E">
          <w:rPr>
            <w:rStyle w:val="Hyperlink"/>
            <w:rFonts w:ascii="Times New Roman" w:hAnsi="Times New Roman" w:cs="Times New Roman"/>
            <w:noProof/>
            <w:sz w:val="21"/>
            <w:szCs w:val="21"/>
          </w:rPr>
          <w:t>5.4 Bangladesh Bank Capital Accord Basel III</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_Toc6614072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32</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73" w:history="1">
        <w:r w:rsidR="00D5175F" w:rsidRPr="00B3369E">
          <w:rPr>
            <w:rStyle w:val="Hyperlink"/>
            <w:rFonts w:ascii="Times New Roman" w:hAnsi="Times New Roman" w:cs="Times New Roman"/>
            <w:i w:val="0"/>
            <w:iCs w:val="0"/>
            <w:noProof/>
            <w:sz w:val="21"/>
            <w:szCs w:val="21"/>
          </w:rPr>
          <w:t>5.4.1 Capital Conservation Buffer:</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_Toc6614073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33</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74" w:history="1">
        <w:r w:rsidR="00D5175F" w:rsidRPr="00B3369E">
          <w:rPr>
            <w:rStyle w:val="Hyperlink"/>
            <w:rFonts w:ascii="Times New Roman" w:hAnsi="Times New Roman" w:cs="Times New Roman"/>
            <w:i w:val="0"/>
            <w:iCs w:val="0"/>
            <w:noProof/>
            <w:sz w:val="21"/>
            <w:szCs w:val="21"/>
          </w:rPr>
          <w:t>5.4.2 Transitional arrangements:</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_Toc6614074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34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1"/>
        <w:tabs>
          <w:tab w:val="right" w:leader="hyphen" w:pos="9017"/>
        </w:tabs>
        <w:spacing w:line="240" w:lineRule="auto"/>
        <w:jc w:val="both"/>
        <w:rPr>
          <w:rFonts w:ascii="Times New Roman" w:eastAsiaTheme="minorEastAsia" w:hAnsi="Times New Roman" w:cs="Times New Roman"/>
          <w:b w:val="0"/>
          <w:bCs w:val="0"/>
          <w:caps w:val="0"/>
          <w:noProof/>
          <w:sz w:val="21"/>
          <w:szCs w:val="21"/>
        </w:rPr>
      </w:pPr>
      <w:hyperlink w:anchor="_Toc6614075" w:history="1">
        <w:r w:rsidR="00D5175F" w:rsidRPr="00B3369E">
          <w:rPr>
            <w:rStyle w:val="Hyperlink"/>
            <w:rFonts w:ascii="Times New Roman" w:hAnsi="Times New Roman" w:cs="Times New Roman"/>
            <w:noProof/>
            <w:sz w:val="21"/>
            <w:szCs w:val="21"/>
          </w:rPr>
          <w:t>Chapter-6: DBBL Basel III Risk Based Capital Adequacy Ratio</w:t>
        </w:r>
        <w:r w:rsidR="00EF1D4F">
          <w:rPr>
            <w:rStyle w:val="Hyperlink"/>
            <w:rFonts w:ascii="Times New Roman" w:hAnsi="Times New Roman" w:cs="Times New Roman"/>
            <w:noProof/>
            <w:sz w:val="21"/>
            <w:szCs w:val="21"/>
          </w:rPr>
          <w:t>S</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_Toc6614075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35</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76" w:history="1">
        <w:r w:rsidR="00D5175F" w:rsidRPr="00B3369E">
          <w:rPr>
            <w:rStyle w:val="Hyperlink"/>
            <w:rFonts w:ascii="Times New Roman" w:hAnsi="Times New Roman" w:cs="Times New Roman"/>
            <w:noProof/>
            <w:sz w:val="21"/>
            <w:szCs w:val="21"/>
          </w:rPr>
          <w:t>6.1 Basel III (Risk Based Capital Adequacy Ratio for banks) Implementation in Dutch-Bangla Bank Limited</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_Toc6614076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35</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77" w:history="1">
        <w:r w:rsidR="00D5175F" w:rsidRPr="00B3369E">
          <w:rPr>
            <w:rStyle w:val="Hyperlink"/>
            <w:rFonts w:ascii="Times New Roman" w:hAnsi="Times New Roman" w:cs="Times New Roman"/>
            <w:noProof/>
            <w:sz w:val="21"/>
            <w:szCs w:val="21"/>
            <w:shd w:val="clear" w:color="auto" w:fill="FFFFFF"/>
          </w:rPr>
          <w:t>6.2 The comparative fixed of the controlling capital position Basel III is as follows 31 December 2017-2015 is as under:</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_Toc6614077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35</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78" w:history="1">
        <w:r w:rsidR="00D5175F" w:rsidRPr="00B3369E">
          <w:rPr>
            <w:rStyle w:val="Hyperlink"/>
            <w:rFonts w:ascii="Times New Roman" w:hAnsi="Times New Roman" w:cs="Times New Roman"/>
            <w:noProof/>
            <w:sz w:val="21"/>
            <w:szCs w:val="21"/>
          </w:rPr>
          <w:t>6.3 DBBL Risk Management System:</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_Toc6614078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44</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79" w:history="1">
        <w:r w:rsidR="00D5175F" w:rsidRPr="00B3369E">
          <w:rPr>
            <w:rStyle w:val="Hyperlink"/>
            <w:rFonts w:ascii="Times New Roman" w:hAnsi="Times New Roman" w:cs="Times New Roman"/>
            <w:i w:val="0"/>
            <w:iCs w:val="0"/>
            <w:noProof/>
            <w:sz w:val="21"/>
            <w:szCs w:val="21"/>
          </w:rPr>
          <w:t>6.3.1 Credit Risk:</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_Toc6614079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44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80" w:history="1">
        <w:r w:rsidR="00D5175F" w:rsidRPr="00B3369E">
          <w:rPr>
            <w:rStyle w:val="Hyperlink"/>
            <w:rFonts w:ascii="Times New Roman" w:hAnsi="Times New Roman" w:cs="Times New Roman"/>
            <w:i w:val="0"/>
            <w:iCs w:val="0"/>
            <w:noProof/>
            <w:sz w:val="21"/>
            <w:szCs w:val="21"/>
          </w:rPr>
          <w:t>6.3.2 Market Risk Management:</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_Toc6614080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44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3"/>
        <w:tabs>
          <w:tab w:val="right" w:leader="hyphen" w:pos="9017"/>
        </w:tabs>
        <w:spacing w:line="240" w:lineRule="auto"/>
        <w:jc w:val="both"/>
        <w:rPr>
          <w:rFonts w:ascii="Times New Roman" w:eastAsiaTheme="minorEastAsia" w:hAnsi="Times New Roman" w:cs="Times New Roman"/>
          <w:i w:val="0"/>
          <w:iCs w:val="0"/>
          <w:noProof/>
          <w:sz w:val="21"/>
          <w:szCs w:val="21"/>
        </w:rPr>
      </w:pPr>
      <w:hyperlink w:anchor="_Toc6614081" w:history="1">
        <w:r w:rsidR="00D5175F" w:rsidRPr="00B3369E">
          <w:rPr>
            <w:rStyle w:val="Hyperlink"/>
            <w:rFonts w:ascii="Times New Roman" w:hAnsi="Times New Roman" w:cs="Times New Roman"/>
            <w:i w:val="0"/>
            <w:iCs w:val="0"/>
            <w:noProof/>
            <w:sz w:val="21"/>
            <w:szCs w:val="21"/>
          </w:rPr>
          <w:t>6.3.3 Operation Risk Management:</w:t>
        </w:r>
        <w:r w:rsidR="00D5175F" w:rsidRPr="00B3369E">
          <w:rPr>
            <w:rFonts w:ascii="Times New Roman" w:hAnsi="Times New Roman" w:cs="Times New Roman"/>
            <w:i w:val="0"/>
            <w:iCs w:val="0"/>
            <w:noProof/>
            <w:webHidden/>
            <w:sz w:val="21"/>
            <w:szCs w:val="21"/>
          </w:rPr>
          <w:tab/>
        </w:r>
        <w:r w:rsidRPr="00B3369E">
          <w:rPr>
            <w:rFonts w:ascii="Times New Roman" w:hAnsi="Times New Roman" w:cs="Times New Roman"/>
            <w:i w:val="0"/>
            <w:iCs w:val="0"/>
            <w:noProof/>
            <w:webHidden/>
            <w:sz w:val="21"/>
            <w:szCs w:val="21"/>
          </w:rPr>
          <w:fldChar w:fldCharType="begin"/>
        </w:r>
        <w:r w:rsidR="00D5175F" w:rsidRPr="00B3369E">
          <w:rPr>
            <w:rFonts w:ascii="Times New Roman" w:hAnsi="Times New Roman" w:cs="Times New Roman"/>
            <w:i w:val="0"/>
            <w:iCs w:val="0"/>
            <w:noProof/>
            <w:webHidden/>
            <w:sz w:val="21"/>
            <w:szCs w:val="21"/>
          </w:rPr>
          <w:instrText xml:space="preserve"> PAGEREF _Toc6614081 \h </w:instrText>
        </w:r>
        <w:r w:rsidRPr="00B3369E">
          <w:rPr>
            <w:rFonts w:ascii="Times New Roman" w:hAnsi="Times New Roman" w:cs="Times New Roman"/>
            <w:i w:val="0"/>
            <w:iCs w:val="0"/>
            <w:noProof/>
            <w:webHidden/>
            <w:sz w:val="21"/>
            <w:szCs w:val="21"/>
          </w:rPr>
        </w:r>
        <w:r w:rsidRPr="00B3369E">
          <w:rPr>
            <w:rFonts w:ascii="Times New Roman" w:hAnsi="Times New Roman" w:cs="Times New Roman"/>
            <w:i w:val="0"/>
            <w:iCs w:val="0"/>
            <w:noProof/>
            <w:webHidden/>
            <w:sz w:val="21"/>
            <w:szCs w:val="21"/>
          </w:rPr>
          <w:fldChar w:fldCharType="separate"/>
        </w:r>
        <w:r w:rsidR="00D5175F" w:rsidRPr="00B3369E">
          <w:rPr>
            <w:rFonts w:ascii="Times New Roman" w:hAnsi="Times New Roman" w:cs="Times New Roman"/>
            <w:i w:val="0"/>
            <w:iCs w:val="0"/>
            <w:noProof/>
            <w:webHidden/>
            <w:sz w:val="21"/>
            <w:szCs w:val="21"/>
          </w:rPr>
          <w:t>44</w:t>
        </w:r>
        <w:r w:rsidRPr="00B3369E">
          <w:rPr>
            <w:rFonts w:ascii="Times New Roman" w:hAnsi="Times New Roman" w:cs="Times New Roman"/>
            <w:i w:val="0"/>
            <w:iCs w:val="0"/>
            <w:noProof/>
            <w:webHidden/>
            <w:sz w:val="21"/>
            <w:szCs w:val="21"/>
          </w:rPr>
          <w:fldChar w:fldCharType="end"/>
        </w:r>
      </w:hyperlink>
    </w:p>
    <w:p w:rsidR="00D5175F" w:rsidRPr="00B3369E" w:rsidRDefault="00276A72" w:rsidP="00D5175F">
      <w:pPr>
        <w:pStyle w:val="TOC1"/>
        <w:tabs>
          <w:tab w:val="right" w:leader="hyphen" w:pos="9017"/>
        </w:tabs>
        <w:spacing w:line="240" w:lineRule="auto"/>
        <w:jc w:val="both"/>
        <w:rPr>
          <w:rFonts w:ascii="Times New Roman" w:eastAsiaTheme="minorEastAsia" w:hAnsi="Times New Roman" w:cs="Times New Roman"/>
          <w:b w:val="0"/>
          <w:bCs w:val="0"/>
          <w:caps w:val="0"/>
          <w:noProof/>
          <w:sz w:val="21"/>
          <w:szCs w:val="21"/>
        </w:rPr>
      </w:pPr>
      <w:hyperlink w:anchor="_Toc6614082" w:history="1">
        <w:r w:rsidR="00D5175F" w:rsidRPr="00B3369E">
          <w:rPr>
            <w:rStyle w:val="Hyperlink"/>
            <w:rFonts w:ascii="Times New Roman" w:hAnsi="Times New Roman" w:cs="Times New Roman"/>
            <w:noProof/>
            <w:sz w:val="21"/>
            <w:szCs w:val="21"/>
          </w:rPr>
          <w:t>Chapter-7</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_Toc6614082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46</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83" w:history="1">
        <w:r w:rsidR="00D5175F" w:rsidRPr="00B3369E">
          <w:rPr>
            <w:rStyle w:val="Hyperlink"/>
            <w:rFonts w:ascii="Times New Roman" w:hAnsi="Times New Roman" w:cs="Times New Roman"/>
            <w:noProof/>
            <w:sz w:val="21"/>
            <w:szCs w:val="21"/>
          </w:rPr>
          <w:t>7.1 Finding to Recommendation</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_Toc6614083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46</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2"/>
        <w:tabs>
          <w:tab w:val="right" w:leader="hyphen" w:pos="9017"/>
        </w:tabs>
        <w:spacing w:line="240" w:lineRule="auto"/>
        <w:jc w:val="both"/>
        <w:rPr>
          <w:rFonts w:ascii="Times New Roman" w:eastAsiaTheme="minorEastAsia" w:hAnsi="Times New Roman" w:cs="Times New Roman"/>
          <w:smallCaps w:val="0"/>
          <w:noProof/>
          <w:sz w:val="21"/>
          <w:szCs w:val="21"/>
        </w:rPr>
      </w:pPr>
      <w:hyperlink w:anchor="_Toc6614084" w:history="1">
        <w:r w:rsidR="00D5175F" w:rsidRPr="00B3369E">
          <w:rPr>
            <w:rStyle w:val="Hyperlink"/>
            <w:rFonts w:ascii="Times New Roman" w:hAnsi="Times New Roman" w:cs="Times New Roman"/>
            <w:noProof/>
            <w:sz w:val="21"/>
            <w:szCs w:val="21"/>
          </w:rPr>
          <w:t>7.2 Conclusion</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_Toc6614084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46</w:t>
        </w:r>
        <w:r w:rsidRPr="00B3369E">
          <w:rPr>
            <w:rFonts w:ascii="Times New Roman" w:hAnsi="Times New Roman" w:cs="Times New Roman"/>
            <w:noProof/>
            <w:webHidden/>
            <w:sz w:val="21"/>
            <w:szCs w:val="21"/>
          </w:rPr>
          <w:fldChar w:fldCharType="end"/>
        </w:r>
      </w:hyperlink>
    </w:p>
    <w:p w:rsidR="00D5175F" w:rsidRPr="00B3369E" w:rsidRDefault="00276A72" w:rsidP="00D5175F">
      <w:pPr>
        <w:pStyle w:val="TOC1"/>
        <w:tabs>
          <w:tab w:val="right" w:leader="hyphen" w:pos="9017"/>
        </w:tabs>
        <w:spacing w:line="240" w:lineRule="auto"/>
        <w:jc w:val="both"/>
        <w:rPr>
          <w:rFonts w:ascii="Times New Roman" w:eastAsiaTheme="minorEastAsia" w:hAnsi="Times New Roman" w:cs="Times New Roman"/>
          <w:b w:val="0"/>
          <w:bCs w:val="0"/>
          <w:caps w:val="0"/>
          <w:noProof/>
          <w:sz w:val="21"/>
          <w:szCs w:val="21"/>
        </w:rPr>
      </w:pPr>
      <w:hyperlink w:anchor="_Toc6614085" w:history="1">
        <w:r w:rsidR="00D5175F" w:rsidRPr="00B3369E">
          <w:rPr>
            <w:rStyle w:val="Hyperlink"/>
            <w:rFonts w:ascii="Times New Roman" w:hAnsi="Times New Roman" w:cs="Times New Roman"/>
            <w:noProof/>
            <w:sz w:val="21"/>
            <w:szCs w:val="21"/>
          </w:rPr>
          <w:t>List of Reference</w:t>
        </w:r>
        <w:r w:rsidR="00D5175F" w:rsidRPr="00B3369E">
          <w:rPr>
            <w:rFonts w:ascii="Times New Roman" w:hAnsi="Times New Roman" w:cs="Times New Roman"/>
            <w:noProof/>
            <w:webHidden/>
            <w:sz w:val="21"/>
            <w:szCs w:val="21"/>
          </w:rPr>
          <w:tab/>
        </w:r>
        <w:r w:rsidRPr="00B3369E">
          <w:rPr>
            <w:rFonts w:ascii="Times New Roman" w:hAnsi="Times New Roman" w:cs="Times New Roman"/>
            <w:noProof/>
            <w:webHidden/>
            <w:sz w:val="21"/>
            <w:szCs w:val="21"/>
          </w:rPr>
          <w:fldChar w:fldCharType="begin"/>
        </w:r>
        <w:r w:rsidR="00D5175F" w:rsidRPr="00B3369E">
          <w:rPr>
            <w:rFonts w:ascii="Times New Roman" w:hAnsi="Times New Roman" w:cs="Times New Roman"/>
            <w:noProof/>
            <w:webHidden/>
            <w:sz w:val="21"/>
            <w:szCs w:val="21"/>
          </w:rPr>
          <w:instrText xml:space="preserve"> PAGEREF _Toc6614085 \h </w:instrText>
        </w:r>
        <w:r w:rsidRPr="00B3369E">
          <w:rPr>
            <w:rFonts w:ascii="Times New Roman" w:hAnsi="Times New Roman" w:cs="Times New Roman"/>
            <w:noProof/>
            <w:webHidden/>
            <w:sz w:val="21"/>
            <w:szCs w:val="21"/>
          </w:rPr>
        </w:r>
        <w:r w:rsidRPr="00B3369E">
          <w:rPr>
            <w:rFonts w:ascii="Times New Roman" w:hAnsi="Times New Roman" w:cs="Times New Roman"/>
            <w:noProof/>
            <w:webHidden/>
            <w:sz w:val="21"/>
            <w:szCs w:val="21"/>
          </w:rPr>
          <w:fldChar w:fldCharType="separate"/>
        </w:r>
        <w:r w:rsidR="00D5175F" w:rsidRPr="00B3369E">
          <w:rPr>
            <w:rFonts w:ascii="Times New Roman" w:hAnsi="Times New Roman" w:cs="Times New Roman"/>
            <w:noProof/>
            <w:webHidden/>
            <w:sz w:val="21"/>
            <w:szCs w:val="21"/>
          </w:rPr>
          <w:t>47</w:t>
        </w:r>
        <w:r w:rsidRPr="00B3369E">
          <w:rPr>
            <w:rFonts w:ascii="Times New Roman" w:hAnsi="Times New Roman" w:cs="Times New Roman"/>
            <w:noProof/>
            <w:webHidden/>
            <w:sz w:val="21"/>
            <w:szCs w:val="21"/>
          </w:rPr>
          <w:fldChar w:fldCharType="end"/>
        </w:r>
      </w:hyperlink>
    </w:p>
    <w:p w:rsidR="00D5175F" w:rsidRPr="00B3369E" w:rsidRDefault="00276A72" w:rsidP="00D5175F">
      <w:pPr>
        <w:spacing w:line="240" w:lineRule="auto"/>
        <w:jc w:val="both"/>
        <w:rPr>
          <w:rFonts w:ascii="Times New Roman" w:hAnsi="Times New Roman" w:cs="Times New Roman"/>
          <w:sz w:val="21"/>
          <w:szCs w:val="21"/>
        </w:rPr>
      </w:pPr>
      <w:r w:rsidRPr="00B3369E">
        <w:rPr>
          <w:rFonts w:ascii="Times New Roman" w:hAnsi="Times New Roman" w:cs="Times New Roman"/>
          <w:sz w:val="21"/>
          <w:szCs w:val="21"/>
        </w:rPr>
        <w:fldChar w:fldCharType="end"/>
      </w:r>
    </w:p>
    <w:p w:rsidR="00D5175F" w:rsidRPr="00B3369E" w:rsidRDefault="00D5175F" w:rsidP="00D5175F">
      <w:pPr>
        <w:spacing w:after="100" w:afterAutospacing="1"/>
        <w:jc w:val="center"/>
        <w:rPr>
          <w:rFonts w:ascii="Times New Roman" w:hAnsi="Times New Roman" w:cs="Times New Roman"/>
          <w:b/>
          <w:bCs/>
          <w:sz w:val="36"/>
          <w:szCs w:val="36"/>
        </w:rPr>
      </w:pPr>
      <w:r w:rsidRPr="00B3369E">
        <w:rPr>
          <w:rFonts w:ascii="Times New Roman" w:hAnsi="Times New Roman" w:cs="Times New Roman"/>
          <w:b/>
          <w:bCs/>
          <w:sz w:val="36"/>
          <w:szCs w:val="36"/>
        </w:rPr>
        <w:t>Executive Summary</w:t>
      </w: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This internship report is based on the successful 3 month internship program successfully completed by the Dutch-Bangla Bank Limited (DBBL) under the General Banking, Foreign Exchange Division from 12 November, 2018 to 05 February, 2015. One of the requirements is the BBA program of United International University.</w:t>
      </w: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My faculty advisor helped me to choose the topic “</w:t>
      </w:r>
      <w:r w:rsidRPr="00B3369E">
        <w:rPr>
          <w:rFonts w:ascii="Times New Roman" w:hAnsi="Times New Roman" w:cs="Times New Roman"/>
          <w:b/>
          <w:bCs/>
          <w:sz w:val="24"/>
          <w:szCs w:val="24"/>
        </w:rPr>
        <w:t>Implementation of Basel III Accords in Dutch-Bangla Bank Limited: Risk Based Capital Adequacy</w:t>
      </w:r>
      <w:r w:rsidR="00B27DAA">
        <w:rPr>
          <w:rFonts w:ascii="Times New Roman" w:hAnsi="Times New Roman" w:cs="Times New Roman"/>
          <w:b/>
          <w:bCs/>
          <w:sz w:val="24"/>
          <w:szCs w:val="24"/>
        </w:rPr>
        <w:t xml:space="preserve"> Ratios</w:t>
      </w:r>
      <w:r w:rsidRPr="00B3369E">
        <w:rPr>
          <w:rFonts w:ascii="Times New Roman" w:hAnsi="Times New Roman" w:cs="Times New Roman"/>
          <w:b/>
          <w:bCs/>
          <w:sz w:val="24"/>
          <w:szCs w:val="24"/>
        </w:rPr>
        <w:t xml:space="preserve"> Requirement of Bangladesh Bank”. </w:t>
      </w:r>
      <w:r w:rsidRPr="00B3369E">
        <w:rPr>
          <w:rFonts w:ascii="Times New Roman" w:hAnsi="Times New Roman" w:cs="Times New Roman"/>
          <w:color w:val="212121"/>
          <w:sz w:val="24"/>
          <w:szCs w:val="24"/>
        </w:rPr>
        <w:t>It was complex for me, but very internationally important for the bank. It was the most attracted as the value of acquiring knowledge.</w:t>
      </w: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The Bangladesh Bank (BB) is the managing body of all commercial banks in this country. To be consistent with international standards for controlling the banking industry (Basel Accord), BB and Basel III are related to the risk-based capital equity guidelines. All banks will have to follow these guidelines from 1st January 2015 and the statements will be implemented. The guidelines are formed in aspects: Minimum Common Equity Tier 1, Capital Conservation Buffer, Minimum Tier 1 Capital Ratio, Total Risk-weighted Asset, Leverage Ratio, Liquidity Coverage Ratio, and Net Stable Funding Ratio. In order to improve the efficiency of banking sector to absorb the shocks arising from financial and economic pressure, </w:t>
      </w:r>
      <w:r w:rsidRPr="00B3369E">
        <w:rPr>
          <w:rFonts w:ascii="Times New Roman" w:hAnsi="Times New Roman" w:cs="Times New Roman"/>
          <w:color w:val="212121"/>
          <w:sz w:val="24"/>
          <w:szCs w:val="24"/>
          <w:shd w:val="clear" w:color="auto" w:fill="FFFFFF"/>
        </w:rPr>
        <w:t xml:space="preserve">grow standards and capital levels by being able to absorb both the losses on the basis of concerns of an ongoing concern and anxiety, </w:t>
      </w:r>
      <w:r w:rsidRPr="00B3369E">
        <w:rPr>
          <w:rFonts w:ascii="Times New Roman" w:hAnsi="Times New Roman" w:cs="Times New Roman"/>
          <w:color w:val="212121"/>
          <w:sz w:val="24"/>
          <w:szCs w:val="24"/>
        </w:rPr>
        <w:t>Risk coverage increase in capital structure.</w:t>
      </w: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Since 2014 Bangladesh Bank, the original Basel III regime forces itself to fund the 4.5% of the risk-weighted assets of the general bank. Since 2015, the lowest common equity level 1 (CE1) ratio of 4.5% must always be maintained by the bank. Basel III to compulsory "Capital Conservation buffer" equivalent to 2.5% of risk-weighted assets. Considering 4.5% CET 1 capital ratio, banks should keep the capital ratio of 2017 to 7% CET1. Minor CRAR, besides </w:t>
      </w:r>
      <w:r w:rsidR="00B27DAA">
        <w:rPr>
          <w:rFonts w:ascii="Times New Roman" w:hAnsi="Times New Roman" w:cs="Times New Roman"/>
          <w:color w:val="212121"/>
          <w:sz w:val="24"/>
          <w:szCs w:val="24"/>
        </w:rPr>
        <w:t xml:space="preserve">capital, Reserve buffer (CCB) </w:t>
      </w:r>
      <w:r w:rsidRPr="00B3369E">
        <w:rPr>
          <w:rFonts w:ascii="Times New Roman" w:hAnsi="Times New Roman" w:cs="Times New Roman"/>
          <w:color w:val="212121"/>
          <w:sz w:val="24"/>
          <w:szCs w:val="24"/>
        </w:rPr>
        <w:t xml:space="preserve">@ 2.50% should be maintained as CET1 Basel III has a "counter-cyclical buffer" that allows 2.5% of the additional capital to increase the high credit growth of national regulators. This buffer level is between 0% and 2.5% of RWA and it must be filled with CET1 capital. Basel III will leverage ratio increase 3%, Liquidity Coverage Ratio bank core asset 30 days convert can be that positing want to 100% and Net Stable Funding Ratio </w:t>
      </w:r>
      <w:r w:rsidRPr="00B3369E">
        <w:rPr>
          <w:rFonts w:ascii="Times New Roman" w:hAnsi="Times New Roman" w:cs="Times New Roman"/>
          <w:color w:val="212121"/>
          <w:sz w:val="24"/>
          <w:szCs w:val="24"/>
          <w:shd w:val="clear" w:color="auto" w:fill="FFFFFF"/>
        </w:rPr>
        <w:t>liquidity requirement from the minimum amount of funds of the bank's funds related to the liquidity profiles of the asset as well as the balance sheet commitment</w:t>
      </w:r>
      <w:r w:rsidRPr="00B3369E">
        <w:rPr>
          <w:rFonts w:ascii="Times New Roman" w:hAnsi="Times New Roman" w:cs="Times New Roman"/>
          <w:color w:val="212121"/>
          <w:sz w:val="24"/>
          <w:szCs w:val="24"/>
        </w:rPr>
        <w:t xml:space="preserve"> want to 100%.</w:t>
      </w:r>
    </w:p>
    <w:p w:rsidR="00D5175F" w:rsidRPr="00B3369E" w:rsidRDefault="00D5175F" w:rsidP="00D5175F">
      <w:pPr>
        <w:pStyle w:val="HTMLPreformatted"/>
        <w:shd w:val="clear" w:color="auto" w:fill="FFFFFF"/>
        <w:spacing w:line="276" w:lineRule="auto"/>
        <w:jc w:val="both"/>
        <w:rPr>
          <w:rFonts w:ascii="Times New Roman" w:hAnsi="Times New Roman" w:cs="Times New Roman"/>
          <w:sz w:val="24"/>
          <w:szCs w:val="24"/>
        </w:rPr>
      </w:pPr>
    </w:p>
    <w:p w:rsidR="00D5175F" w:rsidRPr="00B3369E" w:rsidRDefault="00D5175F" w:rsidP="00D5175F">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Capital planning is considered as an important part of the bank's risks. One pressure test is one of the measurements of technique of possible damage assessment or strategy. It's just a kind of evolution. Some of the financial situations of the bank are given adverse "shock" and are likely to be practiced in the worst case scenario. Bangladesh Bank provides a reporting format for all the banks under which the work is done.  Banks must comply with regulatory rules; Otherwise, BB can impose punishment and penalty according to the Bank Company Act of 1991.</w:t>
      </w: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Dutch-Bangla Bank Limited (Bank) is a scheduled commercial bank. Bank, DBBL, a joint venture between the local Bangladeshi groups, commercial banks Dutch-Bangla Bank Limited is an automatic banking system, the first and only local bank in Bangladesh. DBBL follow to Bangladesh Bank Risk Based guidelines at time 2015. DBBL have all major of Basel III requirements in 2015. DBBL is smoothly implementing Basel III. DBBL have net common equity Tier 1 (CET1) 2017 16.5 billion taka BB through ratio 5.5% and DBBL requirement 9.2%. Total Tier 1 risk-weighted asset BB have given 5.5% and DBBL requirement 2017 9.2%. DBBL there have total risk-weighted asset 18billion taka to ratio 15.5% and BB bank requirement given 11.25% in 2017. So there is a surplus of DBBL its capital is covered by the majority of the paid-up capital of CET 1 and Tier 1 capital which is of high quality and Main part.</w:t>
      </w: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III determined all Bangladesh Bank has been accepted by the encouragement by all scheduled banks. Some Bangladeshi Bank has Capital to Risk Weighted Asset Ratios in January 2015. Although our country has fewer banks International Market Exposure, Basel III will be the international guide protects them towards any unexpected economic condition of huge and abroad.</w:t>
      </w: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pStyle w:val="HTMLPreformatted"/>
        <w:shd w:val="clear" w:color="auto" w:fill="FFFFFF"/>
        <w:spacing w:line="276" w:lineRule="auto"/>
        <w:jc w:val="both"/>
        <w:rPr>
          <w:rFonts w:ascii="Times New Roman" w:hAnsi="Times New Roman" w:cs="Times New Roman"/>
          <w:color w:val="212121"/>
          <w:sz w:val="24"/>
          <w:szCs w:val="24"/>
        </w:rPr>
      </w:pPr>
    </w:p>
    <w:p w:rsidR="00D5175F" w:rsidRPr="00B3369E" w:rsidRDefault="00D5175F" w:rsidP="00D5175F">
      <w:pPr>
        <w:spacing w:after="100" w:afterAutospacing="1"/>
        <w:jc w:val="both"/>
        <w:rPr>
          <w:rFonts w:ascii="Times New Roman" w:hAnsi="Times New Roman" w:cs="Times New Roman"/>
          <w:sz w:val="24"/>
          <w:szCs w:val="24"/>
        </w:rPr>
      </w:pPr>
    </w:p>
    <w:p w:rsidR="00D5175F" w:rsidRPr="00B3369E" w:rsidRDefault="00D5175F" w:rsidP="007D3986">
      <w:pPr>
        <w:spacing w:after="100" w:afterAutospacing="1"/>
        <w:jc w:val="both"/>
        <w:rPr>
          <w:rFonts w:ascii="Times New Roman" w:hAnsi="Times New Roman" w:cs="Times New Roman"/>
          <w:b/>
          <w:bCs/>
          <w:sz w:val="21"/>
          <w:szCs w:val="21"/>
        </w:rPr>
      </w:pPr>
    </w:p>
    <w:p w:rsidR="00D5175F" w:rsidRPr="00B3369E" w:rsidRDefault="00D5175F" w:rsidP="007D3986">
      <w:pPr>
        <w:spacing w:after="100" w:afterAutospacing="1"/>
        <w:jc w:val="both"/>
        <w:rPr>
          <w:rFonts w:ascii="Times New Roman" w:hAnsi="Times New Roman" w:cs="Times New Roman"/>
          <w:b/>
          <w:bCs/>
          <w:sz w:val="21"/>
          <w:szCs w:val="21"/>
        </w:rPr>
      </w:pPr>
    </w:p>
    <w:p w:rsidR="00D5175F" w:rsidRPr="00B3369E" w:rsidRDefault="00D5175F" w:rsidP="007D3986">
      <w:pPr>
        <w:spacing w:after="100" w:afterAutospacing="1"/>
        <w:jc w:val="both"/>
        <w:rPr>
          <w:rFonts w:ascii="Times New Roman" w:hAnsi="Times New Roman" w:cs="Times New Roman"/>
          <w:b/>
          <w:bCs/>
          <w:sz w:val="21"/>
          <w:szCs w:val="21"/>
        </w:rPr>
      </w:pPr>
    </w:p>
    <w:p w:rsidR="00D5175F" w:rsidRPr="00B3369E" w:rsidRDefault="00D5175F" w:rsidP="007D3986">
      <w:pPr>
        <w:spacing w:after="100" w:afterAutospacing="1"/>
        <w:jc w:val="both"/>
        <w:rPr>
          <w:rFonts w:ascii="Times New Roman" w:hAnsi="Times New Roman" w:cs="Times New Roman"/>
          <w:b/>
          <w:bCs/>
          <w:sz w:val="21"/>
          <w:szCs w:val="21"/>
        </w:rPr>
      </w:pPr>
    </w:p>
    <w:p w:rsidR="00D5175F" w:rsidRPr="00B3369E" w:rsidRDefault="00D5175F" w:rsidP="007D3986">
      <w:pPr>
        <w:spacing w:after="100" w:afterAutospacing="1"/>
        <w:jc w:val="both"/>
        <w:rPr>
          <w:rFonts w:ascii="Times New Roman" w:hAnsi="Times New Roman" w:cs="Times New Roman"/>
          <w:b/>
          <w:bCs/>
          <w:sz w:val="21"/>
          <w:szCs w:val="21"/>
        </w:rPr>
      </w:pPr>
    </w:p>
    <w:p w:rsidR="00D5175F" w:rsidRPr="00B3369E" w:rsidRDefault="00D5175F" w:rsidP="007D3986">
      <w:pPr>
        <w:spacing w:after="100" w:afterAutospacing="1"/>
        <w:jc w:val="both"/>
        <w:rPr>
          <w:rFonts w:ascii="Times New Roman" w:hAnsi="Times New Roman" w:cs="Times New Roman"/>
          <w:b/>
          <w:bCs/>
          <w:sz w:val="21"/>
          <w:szCs w:val="21"/>
        </w:rPr>
      </w:pPr>
    </w:p>
    <w:p w:rsidR="00D5175F" w:rsidRPr="00B3369E" w:rsidRDefault="00D5175F" w:rsidP="00D5175F">
      <w:pPr>
        <w:spacing w:after="100" w:afterAutospacing="1"/>
        <w:jc w:val="center"/>
        <w:rPr>
          <w:rFonts w:ascii="Times New Roman" w:hAnsi="Times New Roman" w:cs="Times New Roman"/>
          <w:b/>
          <w:bCs/>
          <w:sz w:val="36"/>
          <w:szCs w:val="36"/>
        </w:rPr>
      </w:pPr>
      <w:r w:rsidRPr="00B3369E">
        <w:rPr>
          <w:rFonts w:ascii="Times New Roman" w:hAnsi="Times New Roman" w:cs="Times New Roman"/>
          <w:b/>
          <w:bCs/>
          <w:sz w:val="36"/>
          <w:szCs w:val="36"/>
        </w:rPr>
        <w:t>List of Acronyms</w:t>
      </w:r>
    </w:p>
    <w:tbl>
      <w:tblPr>
        <w:tblStyle w:val="TableGrid"/>
        <w:tblW w:w="5000" w:type="pct"/>
        <w:jc w:val="center"/>
        <w:tblLook w:val="04A0"/>
      </w:tblPr>
      <w:tblGrid>
        <w:gridCol w:w="4069"/>
        <w:gridCol w:w="5174"/>
      </w:tblGrid>
      <w:tr w:rsidR="00D5175F" w:rsidRPr="00B3369E" w:rsidTr="004838D2">
        <w:trPr>
          <w:jc w:val="center"/>
        </w:trPr>
        <w:tc>
          <w:tcPr>
            <w:tcW w:w="2201" w:type="pct"/>
          </w:tcPr>
          <w:p w:rsidR="00D5175F" w:rsidRPr="00B3369E" w:rsidRDefault="00D5175F" w:rsidP="004838D2">
            <w:pPr>
              <w:spacing w:after="100" w:afterAutospacing="1"/>
              <w:jc w:val="center"/>
              <w:rPr>
                <w:rFonts w:ascii="Times New Roman" w:hAnsi="Times New Roman" w:cs="Times New Roman"/>
                <w:b/>
                <w:bCs/>
                <w:sz w:val="24"/>
                <w:szCs w:val="24"/>
              </w:rPr>
            </w:pPr>
            <w:r w:rsidRPr="00B3369E">
              <w:rPr>
                <w:rFonts w:ascii="Times New Roman" w:hAnsi="Times New Roman" w:cs="Times New Roman"/>
                <w:b/>
                <w:bCs/>
                <w:sz w:val="24"/>
                <w:szCs w:val="24"/>
              </w:rPr>
              <w:t>Abbreviation</w:t>
            </w:r>
          </w:p>
        </w:tc>
        <w:tc>
          <w:tcPr>
            <w:tcW w:w="2799" w:type="pct"/>
          </w:tcPr>
          <w:p w:rsidR="00D5175F" w:rsidRPr="00B3369E" w:rsidRDefault="00D5175F" w:rsidP="004838D2">
            <w:pPr>
              <w:spacing w:after="100" w:afterAutospacing="1"/>
              <w:jc w:val="center"/>
              <w:rPr>
                <w:rFonts w:ascii="Times New Roman" w:hAnsi="Times New Roman" w:cs="Times New Roman"/>
                <w:b/>
                <w:bCs/>
                <w:sz w:val="24"/>
                <w:szCs w:val="24"/>
              </w:rPr>
            </w:pPr>
            <w:r w:rsidRPr="00B3369E">
              <w:rPr>
                <w:rFonts w:ascii="Times New Roman" w:hAnsi="Times New Roman" w:cs="Times New Roman"/>
                <w:b/>
                <w:bCs/>
                <w:sz w:val="24"/>
                <w:szCs w:val="24"/>
              </w:rPr>
              <w:t>Full Meaning</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DBBL</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Dutch-Bangla Bank Limited</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BB</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Bangladesh Bank</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CET 1</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Common Equity Tier 1</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CRAR</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Capital to Risk-Weighted Asset</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LCR</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Liquidity Coverage Ratio</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NSFR</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Net Stable Funding Ratio</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LR</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Leverage Ratio</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T1</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Tier 1</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CAR</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Capital Adequacy Ratio</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MCR</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Minimum Capital Requirement</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DCFL</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Department Control Function List</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QOR</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Quarterly Operation Report</w:t>
            </w:r>
          </w:p>
        </w:tc>
      </w:tr>
      <w:tr w:rsidR="00D5175F" w:rsidRPr="00B3369E" w:rsidTr="004838D2">
        <w:trPr>
          <w:jc w:val="center"/>
        </w:trPr>
        <w:tc>
          <w:tcPr>
            <w:tcW w:w="2201"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CAMLCO</w:t>
            </w:r>
          </w:p>
        </w:tc>
        <w:tc>
          <w:tcPr>
            <w:tcW w:w="2799" w:type="pct"/>
            <w:vAlign w:val="center"/>
          </w:tcPr>
          <w:p w:rsidR="00D5175F" w:rsidRPr="00B3369E" w:rsidRDefault="00D5175F" w:rsidP="004838D2">
            <w:pPr>
              <w:spacing w:after="100" w:afterAutospacing="1" w:line="276" w:lineRule="auto"/>
              <w:rPr>
                <w:rFonts w:ascii="Times New Roman" w:hAnsi="Times New Roman" w:cs="Times New Roman"/>
                <w:sz w:val="24"/>
                <w:szCs w:val="24"/>
              </w:rPr>
            </w:pPr>
            <w:r w:rsidRPr="00B3369E">
              <w:rPr>
                <w:rFonts w:ascii="Times New Roman" w:hAnsi="Times New Roman" w:cs="Times New Roman"/>
                <w:sz w:val="24"/>
                <w:szCs w:val="24"/>
              </w:rPr>
              <w:t>Chief Anti Money Laundering Compliance Officer</w:t>
            </w:r>
          </w:p>
        </w:tc>
      </w:tr>
    </w:tbl>
    <w:p w:rsidR="00D5175F" w:rsidRPr="00B3369E" w:rsidRDefault="00D5175F" w:rsidP="00D5175F">
      <w:pPr>
        <w:spacing w:after="100" w:afterAutospacing="1"/>
        <w:jc w:val="center"/>
        <w:rPr>
          <w:rFonts w:ascii="Times New Roman" w:hAnsi="Times New Roman" w:cs="Times New Roman"/>
          <w:b/>
          <w:bCs/>
          <w:sz w:val="36"/>
          <w:szCs w:val="36"/>
        </w:rPr>
      </w:pPr>
    </w:p>
    <w:p w:rsidR="00D5175F" w:rsidRPr="00B3369E" w:rsidRDefault="00D5175F"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7D3986">
      <w:pPr>
        <w:spacing w:after="100" w:afterAutospacing="1"/>
        <w:jc w:val="both"/>
        <w:rPr>
          <w:rFonts w:ascii="Times New Roman" w:hAnsi="Times New Roman" w:cs="Times New Roman"/>
          <w:b/>
          <w:bCs/>
          <w:sz w:val="21"/>
          <w:szCs w:val="21"/>
        </w:rPr>
      </w:pPr>
    </w:p>
    <w:p w:rsidR="00A04A59" w:rsidRPr="00B3369E" w:rsidRDefault="00A04A59" w:rsidP="00A04A59">
      <w:pPr>
        <w:pStyle w:val="Heading1"/>
        <w:jc w:val="center"/>
        <w:rPr>
          <w:rFonts w:ascii="Times New Roman" w:hAnsi="Times New Roman" w:cs="Times New Roman"/>
          <w:color w:val="002060"/>
          <w:sz w:val="36"/>
          <w:szCs w:val="36"/>
        </w:rPr>
      </w:pPr>
      <w:r w:rsidRPr="00B3369E">
        <w:rPr>
          <w:rFonts w:ascii="Times New Roman" w:hAnsi="Times New Roman" w:cs="Times New Roman"/>
          <w:color w:val="002060"/>
          <w:sz w:val="36"/>
          <w:szCs w:val="36"/>
        </w:rPr>
        <w:t>List of Tables</w:t>
      </w:r>
    </w:p>
    <w:p w:rsidR="00A04A59" w:rsidRPr="00B3369E" w:rsidRDefault="00A04A59" w:rsidP="00A04A59">
      <w:pPr>
        <w:rPr>
          <w:rFonts w:ascii="Times New Roman" w:hAnsi="Times New Roman" w:cs="Times New Roman"/>
        </w:rPr>
      </w:pPr>
    </w:p>
    <w:p w:rsidR="00A04A59" w:rsidRPr="00B3369E" w:rsidRDefault="00276A72" w:rsidP="00A04A59">
      <w:pPr>
        <w:pStyle w:val="TableofFigures"/>
        <w:tabs>
          <w:tab w:val="right" w:leader="dot" w:pos="9017"/>
        </w:tabs>
        <w:rPr>
          <w:rFonts w:ascii="Times New Roman" w:eastAsiaTheme="minorEastAsia" w:hAnsi="Times New Roman" w:cs="Times New Roman"/>
          <w:noProof/>
        </w:rPr>
      </w:pPr>
      <w:r w:rsidRPr="00B3369E">
        <w:rPr>
          <w:rFonts w:ascii="Times New Roman" w:hAnsi="Times New Roman" w:cs="Times New Roman"/>
        </w:rPr>
        <w:fldChar w:fldCharType="begin"/>
      </w:r>
      <w:r w:rsidR="00A04A59" w:rsidRPr="00B3369E">
        <w:rPr>
          <w:rFonts w:ascii="Times New Roman" w:hAnsi="Times New Roman" w:cs="Times New Roman"/>
        </w:rPr>
        <w:instrText xml:space="preserve"> TOC \h \z \t "Tables" \c "Table" </w:instrText>
      </w:r>
      <w:r w:rsidRPr="00B3369E">
        <w:rPr>
          <w:rFonts w:ascii="Times New Roman" w:hAnsi="Times New Roman" w:cs="Times New Roman"/>
        </w:rPr>
        <w:fldChar w:fldCharType="separate"/>
      </w:r>
      <w:hyperlink w:anchor="_Toc6620241" w:history="1">
        <w:r w:rsidR="00A04A59" w:rsidRPr="00B3369E">
          <w:rPr>
            <w:rStyle w:val="Hyperlink"/>
            <w:rFonts w:ascii="Times New Roman" w:hAnsi="Times New Roman" w:cs="Times New Roman"/>
            <w:noProof/>
          </w:rPr>
          <w:t>Table 3: 1 Dutch-Bangla Bank Board of Directors Name</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_Toc6620241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7</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42" w:history="1">
        <w:r w:rsidR="00A04A59" w:rsidRPr="00B3369E">
          <w:rPr>
            <w:rStyle w:val="Hyperlink"/>
            <w:rFonts w:ascii="Times New Roman" w:hAnsi="Times New Roman" w:cs="Times New Roman"/>
            <w:noProof/>
          </w:rPr>
          <w:t>Table 3: 2 DBBL Product List</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_Toc6620242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11</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44" w:history="1">
        <w:r w:rsidR="00A04A59" w:rsidRPr="00B3369E">
          <w:rPr>
            <w:rStyle w:val="Hyperlink"/>
            <w:rFonts w:ascii="Times New Roman" w:hAnsi="Times New Roman" w:cs="Times New Roman"/>
            <w:noProof/>
          </w:rPr>
          <w:t>Table 3: 3 DBBL All Shareholder List (2014-2017)</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_Toc6620244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14</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45" w:history="1">
        <w:r w:rsidR="00A04A59" w:rsidRPr="00B3369E">
          <w:rPr>
            <w:rStyle w:val="Hyperlink"/>
            <w:rFonts w:ascii="Times New Roman" w:hAnsi="Times New Roman" w:cs="Times New Roman"/>
            <w:noProof/>
          </w:rPr>
          <w:t>Table 3: 4 Total shareholders’ equity</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_Toc6620245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15</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46" w:history="1">
        <w:r w:rsidR="00A04A59" w:rsidRPr="00B3369E">
          <w:rPr>
            <w:rStyle w:val="Hyperlink"/>
            <w:rFonts w:ascii="Times New Roman" w:hAnsi="Times New Roman" w:cs="Times New Roman"/>
            <w:noProof/>
          </w:rPr>
          <w:t>Table 3: 5 Shareholders holding ten percent more shares</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_Toc6620246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15</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47" w:history="1">
        <w:r w:rsidR="00A04A59" w:rsidRPr="00B3369E">
          <w:rPr>
            <w:rStyle w:val="Hyperlink"/>
            <w:rFonts w:ascii="Times New Roman" w:hAnsi="Times New Roman" w:cs="Times New Roman"/>
            <w:noProof/>
          </w:rPr>
          <w:t>Table 3: 6 Result of Operation</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_Toc6620247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15</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48" w:history="1">
        <w:r w:rsidR="00A04A59" w:rsidRPr="00B3369E">
          <w:rPr>
            <w:rStyle w:val="Hyperlink"/>
            <w:rFonts w:ascii="Times New Roman" w:hAnsi="Times New Roman" w:cs="Times New Roman"/>
            <w:noProof/>
          </w:rPr>
          <w:t>Table 3: 7 Financial Positions</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_Toc6620248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15</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49" w:history="1">
        <w:r w:rsidR="00A04A59" w:rsidRPr="00B3369E">
          <w:rPr>
            <w:rStyle w:val="Hyperlink"/>
            <w:rFonts w:ascii="Times New Roman" w:hAnsi="Times New Roman" w:cs="Times New Roman"/>
            <w:noProof/>
          </w:rPr>
          <w:t>Table 3: 8 Four Years Highlights of DBBL Shares</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_Toc6620249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16</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50" w:history="1">
        <w:r w:rsidR="00A04A59" w:rsidRPr="00B3369E">
          <w:rPr>
            <w:rStyle w:val="Hyperlink"/>
            <w:rFonts w:ascii="Times New Roman" w:hAnsi="Times New Roman" w:cs="Times New Roman"/>
            <w:noProof/>
          </w:rPr>
          <w:t>Table 3: 9 financial ratios (In Percentage)</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_Toc6620250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16</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51" w:history="1">
        <w:r w:rsidR="00A04A59" w:rsidRPr="00B3369E">
          <w:rPr>
            <w:rStyle w:val="Hyperlink"/>
            <w:rFonts w:ascii="Times New Roman" w:hAnsi="Times New Roman" w:cs="Times New Roman"/>
            <w:noProof/>
          </w:rPr>
          <w:t>Table 3: 10 operating performance (income statement)</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_Toc6620251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17</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52" w:history="1">
        <w:r w:rsidR="00A04A59" w:rsidRPr="00B3369E">
          <w:rPr>
            <w:rStyle w:val="Hyperlink"/>
            <w:rFonts w:ascii="Times New Roman" w:hAnsi="Times New Roman" w:cs="Times New Roman"/>
            <w:noProof/>
          </w:rPr>
          <w:t>Table 3: 11 Statement of financial position Balance Sheet, Trade Finance and Asset Quality</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_Toc6620252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17</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53" w:history="1">
        <w:r w:rsidR="00A04A59" w:rsidRPr="00B3369E">
          <w:rPr>
            <w:rStyle w:val="Hyperlink"/>
            <w:rFonts w:ascii="Times New Roman" w:hAnsi="Times New Roman" w:cs="Times New Roman"/>
            <w:noProof/>
          </w:rPr>
          <w:t>Table 3: 12 Capital measurement</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_Toc6620253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17</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54" w:history="1">
        <w:r w:rsidR="00A04A59" w:rsidRPr="00B3369E">
          <w:rPr>
            <w:rStyle w:val="Hyperlink"/>
            <w:rFonts w:ascii="Times New Roman" w:hAnsi="Times New Roman" w:cs="Times New Roman"/>
            <w:noProof/>
          </w:rPr>
          <w:t>Table 3: 13 Financial Ratios (In Percentage)</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_Toc6620254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17</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55" w:history="1">
        <w:r w:rsidR="00A04A59" w:rsidRPr="00B3369E">
          <w:rPr>
            <w:rStyle w:val="Hyperlink"/>
            <w:rFonts w:ascii="Times New Roman" w:hAnsi="Times New Roman" w:cs="Times New Roman"/>
            <w:noProof/>
          </w:rPr>
          <w:t>Table 3: 14 Other Information</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_Toc6620255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18</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56" w:history="1">
        <w:r w:rsidR="00A04A59" w:rsidRPr="00B3369E">
          <w:rPr>
            <w:rStyle w:val="Hyperlink"/>
            <w:rFonts w:ascii="Times New Roman" w:hAnsi="Times New Roman" w:cs="Times New Roman"/>
            <w:noProof/>
          </w:rPr>
          <w:t>Table 4: 1 Chairmen of the Basel Committee:</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_Toc6620256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20</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57" w:history="1">
        <w:r w:rsidR="00A04A59" w:rsidRPr="00B3369E">
          <w:rPr>
            <w:rStyle w:val="Hyperlink"/>
            <w:rFonts w:ascii="Times New Roman" w:hAnsi="Times New Roman" w:cs="Times New Roman"/>
            <w:noProof/>
          </w:rPr>
          <w:t>Table 4: 2 On-Balance Sheet Risk</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_Toc6620257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21</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58" w:history="1">
        <w:r w:rsidR="00A04A59" w:rsidRPr="00B3369E">
          <w:rPr>
            <w:rStyle w:val="Hyperlink"/>
            <w:rFonts w:ascii="Times New Roman" w:hAnsi="Times New Roman" w:cs="Times New Roman"/>
            <w:noProof/>
          </w:rPr>
          <w:t>Table 4: 3 Various RWA on Balance Sheet</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_Toc6620258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22</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59" w:history="1">
        <w:r w:rsidR="00A04A59" w:rsidRPr="00B3369E">
          <w:rPr>
            <w:rStyle w:val="Hyperlink"/>
            <w:rFonts w:ascii="Times New Roman" w:hAnsi="Times New Roman" w:cs="Times New Roman"/>
            <w:noProof/>
          </w:rPr>
          <w:t>Table 4: 4 Difference between asking for the full capital of 8% and tier 1 is met with tier 2 capital</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_Toc6620259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29</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60" w:history="1">
        <w:r w:rsidR="00A04A59" w:rsidRPr="00B3369E">
          <w:rPr>
            <w:rStyle w:val="Hyperlink"/>
            <w:rFonts w:ascii="Times New Roman" w:hAnsi="Times New Roman" w:cs="Times New Roman"/>
            <w:noProof/>
          </w:rPr>
          <w:t>Table 4: 5 Summaries of Basel I, II and III</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_Toc6620260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29</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61" w:history="1">
        <w:r w:rsidR="00A04A59" w:rsidRPr="00B3369E">
          <w:rPr>
            <w:rStyle w:val="Hyperlink"/>
            <w:rFonts w:ascii="Times New Roman" w:hAnsi="Times New Roman" w:cs="Times New Roman"/>
            <w:noProof/>
          </w:rPr>
          <w:t>Table 5: 1 Individual bank’s minimum capital conservation standards</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_Toc6620261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34</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62" w:history="1">
        <w:r w:rsidR="00A04A59" w:rsidRPr="00B3369E">
          <w:rPr>
            <w:rStyle w:val="Hyperlink"/>
            <w:rFonts w:ascii="Times New Roman" w:hAnsi="Times New Roman" w:cs="Times New Roman"/>
            <w:noProof/>
          </w:rPr>
          <w:t>Table 5: 2 Phase-in systems for Basel III Roadmap implementation in Bangladesh</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_Toc6620262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34</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63" w:history="1">
        <w:r w:rsidR="00A04A59" w:rsidRPr="00B3369E">
          <w:rPr>
            <w:rStyle w:val="Hyperlink"/>
            <w:rFonts w:ascii="Times New Roman" w:hAnsi="Times New Roman" w:cs="Times New Roman"/>
            <w:noProof/>
          </w:rPr>
          <w:t>Table 6:  1 Amount of Common Equity Tier 1 (CET1)</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_Toc6620263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35</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64" w:history="1">
        <w:r w:rsidR="00A04A59" w:rsidRPr="00B3369E">
          <w:rPr>
            <w:rStyle w:val="Hyperlink"/>
            <w:rFonts w:ascii="Times New Roman" w:hAnsi="Times New Roman" w:cs="Times New Roman"/>
            <w:noProof/>
          </w:rPr>
          <w:t>Table 6:  2 Additional Tier 1 Capitals</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_Toc6620264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35</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65" w:history="1">
        <w:r w:rsidR="00A04A59" w:rsidRPr="00B3369E">
          <w:rPr>
            <w:rStyle w:val="Hyperlink"/>
            <w:rFonts w:ascii="Times New Roman" w:hAnsi="Times New Roman" w:cs="Times New Roman"/>
            <w:noProof/>
          </w:rPr>
          <w:t>Table 6:  3 Total Tier 1 capitals [A+B]</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_Toc6620265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35</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66" w:history="1">
        <w:r w:rsidR="00A04A59" w:rsidRPr="00B3369E">
          <w:rPr>
            <w:rStyle w:val="Hyperlink"/>
            <w:rFonts w:ascii="Times New Roman" w:hAnsi="Times New Roman" w:cs="Times New Roman"/>
            <w:noProof/>
          </w:rPr>
          <w:t>Table 6:  4 Tier 2 Capitals</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_Toc6620266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36</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67" w:history="1">
        <w:r w:rsidR="00A04A59" w:rsidRPr="00B3369E">
          <w:rPr>
            <w:rStyle w:val="Hyperlink"/>
            <w:rFonts w:ascii="Times New Roman" w:hAnsi="Times New Roman" w:cs="Times New Roman"/>
            <w:noProof/>
          </w:rPr>
          <w:t>Table 6:  5 Total Eligible Capital</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_Toc6620267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36</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68" w:history="1">
        <w:r w:rsidR="00A04A59" w:rsidRPr="00B3369E">
          <w:rPr>
            <w:rStyle w:val="Hyperlink"/>
            <w:rFonts w:ascii="Times New Roman" w:hAnsi="Times New Roman" w:cs="Times New Roman"/>
            <w:noProof/>
          </w:rPr>
          <w:t>Table 6:  6 Total Risk Weight Assets (RWA)</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_Toc6620268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36</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69" w:history="1">
        <w:r w:rsidR="00A04A59" w:rsidRPr="00B3369E">
          <w:rPr>
            <w:rStyle w:val="Hyperlink"/>
            <w:rFonts w:ascii="Times New Roman" w:hAnsi="Times New Roman" w:cs="Times New Roman"/>
            <w:noProof/>
          </w:rPr>
          <w:t>Table 6:  7 Total capital, CET1 capital, Total Tier 1 capital and Tier 2 capital ratios</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_Toc6620269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36</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70" w:history="1">
        <w:r w:rsidR="00A04A59" w:rsidRPr="00B3369E">
          <w:rPr>
            <w:rStyle w:val="Hyperlink"/>
            <w:rFonts w:ascii="Times New Roman" w:hAnsi="Times New Roman" w:cs="Times New Roman"/>
            <w:noProof/>
          </w:rPr>
          <w:t>Table 6:  8 Capital Adequacy Ratio of DBBL</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_Toc6620270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38</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71" w:history="1">
        <w:r w:rsidR="00A04A59" w:rsidRPr="00B3369E">
          <w:rPr>
            <w:rStyle w:val="Hyperlink"/>
            <w:rFonts w:ascii="Times New Roman" w:hAnsi="Times New Roman" w:cs="Times New Roman"/>
            <w:noProof/>
          </w:rPr>
          <w:t>Table 6:  9 Capital Conservation Buffer</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_Toc6620271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39</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72" w:history="1">
        <w:r w:rsidR="00A04A59" w:rsidRPr="00B3369E">
          <w:rPr>
            <w:rStyle w:val="Hyperlink"/>
            <w:rFonts w:ascii="Times New Roman" w:hAnsi="Times New Roman" w:cs="Times New Roman"/>
            <w:noProof/>
          </w:rPr>
          <w:t>Table 6:  10 Credit Risk for Capital requirement</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_Toc6620272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39</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73" w:history="1">
        <w:r w:rsidR="00A04A59" w:rsidRPr="00B3369E">
          <w:rPr>
            <w:rStyle w:val="Hyperlink"/>
            <w:rFonts w:ascii="Times New Roman" w:hAnsi="Times New Roman" w:cs="Times New Roman"/>
            <w:noProof/>
          </w:rPr>
          <w:t>Table 6:  11 Market Risk for Capital requirement</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_Toc6620273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39</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74" w:history="1">
        <w:r w:rsidR="00A04A59" w:rsidRPr="00B3369E">
          <w:rPr>
            <w:rStyle w:val="Hyperlink"/>
            <w:rFonts w:ascii="Times New Roman" w:hAnsi="Times New Roman" w:cs="Times New Roman"/>
            <w:noProof/>
          </w:rPr>
          <w:t>Table 6:  12 Operational Risk for Capital requirement</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_Toc6620274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39</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75" w:history="1">
        <w:r w:rsidR="00A04A59" w:rsidRPr="00B3369E">
          <w:rPr>
            <w:rStyle w:val="Hyperlink"/>
            <w:rFonts w:ascii="Times New Roman" w:hAnsi="Times New Roman" w:cs="Times New Roman"/>
            <w:noProof/>
          </w:rPr>
          <w:t>Table 6:  13 Total (RWA) Total (MCR) and the total eligible regulatory Capital</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_Toc6620275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40</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76" w:history="1">
        <w:r w:rsidR="00A04A59" w:rsidRPr="00B3369E">
          <w:rPr>
            <w:rStyle w:val="Hyperlink"/>
            <w:rFonts w:ascii="Times New Roman" w:hAnsi="Times New Roman" w:cs="Times New Roman"/>
            <w:noProof/>
          </w:rPr>
          <w:t>Table 6:  14 Liquidity Coverage Ratios (LCR)</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_Toc6620276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41</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77" w:history="1">
        <w:r w:rsidR="00A04A59" w:rsidRPr="00B3369E">
          <w:rPr>
            <w:rStyle w:val="Hyperlink"/>
            <w:rFonts w:ascii="Times New Roman" w:hAnsi="Times New Roman" w:cs="Times New Roman"/>
            <w:noProof/>
          </w:rPr>
          <w:t>Table 6:  15 Net Stable Funding Ratio (NSFR)</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_Toc6620277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42</w:t>
        </w:r>
        <w:r w:rsidRPr="00B3369E">
          <w:rPr>
            <w:rFonts w:ascii="Times New Roman" w:hAnsi="Times New Roman" w:cs="Times New Roman"/>
            <w:noProof/>
            <w:webHidden/>
          </w:rPr>
          <w:fldChar w:fldCharType="end"/>
        </w:r>
      </w:hyperlink>
    </w:p>
    <w:p w:rsidR="00A04A59" w:rsidRPr="00B3369E" w:rsidRDefault="00276A72" w:rsidP="00A04A59">
      <w:pPr>
        <w:pStyle w:val="TableofFigures"/>
        <w:tabs>
          <w:tab w:val="right" w:leader="dot" w:pos="9017"/>
        </w:tabs>
        <w:rPr>
          <w:rFonts w:ascii="Times New Roman" w:eastAsiaTheme="minorEastAsia" w:hAnsi="Times New Roman" w:cs="Times New Roman"/>
          <w:noProof/>
        </w:rPr>
      </w:pPr>
      <w:hyperlink w:anchor="_Toc6620278" w:history="1">
        <w:r w:rsidR="00A04A59" w:rsidRPr="00B3369E">
          <w:rPr>
            <w:rStyle w:val="Hyperlink"/>
            <w:rFonts w:ascii="Times New Roman" w:hAnsi="Times New Roman" w:cs="Times New Roman"/>
            <w:noProof/>
          </w:rPr>
          <w:t>Table 6:  16 Leverage Ratio</w:t>
        </w:r>
        <w:r w:rsidR="00A04A59"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04A59" w:rsidRPr="00B3369E">
          <w:rPr>
            <w:rFonts w:ascii="Times New Roman" w:hAnsi="Times New Roman" w:cs="Times New Roman"/>
            <w:noProof/>
            <w:webHidden/>
          </w:rPr>
          <w:instrText xml:space="preserve"> PAGEREF _Toc6620278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04A59" w:rsidRPr="00B3369E">
          <w:rPr>
            <w:rFonts w:ascii="Times New Roman" w:hAnsi="Times New Roman" w:cs="Times New Roman"/>
            <w:noProof/>
            <w:webHidden/>
          </w:rPr>
          <w:t>43</w:t>
        </w:r>
        <w:r w:rsidRPr="00B3369E">
          <w:rPr>
            <w:rFonts w:ascii="Times New Roman" w:hAnsi="Times New Roman" w:cs="Times New Roman"/>
            <w:noProof/>
            <w:webHidden/>
          </w:rPr>
          <w:fldChar w:fldCharType="end"/>
        </w:r>
      </w:hyperlink>
    </w:p>
    <w:p w:rsidR="00A04A59" w:rsidRPr="00B3369E" w:rsidRDefault="00276A72" w:rsidP="00A04A59">
      <w:pPr>
        <w:spacing w:after="100" w:afterAutospacing="1"/>
        <w:jc w:val="both"/>
        <w:rPr>
          <w:rFonts w:ascii="Times New Roman" w:hAnsi="Times New Roman" w:cs="Times New Roman"/>
        </w:rPr>
      </w:pPr>
      <w:r w:rsidRPr="00B3369E">
        <w:rPr>
          <w:rFonts w:ascii="Times New Roman" w:hAnsi="Times New Roman" w:cs="Times New Roman"/>
        </w:rPr>
        <w:fldChar w:fldCharType="end"/>
      </w:r>
    </w:p>
    <w:p w:rsidR="00A04A59" w:rsidRPr="00B3369E" w:rsidRDefault="00A04A59" w:rsidP="00A04A59">
      <w:pPr>
        <w:spacing w:after="100" w:afterAutospacing="1"/>
        <w:jc w:val="both"/>
        <w:rPr>
          <w:rFonts w:ascii="Times New Roman" w:hAnsi="Times New Roman" w:cs="Times New Roman"/>
        </w:rPr>
      </w:pPr>
    </w:p>
    <w:p w:rsidR="00A04A59" w:rsidRPr="00B3369E" w:rsidRDefault="00A04A59" w:rsidP="00A04A59">
      <w:pPr>
        <w:spacing w:after="100" w:afterAutospacing="1"/>
        <w:jc w:val="both"/>
        <w:rPr>
          <w:rFonts w:ascii="Times New Roman" w:hAnsi="Times New Roman" w:cs="Times New Roman"/>
        </w:rPr>
      </w:pPr>
    </w:p>
    <w:p w:rsidR="00A76DEB" w:rsidRPr="00B3369E" w:rsidRDefault="00A76DEB" w:rsidP="00A76DEB">
      <w:pPr>
        <w:pStyle w:val="Heading1"/>
        <w:jc w:val="center"/>
        <w:rPr>
          <w:rFonts w:ascii="Times New Roman" w:hAnsi="Times New Roman" w:cs="Times New Roman"/>
          <w:color w:val="002060"/>
          <w:sz w:val="36"/>
          <w:szCs w:val="36"/>
        </w:rPr>
      </w:pPr>
      <w:r w:rsidRPr="00B3369E">
        <w:rPr>
          <w:rFonts w:ascii="Times New Roman" w:hAnsi="Times New Roman" w:cs="Times New Roman"/>
          <w:color w:val="002060"/>
          <w:sz w:val="36"/>
          <w:szCs w:val="36"/>
        </w:rPr>
        <w:t>List of Figure</w:t>
      </w:r>
    </w:p>
    <w:p w:rsidR="00A76DEB" w:rsidRPr="00B3369E" w:rsidRDefault="00A76DEB" w:rsidP="00A76DEB">
      <w:pPr>
        <w:rPr>
          <w:rFonts w:ascii="Times New Roman" w:hAnsi="Times New Roman" w:cs="Times New Roman"/>
        </w:rPr>
      </w:pPr>
    </w:p>
    <w:p w:rsidR="00A76DEB" w:rsidRPr="00B3369E" w:rsidRDefault="00276A72" w:rsidP="00A76DEB">
      <w:pPr>
        <w:pStyle w:val="TableofFigures"/>
        <w:tabs>
          <w:tab w:val="right" w:leader="dot" w:pos="9017"/>
        </w:tabs>
        <w:rPr>
          <w:rFonts w:ascii="Times New Roman" w:eastAsiaTheme="minorEastAsia" w:hAnsi="Times New Roman" w:cs="Times New Roman"/>
          <w:noProof/>
        </w:rPr>
      </w:pPr>
      <w:r w:rsidRPr="00B3369E">
        <w:rPr>
          <w:rFonts w:ascii="Times New Roman" w:hAnsi="Times New Roman" w:cs="Times New Roman"/>
          <w:b/>
          <w:bCs/>
          <w:sz w:val="20"/>
          <w:szCs w:val="20"/>
        </w:rPr>
        <w:fldChar w:fldCharType="begin"/>
      </w:r>
      <w:r w:rsidR="00A76DEB" w:rsidRPr="00B3369E">
        <w:rPr>
          <w:rFonts w:ascii="Times New Roman" w:hAnsi="Times New Roman" w:cs="Times New Roman"/>
          <w:b/>
          <w:bCs/>
          <w:sz w:val="20"/>
          <w:szCs w:val="20"/>
        </w:rPr>
        <w:instrText xml:space="preserve"> TOC \h \z \t "Figures" \c "Figure" </w:instrText>
      </w:r>
      <w:r w:rsidRPr="00B3369E">
        <w:rPr>
          <w:rFonts w:ascii="Times New Roman" w:hAnsi="Times New Roman" w:cs="Times New Roman"/>
          <w:b/>
          <w:bCs/>
          <w:sz w:val="20"/>
          <w:szCs w:val="20"/>
        </w:rPr>
        <w:fldChar w:fldCharType="separate"/>
      </w:r>
      <w:hyperlink w:anchor="_Toc6621155" w:history="1">
        <w:r w:rsidR="00A76DEB" w:rsidRPr="00B3369E">
          <w:rPr>
            <w:rStyle w:val="Hyperlink"/>
            <w:rFonts w:ascii="Times New Roman" w:hAnsi="Times New Roman" w:cs="Times New Roman"/>
            <w:noProof/>
          </w:rPr>
          <w:t>Figure 1:  1 DBBL Organizational Structure and Management</w:t>
        </w:r>
        <w:r w:rsidR="00A76DEB"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76DEB" w:rsidRPr="00B3369E">
          <w:rPr>
            <w:rFonts w:ascii="Times New Roman" w:hAnsi="Times New Roman" w:cs="Times New Roman"/>
            <w:noProof/>
            <w:webHidden/>
          </w:rPr>
          <w:instrText xml:space="preserve"> PAGEREF _Toc6621155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76DEB" w:rsidRPr="00B3369E">
          <w:rPr>
            <w:rFonts w:ascii="Times New Roman" w:hAnsi="Times New Roman" w:cs="Times New Roman"/>
            <w:noProof/>
            <w:webHidden/>
          </w:rPr>
          <w:t>8</w:t>
        </w:r>
        <w:r w:rsidRPr="00B3369E">
          <w:rPr>
            <w:rFonts w:ascii="Times New Roman" w:hAnsi="Times New Roman" w:cs="Times New Roman"/>
            <w:noProof/>
            <w:webHidden/>
          </w:rPr>
          <w:fldChar w:fldCharType="end"/>
        </w:r>
      </w:hyperlink>
    </w:p>
    <w:p w:rsidR="00A76DEB" w:rsidRPr="00B3369E" w:rsidRDefault="00276A72" w:rsidP="00A76DEB">
      <w:pPr>
        <w:pStyle w:val="TableofFigures"/>
        <w:tabs>
          <w:tab w:val="right" w:leader="dot" w:pos="9017"/>
        </w:tabs>
        <w:rPr>
          <w:rFonts w:ascii="Times New Roman" w:eastAsiaTheme="minorEastAsia" w:hAnsi="Times New Roman" w:cs="Times New Roman"/>
          <w:noProof/>
        </w:rPr>
      </w:pPr>
      <w:hyperlink w:anchor="_Toc6621156" w:history="1">
        <w:r w:rsidR="00A76DEB" w:rsidRPr="00B3369E">
          <w:rPr>
            <w:rStyle w:val="Hyperlink"/>
            <w:rFonts w:ascii="Times New Roman" w:hAnsi="Times New Roman" w:cs="Times New Roman"/>
            <w:noProof/>
          </w:rPr>
          <w:t>Figure 3:  1 DBBL Main CSRM</w:t>
        </w:r>
        <w:r w:rsidR="00A76DEB"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76DEB" w:rsidRPr="00B3369E">
          <w:rPr>
            <w:rFonts w:ascii="Times New Roman" w:hAnsi="Times New Roman" w:cs="Times New Roman"/>
            <w:noProof/>
            <w:webHidden/>
          </w:rPr>
          <w:instrText xml:space="preserve"> PAGEREF _Toc6621156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76DEB" w:rsidRPr="00B3369E">
          <w:rPr>
            <w:rFonts w:ascii="Times New Roman" w:hAnsi="Times New Roman" w:cs="Times New Roman"/>
            <w:noProof/>
            <w:webHidden/>
          </w:rPr>
          <w:t>18</w:t>
        </w:r>
        <w:r w:rsidRPr="00B3369E">
          <w:rPr>
            <w:rFonts w:ascii="Times New Roman" w:hAnsi="Times New Roman" w:cs="Times New Roman"/>
            <w:noProof/>
            <w:webHidden/>
          </w:rPr>
          <w:fldChar w:fldCharType="end"/>
        </w:r>
      </w:hyperlink>
    </w:p>
    <w:p w:rsidR="00A76DEB" w:rsidRPr="00B3369E" w:rsidRDefault="00276A72" w:rsidP="00A76DEB">
      <w:pPr>
        <w:pStyle w:val="TableofFigures"/>
        <w:tabs>
          <w:tab w:val="right" w:leader="dot" w:pos="9017"/>
        </w:tabs>
        <w:rPr>
          <w:rFonts w:ascii="Times New Roman" w:eastAsiaTheme="minorEastAsia" w:hAnsi="Times New Roman" w:cs="Times New Roman"/>
          <w:noProof/>
        </w:rPr>
      </w:pPr>
      <w:hyperlink w:anchor="_Toc6621157" w:history="1">
        <w:r w:rsidR="00A76DEB" w:rsidRPr="00B3369E">
          <w:rPr>
            <w:rStyle w:val="Hyperlink"/>
            <w:rFonts w:ascii="Times New Roman" w:hAnsi="Times New Roman" w:cs="Times New Roman"/>
            <w:noProof/>
          </w:rPr>
          <w:t>Figure 6:  1 Regulatory Capital Position of DBBL</w:t>
        </w:r>
        <w:r w:rsidR="00A76DEB"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76DEB" w:rsidRPr="00B3369E">
          <w:rPr>
            <w:rFonts w:ascii="Times New Roman" w:hAnsi="Times New Roman" w:cs="Times New Roman"/>
            <w:noProof/>
            <w:webHidden/>
          </w:rPr>
          <w:instrText xml:space="preserve"> PAGEREF _Toc6621157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76DEB" w:rsidRPr="00B3369E">
          <w:rPr>
            <w:rFonts w:ascii="Times New Roman" w:hAnsi="Times New Roman" w:cs="Times New Roman"/>
            <w:noProof/>
            <w:webHidden/>
          </w:rPr>
          <w:t>37</w:t>
        </w:r>
        <w:r w:rsidRPr="00B3369E">
          <w:rPr>
            <w:rFonts w:ascii="Times New Roman" w:hAnsi="Times New Roman" w:cs="Times New Roman"/>
            <w:noProof/>
            <w:webHidden/>
          </w:rPr>
          <w:fldChar w:fldCharType="end"/>
        </w:r>
      </w:hyperlink>
    </w:p>
    <w:p w:rsidR="00A76DEB" w:rsidRPr="00B3369E" w:rsidRDefault="00276A72" w:rsidP="00A76DEB">
      <w:pPr>
        <w:pStyle w:val="TableofFigures"/>
        <w:tabs>
          <w:tab w:val="right" w:leader="dot" w:pos="9017"/>
        </w:tabs>
        <w:rPr>
          <w:rFonts w:ascii="Times New Roman" w:eastAsiaTheme="minorEastAsia" w:hAnsi="Times New Roman" w:cs="Times New Roman"/>
          <w:noProof/>
        </w:rPr>
      </w:pPr>
      <w:hyperlink w:anchor="_Toc6621158" w:history="1">
        <w:r w:rsidR="00A76DEB" w:rsidRPr="00B3369E">
          <w:rPr>
            <w:rStyle w:val="Hyperlink"/>
            <w:rFonts w:ascii="Times New Roman" w:hAnsi="Times New Roman" w:cs="Times New Roman"/>
            <w:noProof/>
          </w:rPr>
          <w:t>Figure 6:  2 Capital Adequacy Ratio/Capital to Risk-weighted Asset Ratio of DBBL</w:t>
        </w:r>
        <w:r w:rsidR="00A76DEB"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76DEB" w:rsidRPr="00B3369E">
          <w:rPr>
            <w:rFonts w:ascii="Times New Roman" w:hAnsi="Times New Roman" w:cs="Times New Roman"/>
            <w:noProof/>
            <w:webHidden/>
          </w:rPr>
          <w:instrText xml:space="preserve"> PAGEREF _Toc6621158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76DEB" w:rsidRPr="00B3369E">
          <w:rPr>
            <w:rFonts w:ascii="Times New Roman" w:hAnsi="Times New Roman" w:cs="Times New Roman"/>
            <w:noProof/>
            <w:webHidden/>
          </w:rPr>
          <w:t>37</w:t>
        </w:r>
        <w:r w:rsidRPr="00B3369E">
          <w:rPr>
            <w:rFonts w:ascii="Times New Roman" w:hAnsi="Times New Roman" w:cs="Times New Roman"/>
            <w:noProof/>
            <w:webHidden/>
          </w:rPr>
          <w:fldChar w:fldCharType="end"/>
        </w:r>
      </w:hyperlink>
    </w:p>
    <w:p w:rsidR="00A76DEB" w:rsidRPr="00B3369E" w:rsidRDefault="00276A72" w:rsidP="00A76DEB">
      <w:pPr>
        <w:pStyle w:val="TableofFigures"/>
        <w:tabs>
          <w:tab w:val="right" w:leader="dot" w:pos="9017"/>
        </w:tabs>
        <w:rPr>
          <w:rFonts w:ascii="Times New Roman" w:eastAsiaTheme="minorEastAsia" w:hAnsi="Times New Roman" w:cs="Times New Roman"/>
          <w:noProof/>
        </w:rPr>
      </w:pPr>
      <w:hyperlink w:anchor="_Toc6621159" w:history="1">
        <w:r w:rsidR="00A76DEB" w:rsidRPr="00B3369E">
          <w:rPr>
            <w:rStyle w:val="Hyperlink"/>
            <w:rFonts w:ascii="Times New Roman" w:hAnsi="Times New Roman" w:cs="Times New Roman"/>
            <w:noProof/>
          </w:rPr>
          <w:t>Figure 6:  3 DBBL Yearly Change CRAR, CET 1 and Tier 1 Ratio</w:t>
        </w:r>
        <w:r w:rsidR="00A76DEB"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76DEB" w:rsidRPr="00B3369E">
          <w:rPr>
            <w:rFonts w:ascii="Times New Roman" w:hAnsi="Times New Roman" w:cs="Times New Roman"/>
            <w:noProof/>
            <w:webHidden/>
          </w:rPr>
          <w:instrText xml:space="preserve"> PAGEREF _Toc6621159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76DEB" w:rsidRPr="00B3369E">
          <w:rPr>
            <w:rFonts w:ascii="Times New Roman" w:hAnsi="Times New Roman" w:cs="Times New Roman"/>
            <w:noProof/>
            <w:webHidden/>
          </w:rPr>
          <w:t>38</w:t>
        </w:r>
        <w:r w:rsidRPr="00B3369E">
          <w:rPr>
            <w:rFonts w:ascii="Times New Roman" w:hAnsi="Times New Roman" w:cs="Times New Roman"/>
            <w:noProof/>
            <w:webHidden/>
          </w:rPr>
          <w:fldChar w:fldCharType="end"/>
        </w:r>
      </w:hyperlink>
    </w:p>
    <w:p w:rsidR="00A76DEB" w:rsidRPr="00B3369E" w:rsidRDefault="00276A72" w:rsidP="00A76DEB">
      <w:pPr>
        <w:pStyle w:val="TableofFigures"/>
        <w:tabs>
          <w:tab w:val="right" w:leader="dot" w:pos="9017"/>
        </w:tabs>
        <w:rPr>
          <w:rFonts w:ascii="Times New Roman" w:eastAsiaTheme="minorEastAsia" w:hAnsi="Times New Roman" w:cs="Times New Roman"/>
          <w:noProof/>
        </w:rPr>
      </w:pPr>
      <w:hyperlink w:anchor="_Toc6621160" w:history="1">
        <w:r w:rsidR="00A76DEB" w:rsidRPr="00B3369E">
          <w:rPr>
            <w:rStyle w:val="Hyperlink"/>
            <w:rFonts w:ascii="Times New Roman" w:hAnsi="Times New Roman" w:cs="Times New Roman"/>
            <w:noProof/>
          </w:rPr>
          <w:t>Figure 6: 4 RWA Asset Compositions</w:t>
        </w:r>
        <w:r w:rsidR="00A76DEB"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76DEB" w:rsidRPr="00B3369E">
          <w:rPr>
            <w:rFonts w:ascii="Times New Roman" w:hAnsi="Times New Roman" w:cs="Times New Roman"/>
            <w:noProof/>
            <w:webHidden/>
          </w:rPr>
          <w:instrText xml:space="preserve"> PAGEREF _Toc6621160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76DEB" w:rsidRPr="00B3369E">
          <w:rPr>
            <w:rFonts w:ascii="Times New Roman" w:hAnsi="Times New Roman" w:cs="Times New Roman"/>
            <w:noProof/>
            <w:webHidden/>
          </w:rPr>
          <w:t>40</w:t>
        </w:r>
        <w:r w:rsidRPr="00B3369E">
          <w:rPr>
            <w:rFonts w:ascii="Times New Roman" w:hAnsi="Times New Roman" w:cs="Times New Roman"/>
            <w:noProof/>
            <w:webHidden/>
          </w:rPr>
          <w:fldChar w:fldCharType="end"/>
        </w:r>
      </w:hyperlink>
    </w:p>
    <w:p w:rsidR="00A76DEB" w:rsidRPr="00B3369E" w:rsidRDefault="00276A72" w:rsidP="00A76DEB">
      <w:pPr>
        <w:pStyle w:val="TableofFigures"/>
        <w:tabs>
          <w:tab w:val="right" w:leader="dot" w:pos="9017"/>
        </w:tabs>
        <w:rPr>
          <w:rFonts w:ascii="Times New Roman" w:eastAsiaTheme="minorEastAsia" w:hAnsi="Times New Roman" w:cs="Times New Roman"/>
          <w:noProof/>
        </w:rPr>
      </w:pPr>
      <w:hyperlink w:anchor="_Toc6621161" w:history="1">
        <w:r w:rsidR="00A76DEB" w:rsidRPr="00B3369E">
          <w:rPr>
            <w:rStyle w:val="Hyperlink"/>
            <w:rFonts w:ascii="Times New Roman" w:hAnsi="Times New Roman" w:cs="Times New Roman"/>
            <w:noProof/>
          </w:rPr>
          <w:t>Figure 6:  5 Liquidity Coverage Ratios (LCR)</w:t>
        </w:r>
        <w:r w:rsidR="00A76DEB"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76DEB" w:rsidRPr="00B3369E">
          <w:rPr>
            <w:rFonts w:ascii="Times New Roman" w:hAnsi="Times New Roman" w:cs="Times New Roman"/>
            <w:noProof/>
            <w:webHidden/>
          </w:rPr>
          <w:instrText xml:space="preserve"> PAGEREF _Toc6621161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76DEB" w:rsidRPr="00B3369E">
          <w:rPr>
            <w:rFonts w:ascii="Times New Roman" w:hAnsi="Times New Roman" w:cs="Times New Roman"/>
            <w:noProof/>
            <w:webHidden/>
          </w:rPr>
          <w:t>41</w:t>
        </w:r>
        <w:r w:rsidRPr="00B3369E">
          <w:rPr>
            <w:rFonts w:ascii="Times New Roman" w:hAnsi="Times New Roman" w:cs="Times New Roman"/>
            <w:noProof/>
            <w:webHidden/>
          </w:rPr>
          <w:fldChar w:fldCharType="end"/>
        </w:r>
      </w:hyperlink>
    </w:p>
    <w:p w:rsidR="00A76DEB" w:rsidRPr="00B3369E" w:rsidRDefault="00276A72" w:rsidP="00A76DEB">
      <w:pPr>
        <w:pStyle w:val="TableofFigures"/>
        <w:tabs>
          <w:tab w:val="right" w:leader="dot" w:pos="9017"/>
        </w:tabs>
        <w:rPr>
          <w:rFonts w:ascii="Times New Roman" w:eastAsiaTheme="minorEastAsia" w:hAnsi="Times New Roman" w:cs="Times New Roman"/>
          <w:noProof/>
        </w:rPr>
      </w:pPr>
      <w:hyperlink w:anchor="_Toc6621162" w:history="1">
        <w:r w:rsidR="00A76DEB" w:rsidRPr="00B3369E">
          <w:rPr>
            <w:rStyle w:val="Hyperlink"/>
            <w:rFonts w:ascii="Times New Roman" w:hAnsi="Times New Roman" w:cs="Times New Roman"/>
            <w:noProof/>
          </w:rPr>
          <w:t>Figure 6:  6 Net Stable Funding Ratios (NSFR)</w:t>
        </w:r>
        <w:r w:rsidR="00A76DEB"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76DEB" w:rsidRPr="00B3369E">
          <w:rPr>
            <w:rFonts w:ascii="Times New Roman" w:hAnsi="Times New Roman" w:cs="Times New Roman"/>
            <w:noProof/>
            <w:webHidden/>
          </w:rPr>
          <w:instrText xml:space="preserve"> PAGEREF _Toc6621162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76DEB" w:rsidRPr="00B3369E">
          <w:rPr>
            <w:rFonts w:ascii="Times New Roman" w:hAnsi="Times New Roman" w:cs="Times New Roman"/>
            <w:noProof/>
            <w:webHidden/>
          </w:rPr>
          <w:t>42</w:t>
        </w:r>
        <w:r w:rsidRPr="00B3369E">
          <w:rPr>
            <w:rFonts w:ascii="Times New Roman" w:hAnsi="Times New Roman" w:cs="Times New Roman"/>
            <w:noProof/>
            <w:webHidden/>
          </w:rPr>
          <w:fldChar w:fldCharType="end"/>
        </w:r>
      </w:hyperlink>
    </w:p>
    <w:p w:rsidR="00A76DEB" w:rsidRPr="00B3369E" w:rsidRDefault="00276A72" w:rsidP="00A76DEB">
      <w:pPr>
        <w:pStyle w:val="TableofFigures"/>
        <w:tabs>
          <w:tab w:val="right" w:leader="dot" w:pos="9017"/>
        </w:tabs>
        <w:rPr>
          <w:rFonts w:ascii="Times New Roman" w:eastAsiaTheme="minorEastAsia" w:hAnsi="Times New Roman" w:cs="Times New Roman"/>
          <w:noProof/>
        </w:rPr>
      </w:pPr>
      <w:hyperlink w:anchor="_Toc6621163" w:history="1">
        <w:r w:rsidR="00A76DEB" w:rsidRPr="00B3369E">
          <w:rPr>
            <w:rStyle w:val="Hyperlink"/>
            <w:rFonts w:ascii="Times New Roman" w:hAnsi="Times New Roman" w:cs="Times New Roman"/>
            <w:noProof/>
          </w:rPr>
          <w:t>Figure 6:  7 Leverage Ratios (LR)</w:t>
        </w:r>
        <w:r w:rsidR="00A76DEB" w:rsidRPr="00B3369E">
          <w:rPr>
            <w:rFonts w:ascii="Times New Roman" w:hAnsi="Times New Roman" w:cs="Times New Roman"/>
            <w:noProof/>
            <w:webHidden/>
          </w:rPr>
          <w:tab/>
        </w:r>
        <w:r w:rsidRPr="00B3369E">
          <w:rPr>
            <w:rFonts w:ascii="Times New Roman" w:hAnsi="Times New Roman" w:cs="Times New Roman"/>
            <w:noProof/>
            <w:webHidden/>
          </w:rPr>
          <w:fldChar w:fldCharType="begin"/>
        </w:r>
        <w:r w:rsidR="00A76DEB" w:rsidRPr="00B3369E">
          <w:rPr>
            <w:rFonts w:ascii="Times New Roman" w:hAnsi="Times New Roman" w:cs="Times New Roman"/>
            <w:noProof/>
            <w:webHidden/>
          </w:rPr>
          <w:instrText xml:space="preserve"> PAGEREF _Toc6621163 \h </w:instrText>
        </w:r>
        <w:r w:rsidRPr="00B3369E">
          <w:rPr>
            <w:rFonts w:ascii="Times New Roman" w:hAnsi="Times New Roman" w:cs="Times New Roman"/>
            <w:noProof/>
            <w:webHidden/>
          </w:rPr>
        </w:r>
        <w:r w:rsidRPr="00B3369E">
          <w:rPr>
            <w:rFonts w:ascii="Times New Roman" w:hAnsi="Times New Roman" w:cs="Times New Roman"/>
            <w:noProof/>
            <w:webHidden/>
          </w:rPr>
          <w:fldChar w:fldCharType="separate"/>
        </w:r>
        <w:r w:rsidR="00A76DEB" w:rsidRPr="00B3369E">
          <w:rPr>
            <w:rFonts w:ascii="Times New Roman" w:hAnsi="Times New Roman" w:cs="Times New Roman"/>
            <w:noProof/>
            <w:webHidden/>
          </w:rPr>
          <w:t>43</w:t>
        </w:r>
        <w:r w:rsidRPr="00B3369E">
          <w:rPr>
            <w:rFonts w:ascii="Times New Roman" w:hAnsi="Times New Roman" w:cs="Times New Roman"/>
            <w:noProof/>
            <w:webHidden/>
          </w:rPr>
          <w:fldChar w:fldCharType="end"/>
        </w:r>
      </w:hyperlink>
    </w:p>
    <w:p w:rsidR="00B3369E" w:rsidRPr="00B3369E" w:rsidRDefault="00276A72" w:rsidP="00A76DEB">
      <w:pPr>
        <w:spacing w:after="100" w:afterAutospacing="1"/>
        <w:jc w:val="both"/>
        <w:rPr>
          <w:rFonts w:ascii="Times New Roman" w:hAnsi="Times New Roman" w:cs="Times New Roman"/>
          <w:b/>
          <w:bCs/>
          <w:sz w:val="20"/>
          <w:szCs w:val="20"/>
        </w:rPr>
        <w:sectPr w:rsidR="00B3369E" w:rsidRPr="00B3369E" w:rsidSect="00472062">
          <w:pgSz w:w="11907" w:h="16839" w:code="9"/>
          <w:pgMar w:top="1440" w:right="1440" w:bottom="1440" w:left="1440" w:header="0" w:footer="0" w:gutter="0"/>
          <w:pgNumType w:fmt="lowerRoman" w:start="1"/>
          <w:cols w:space="720"/>
          <w:docGrid w:linePitch="360"/>
        </w:sectPr>
      </w:pPr>
      <w:r w:rsidRPr="00B3369E">
        <w:rPr>
          <w:rFonts w:ascii="Times New Roman" w:hAnsi="Times New Roman" w:cs="Times New Roman"/>
          <w:b/>
          <w:bCs/>
          <w:sz w:val="20"/>
          <w:szCs w:val="20"/>
        </w:rPr>
        <w:fldChar w:fldCharType="end"/>
      </w:r>
    </w:p>
    <w:p w:rsidR="00B3369E" w:rsidRPr="00B3369E" w:rsidRDefault="00B3369E" w:rsidP="00B3369E">
      <w:pPr>
        <w:pStyle w:val="Heading1"/>
        <w:jc w:val="center"/>
        <w:rPr>
          <w:rFonts w:ascii="Times New Roman" w:hAnsi="Times New Roman" w:cs="Times New Roman"/>
          <w:color w:val="002060"/>
          <w:sz w:val="36"/>
          <w:szCs w:val="36"/>
        </w:rPr>
      </w:pPr>
      <w:r w:rsidRPr="00B3369E">
        <w:rPr>
          <w:rFonts w:ascii="Times New Roman" w:hAnsi="Times New Roman" w:cs="Times New Roman"/>
          <w:color w:val="002060"/>
          <w:sz w:val="36"/>
          <w:szCs w:val="36"/>
        </w:rPr>
        <w:t>Chapter-1</w:t>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 w:name="_Toc6191863"/>
      <w:bookmarkStart w:id="2" w:name="_Toc6610566"/>
      <w:bookmarkStart w:id="3" w:name="_Toc6613992"/>
      <w:r w:rsidRPr="00B3369E">
        <w:rPr>
          <w:rFonts w:ascii="Times New Roman" w:hAnsi="Times New Roman" w:cs="Times New Roman"/>
          <w:color w:val="632423" w:themeColor="accent2" w:themeShade="80"/>
          <w:sz w:val="28"/>
          <w:szCs w:val="28"/>
        </w:rPr>
        <w:t>1.1 Introduction</w:t>
      </w:r>
      <w:bookmarkEnd w:id="1"/>
      <w:bookmarkEnd w:id="2"/>
      <w:bookmarkEnd w:id="3"/>
    </w:p>
    <w:p w:rsidR="00B3369E" w:rsidRPr="00B3369E" w:rsidRDefault="00B3369E" w:rsidP="00B3369E">
      <w:pPr>
        <w:spacing w:after="0"/>
        <w:jc w:val="both"/>
        <w:rPr>
          <w:rFonts w:ascii="Times New Roman" w:hAnsi="Times New Roman" w:cs="Times New Roman"/>
        </w:rPr>
      </w:pPr>
    </w:p>
    <w:p w:rsidR="00B3369E" w:rsidRPr="00B3369E" w:rsidRDefault="00B3369E" w:rsidP="00B3369E">
      <w:pPr>
        <w:jc w:val="both"/>
        <w:rPr>
          <w:rFonts w:ascii="Times New Roman" w:hAnsi="Times New Roman" w:cs="Times New Roman"/>
          <w:b/>
          <w:bCs/>
          <w:sz w:val="24"/>
          <w:szCs w:val="24"/>
        </w:rPr>
      </w:pPr>
      <w:r w:rsidRPr="00B3369E">
        <w:rPr>
          <w:rFonts w:ascii="Times New Roman" w:hAnsi="Times New Roman" w:cs="Times New Roman"/>
          <w:sz w:val="24"/>
          <w:szCs w:val="24"/>
        </w:rPr>
        <w:t>This report is about Dutch-Bangla Bank Limited. It has been discussed about the implementation of the Basel Accords Regulation and Supervision of the Bangladesh Bank in accordance with Dutch-Bangla Bank Limited. This report is an overview of the bank, a summary of Dutch-Bangla Bank Ltd System and Basel Accords System of Dutch-Bangla Bank Limited.</w:t>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4" w:name="_Toc6191864"/>
      <w:bookmarkStart w:id="5" w:name="_Toc6610567"/>
      <w:bookmarkStart w:id="6" w:name="_Toc6613993"/>
      <w:r w:rsidRPr="00B3369E">
        <w:rPr>
          <w:rFonts w:ascii="Times New Roman" w:hAnsi="Times New Roman" w:cs="Times New Roman"/>
          <w:color w:val="632423" w:themeColor="accent2" w:themeShade="80"/>
          <w:sz w:val="28"/>
          <w:szCs w:val="28"/>
        </w:rPr>
        <w:t>1.2 Prelude of the Report</w:t>
      </w:r>
      <w:bookmarkEnd w:id="4"/>
      <w:bookmarkEnd w:id="5"/>
      <w:bookmarkEnd w:id="6"/>
    </w:p>
    <w:p w:rsidR="00B3369E" w:rsidRPr="00B3369E" w:rsidRDefault="00B3369E" w:rsidP="00B3369E">
      <w:pPr>
        <w:spacing w:after="0"/>
        <w:rPr>
          <w:rFonts w:ascii="Times New Roman" w:hAnsi="Times New Roman" w:cs="Times New Roman"/>
        </w:rPr>
      </w:pPr>
    </w:p>
    <w:p w:rsidR="00B3369E" w:rsidRPr="00B3369E" w:rsidRDefault="00B3369E" w:rsidP="00B3369E">
      <w:p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shd w:val="clear" w:color="auto" w:fill="FFFFFF"/>
        </w:rPr>
        <w:t xml:space="preserve">The main purpose of the report has prepared for the practical requirements of the BBA degree programmed department to the School of Business and Economics of the major in Finance after completing academic courses to complete a three month organizational inclusion for a student. So, this report has been preparing after the Dutch-Bangla Bank Limited has completed this three month internship organizational inclusion. I was involved in identifying their Clearing House, General Banking, Foreign Exchange, Credit Department and Credit Assessment System at the Motijheel Foreign Exchange Branch. This report on </w:t>
      </w:r>
      <w:r w:rsidRPr="00B3369E">
        <w:rPr>
          <w:rFonts w:ascii="Times New Roman" w:hAnsi="Times New Roman" w:cs="Times New Roman"/>
          <w:b/>
          <w:bCs/>
          <w:color w:val="212121"/>
          <w:sz w:val="24"/>
          <w:szCs w:val="24"/>
          <w:shd w:val="clear" w:color="auto" w:fill="FFFFFF"/>
        </w:rPr>
        <w:t>“</w:t>
      </w:r>
      <w:r w:rsidRPr="00B3369E">
        <w:rPr>
          <w:rFonts w:ascii="Times New Roman" w:hAnsi="Times New Roman" w:cs="Times New Roman"/>
          <w:b/>
          <w:bCs/>
          <w:sz w:val="24"/>
          <w:szCs w:val="24"/>
        </w:rPr>
        <w:t>Implementation of Basel III in Dutch-Bangla Bank Limited: Risk Based Capital Adequacy Requirement of Bangladesh Bank”</w:t>
      </w:r>
      <w:r w:rsidRPr="00B3369E">
        <w:rPr>
          <w:rFonts w:ascii="Times New Roman" w:hAnsi="Times New Roman" w:cs="Times New Roman"/>
          <w:sz w:val="24"/>
          <w:szCs w:val="24"/>
        </w:rPr>
        <w:t xml:space="preserve"> was started as part of the Internship Program.</w:t>
      </w:r>
      <w:r w:rsidRPr="00B3369E">
        <w:rPr>
          <w:rFonts w:ascii="Times New Roman" w:hAnsi="Times New Roman" w:cs="Times New Roman"/>
          <w:b/>
          <w:bCs/>
          <w:sz w:val="24"/>
          <w:szCs w:val="24"/>
        </w:rPr>
        <w:t xml:space="preserve"> </w:t>
      </w:r>
      <w:r w:rsidRPr="00B3369E">
        <w:rPr>
          <w:rFonts w:ascii="Times New Roman" w:hAnsi="Times New Roman" w:cs="Times New Roman"/>
          <w:color w:val="212121"/>
          <w:sz w:val="24"/>
          <w:szCs w:val="24"/>
          <w:shd w:val="clear" w:color="auto" w:fill="FFFFFF"/>
        </w:rPr>
        <w:t>This Report is being Submitted to academic supervisors Nusrat Farzana (NFa), Assistant Professor, and Faculty of Business Administration United International University. To know about the very important Bangladesh Bank regulation &amp; Supervision of Basel and increase knowledge looking at the implementation of Dutch-Bangla Bank Bank's regulatory requirement.</w:t>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u w:val="single"/>
        </w:rPr>
      </w:pPr>
      <w:bookmarkStart w:id="7" w:name="_Toc6191865"/>
      <w:bookmarkStart w:id="8" w:name="_Toc6610568"/>
      <w:bookmarkStart w:id="9" w:name="_Toc6613994"/>
      <w:r w:rsidRPr="00B3369E">
        <w:rPr>
          <w:rFonts w:ascii="Times New Roman" w:hAnsi="Times New Roman" w:cs="Times New Roman"/>
          <w:color w:val="632423" w:themeColor="accent2" w:themeShade="80"/>
          <w:sz w:val="28"/>
          <w:szCs w:val="28"/>
        </w:rPr>
        <w:t>1.3 Objective of the Report:</w:t>
      </w:r>
      <w:bookmarkEnd w:id="7"/>
      <w:bookmarkEnd w:id="8"/>
      <w:bookmarkEnd w:id="9"/>
    </w:p>
    <w:p w:rsidR="00B3369E" w:rsidRPr="00B3369E" w:rsidRDefault="00B3369E" w:rsidP="00B3369E">
      <w:pPr>
        <w:pStyle w:val="HTMLPreformatted"/>
        <w:shd w:val="clear" w:color="auto" w:fill="FFFFFF"/>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320"/>
        </w:tabs>
        <w:spacing w:line="276" w:lineRule="auto"/>
        <w:jc w:val="both"/>
        <w:rPr>
          <w:rFonts w:ascii="Times New Roman" w:hAnsi="Times New Roman" w:cs="Times New Roman"/>
          <w:b/>
          <w:bCs/>
          <w:color w:val="212121"/>
          <w:sz w:val="24"/>
          <w:szCs w:val="24"/>
          <w:u w:val="single"/>
        </w:rPr>
      </w:pPr>
    </w:p>
    <w:p w:rsidR="00B3369E" w:rsidRPr="00B3369E" w:rsidRDefault="00B3369E" w:rsidP="00B3369E">
      <w:pPr>
        <w:pStyle w:val="HTMLPreformatted"/>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The objective to prepare this report is below:</w:t>
      </w:r>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ab/>
      </w:r>
    </w:p>
    <w:p w:rsidR="00B3369E" w:rsidRPr="00B3369E" w:rsidRDefault="00B3369E" w:rsidP="001B0E2C">
      <w:pPr>
        <w:pStyle w:val="HTMLPreformatted"/>
        <w:numPr>
          <w:ilvl w:val="0"/>
          <w:numId w:val="2"/>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Find out the Briefly explain DBBL overview or Product-Service and Three year financial history of Dutch-Bangla Banking System</w:t>
      </w:r>
    </w:p>
    <w:p w:rsidR="00B3369E" w:rsidRPr="00B3369E" w:rsidRDefault="00B3369E" w:rsidP="001B0E2C">
      <w:pPr>
        <w:pStyle w:val="HTMLPreformatted"/>
        <w:numPr>
          <w:ilvl w:val="0"/>
          <w:numId w:val="2"/>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 concept of Basel I II III Accords</w:t>
      </w:r>
    </w:p>
    <w:p w:rsidR="00B3369E" w:rsidRPr="00B3369E" w:rsidRDefault="00B3369E" w:rsidP="001B0E2C">
      <w:pPr>
        <w:pStyle w:val="HTMLPreformatted"/>
        <w:numPr>
          <w:ilvl w:val="0"/>
          <w:numId w:val="2"/>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In terms of risk management (credit risk, market risk, operational risk), to understand the advantages of implementing Basel 1, Basel 2 and Basel 3 compared to conventional banking.</w:t>
      </w:r>
    </w:p>
    <w:p w:rsidR="00B3369E" w:rsidRPr="00B3369E" w:rsidRDefault="00B3369E" w:rsidP="001B0E2C">
      <w:pPr>
        <w:pStyle w:val="HTMLPreformatted"/>
        <w:numPr>
          <w:ilvl w:val="0"/>
          <w:numId w:val="2"/>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Implementation of the Basel Agreement in Bangladesh</w:t>
      </w:r>
    </w:p>
    <w:p w:rsidR="00B3369E" w:rsidRPr="00B3369E" w:rsidRDefault="00B3369E" w:rsidP="001B0E2C">
      <w:pPr>
        <w:pStyle w:val="HTMLPreformatted"/>
        <w:numPr>
          <w:ilvl w:val="0"/>
          <w:numId w:val="2"/>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To find out the Implementation of the Basel III requirement ratios of Dutch-Bangla Bank.</w:t>
      </w:r>
    </w:p>
    <w:p w:rsidR="00B3369E" w:rsidRPr="00B3369E" w:rsidRDefault="00B3369E" w:rsidP="001B0E2C">
      <w:pPr>
        <w:pStyle w:val="HTMLPreformatted"/>
        <w:numPr>
          <w:ilvl w:val="0"/>
          <w:numId w:val="2"/>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Solving the effective implementation of the Basel III DBBL Agreement</w:t>
      </w:r>
      <w:bookmarkStart w:id="10" w:name="_Toc6191866"/>
      <w:bookmarkStart w:id="11" w:name="_Toc6610569"/>
    </w:p>
    <w:p w:rsidR="00B3369E" w:rsidRDefault="00B3369E" w:rsidP="00B3369E">
      <w:pPr>
        <w:pStyle w:val="Heading2"/>
        <w:spacing w:before="0"/>
        <w:jc w:val="both"/>
        <w:rPr>
          <w:rFonts w:ascii="Times New Roman" w:eastAsia="Times New Roman" w:hAnsi="Times New Roman" w:cs="Times New Roman"/>
          <w:b w:val="0"/>
          <w:bCs w:val="0"/>
          <w:color w:val="212121"/>
          <w:sz w:val="24"/>
          <w:szCs w:val="24"/>
        </w:rPr>
      </w:pPr>
      <w:bookmarkStart w:id="12" w:name="_Toc6613995"/>
    </w:p>
    <w:p w:rsidR="00B3369E" w:rsidRPr="00B3369E" w:rsidRDefault="00B3369E" w:rsidP="00B3369E"/>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r w:rsidRPr="00B3369E">
        <w:rPr>
          <w:rFonts w:ascii="Times New Roman" w:hAnsi="Times New Roman" w:cs="Times New Roman"/>
          <w:color w:val="632423" w:themeColor="accent2" w:themeShade="80"/>
          <w:sz w:val="28"/>
          <w:szCs w:val="28"/>
        </w:rPr>
        <w:t>1.4 Source of Information:</w:t>
      </w:r>
      <w:bookmarkEnd w:id="10"/>
      <w:bookmarkEnd w:id="11"/>
      <w:bookmarkEnd w:id="12"/>
    </w:p>
    <w:p w:rsidR="00B3369E" w:rsidRPr="00B3369E" w:rsidRDefault="00B3369E" w:rsidP="00B3369E">
      <w:pPr>
        <w:spacing w:after="0"/>
        <w:rPr>
          <w:rFonts w:ascii="Times New Roman" w:hAnsi="Times New Roman" w:cs="Times New Roman"/>
        </w:rPr>
      </w:pPr>
    </w:p>
    <w:p w:rsidR="00B3369E" w:rsidRPr="00B3369E" w:rsidRDefault="00B3369E" w:rsidP="00B3369E">
      <w:pPr>
        <w:jc w:val="both"/>
        <w:rPr>
          <w:rFonts w:ascii="Times New Roman" w:hAnsi="Times New Roman" w:cs="Times New Roman"/>
          <w:b/>
          <w:sz w:val="24"/>
          <w:szCs w:val="24"/>
          <w:u w:val="single"/>
        </w:rPr>
      </w:pPr>
      <w:r w:rsidRPr="00B3369E">
        <w:rPr>
          <w:rFonts w:ascii="Times New Roman" w:hAnsi="Times New Roman" w:cs="Times New Roman"/>
          <w:color w:val="212121"/>
          <w:sz w:val="24"/>
          <w:szCs w:val="24"/>
        </w:rPr>
        <w:t>Generally my own analyze and little idea based upon different knowledge has been used in this report. This report has prepared on the basis of data collection of information from both Primary data Sources and secondary data information collection survey.</w:t>
      </w:r>
    </w:p>
    <w:p w:rsidR="00B3369E" w:rsidRPr="00B3369E" w:rsidRDefault="00B3369E" w:rsidP="001B0E2C">
      <w:pPr>
        <w:pStyle w:val="HTMLPreformatted"/>
        <w:numPr>
          <w:ilvl w:val="0"/>
          <w:numId w:val="4"/>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Primary Data:</w:t>
      </w:r>
      <w:r w:rsidRPr="00B3369E">
        <w:rPr>
          <w:rFonts w:ascii="Times New Roman" w:hAnsi="Times New Roman" w:cs="Times New Roman"/>
          <w:color w:val="212121"/>
          <w:sz w:val="24"/>
          <w:szCs w:val="24"/>
        </w:rPr>
        <w:t xml:space="preserve"> I have collected primary data by discussing of my varsity internship instructor </w:t>
      </w:r>
      <w:proofErr w:type="spellStart"/>
      <w:r w:rsidRPr="00B3369E">
        <w:rPr>
          <w:rFonts w:ascii="Times New Roman" w:hAnsi="Times New Roman" w:cs="Times New Roman"/>
          <w:color w:val="212121"/>
          <w:sz w:val="24"/>
          <w:szCs w:val="24"/>
        </w:rPr>
        <w:t>Nusrat</w:t>
      </w:r>
      <w:proofErr w:type="spellEnd"/>
      <w:r w:rsidRPr="00B3369E">
        <w:rPr>
          <w:rFonts w:ascii="Times New Roman" w:hAnsi="Times New Roman" w:cs="Times New Roman"/>
          <w:color w:val="212121"/>
          <w:sz w:val="24"/>
          <w:szCs w:val="24"/>
        </w:rPr>
        <w:t xml:space="preserve"> </w:t>
      </w:r>
      <w:proofErr w:type="spellStart"/>
      <w:r w:rsidRPr="00B3369E">
        <w:rPr>
          <w:rFonts w:ascii="Times New Roman" w:hAnsi="Times New Roman" w:cs="Times New Roman"/>
          <w:color w:val="212121"/>
          <w:sz w:val="24"/>
          <w:szCs w:val="24"/>
        </w:rPr>
        <w:t>Farzana</w:t>
      </w:r>
      <w:proofErr w:type="spellEnd"/>
      <w:r w:rsidRPr="00B3369E">
        <w:rPr>
          <w:rFonts w:ascii="Times New Roman" w:hAnsi="Times New Roman" w:cs="Times New Roman"/>
          <w:color w:val="212121"/>
          <w:sz w:val="24"/>
          <w:szCs w:val="24"/>
        </w:rPr>
        <w:t xml:space="preserve"> </w:t>
      </w:r>
      <w:proofErr w:type="spellStart"/>
      <w:r w:rsidRPr="00B3369E">
        <w:rPr>
          <w:rFonts w:ascii="Times New Roman" w:hAnsi="Times New Roman" w:cs="Times New Roman"/>
          <w:color w:val="212121"/>
          <w:sz w:val="24"/>
          <w:szCs w:val="24"/>
        </w:rPr>
        <w:t>Mam</w:t>
      </w:r>
      <w:proofErr w:type="spellEnd"/>
      <w:r w:rsidRPr="00B3369E">
        <w:rPr>
          <w:rFonts w:ascii="Times New Roman" w:hAnsi="Times New Roman" w:cs="Times New Roman"/>
          <w:color w:val="212121"/>
          <w:sz w:val="24"/>
          <w:szCs w:val="24"/>
        </w:rPr>
        <w:t xml:space="preserve"> and Dutch-</w:t>
      </w:r>
      <w:proofErr w:type="spellStart"/>
      <w:r w:rsidRPr="00B3369E">
        <w:rPr>
          <w:rFonts w:ascii="Times New Roman" w:hAnsi="Times New Roman" w:cs="Times New Roman"/>
          <w:color w:val="212121"/>
          <w:sz w:val="24"/>
          <w:szCs w:val="24"/>
        </w:rPr>
        <w:t>Bangla</w:t>
      </w:r>
      <w:proofErr w:type="spellEnd"/>
      <w:r w:rsidRPr="00B3369E">
        <w:rPr>
          <w:rFonts w:ascii="Times New Roman" w:hAnsi="Times New Roman" w:cs="Times New Roman"/>
          <w:color w:val="212121"/>
          <w:sz w:val="24"/>
          <w:szCs w:val="24"/>
        </w:rPr>
        <w:t xml:space="preserve"> bank employee of Motijheel Foreign Exchange Branch.</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1B0E2C">
      <w:pPr>
        <w:pStyle w:val="HTMLPreformatted"/>
        <w:numPr>
          <w:ilvl w:val="0"/>
          <w:numId w:val="4"/>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Secondary Data: </w:t>
      </w:r>
      <w:r w:rsidRPr="00B3369E">
        <w:rPr>
          <w:rFonts w:ascii="Times New Roman" w:hAnsi="Times New Roman" w:cs="Times New Roman"/>
          <w:color w:val="212121"/>
          <w:sz w:val="24"/>
          <w:szCs w:val="24"/>
        </w:rPr>
        <w:t>Generally I have used and make my report depend on source of secondary publish data. Under these following sources:</w:t>
      </w:r>
    </w:p>
    <w:p w:rsidR="00B3369E" w:rsidRPr="00B3369E" w:rsidRDefault="00B3369E" w:rsidP="00B3369E">
      <w:pPr>
        <w:pStyle w:val="HTMLPreformatted"/>
        <w:shd w:val="clear" w:color="auto" w:fill="FFFFFF"/>
        <w:spacing w:line="276" w:lineRule="auto"/>
        <w:ind w:left="1440"/>
        <w:jc w:val="both"/>
        <w:rPr>
          <w:rFonts w:ascii="Times New Roman" w:hAnsi="Times New Roman" w:cs="Times New Roman"/>
          <w:color w:val="212121"/>
          <w:sz w:val="24"/>
          <w:szCs w:val="24"/>
        </w:rPr>
      </w:pPr>
    </w:p>
    <w:p w:rsidR="00B3369E" w:rsidRPr="00B3369E" w:rsidRDefault="00B3369E" w:rsidP="001B0E2C">
      <w:pPr>
        <w:pStyle w:val="HTMLPreformatted"/>
        <w:numPr>
          <w:ilvl w:val="0"/>
          <w:numId w:val="1"/>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Research Report</w:t>
      </w:r>
    </w:p>
    <w:p w:rsidR="00B3369E" w:rsidRPr="00B3369E" w:rsidRDefault="00B3369E" w:rsidP="001B0E2C">
      <w:pPr>
        <w:pStyle w:val="HTMLPreformatted"/>
        <w:numPr>
          <w:ilvl w:val="0"/>
          <w:numId w:val="1"/>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Annual Report of DBBL</w:t>
      </w:r>
    </w:p>
    <w:p w:rsidR="00B3369E" w:rsidRPr="00B3369E" w:rsidRDefault="00B3369E" w:rsidP="001B0E2C">
      <w:pPr>
        <w:pStyle w:val="HTMLPreformatted"/>
        <w:numPr>
          <w:ilvl w:val="0"/>
          <w:numId w:val="1"/>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Various informative website</w:t>
      </w:r>
    </w:p>
    <w:p w:rsidR="00B3369E" w:rsidRPr="00B3369E" w:rsidRDefault="00B3369E" w:rsidP="001B0E2C">
      <w:pPr>
        <w:pStyle w:val="HTMLPreformatted"/>
        <w:numPr>
          <w:ilvl w:val="0"/>
          <w:numId w:val="1"/>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Various Article</w:t>
      </w:r>
    </w:p>
    <w:p w:rsidR="00B3369E" w:rsidRPr="00B3369E" w:rsidRDefault="00B3369E" w:rsidP="001B0E2C">
      <w:pPr>
        <w:pStyle w:val="HTMLPreformatted"/>
        <w:numPr>
          <w:ilvl w:val="0"/>
          <w:numId w:val="1"/>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Technical and Journals</w:t>
      </w:r>
    </w:p>
    <w:p w:rsidR="00B3369E" w:rsidRPr="00B3369E" w:rsidRDefault="00B3369E" w:rsidP="001B0E2C">
      <w:pPr>
        <w:pStyle w:val="HTMLPreformatted"/>
        <w:numPr>
          <w:ilvl w:val="0"/>
          <w:numId w:val="1"/>
        </w:numPr>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Business and industry, banks, associations of various associations with publication of stock exchange and publication</w:t>
      </w:r>
    </w:p>
    <w:p w:rsidR="00B3369E" w:rsidRPr="00B3369E" w:rsidRDefault="00B3369E" w:rsidP="001B0E2C">
      <w:pPr>
        <w:pStyle w:val="HTMLPreformatted"/>
        <w:numPr>
          <w:ilvl w:val="0"/>
          <w:numId w:val="1"/>
        </w:numPr>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Dutch-Bangla Bank website</w:t>
      </w:r>
    </w:p>
    <w:p w:rsidR="00B3369E" w:rsidRPr="00B3369E" w:rsidRDefault="00B3369E" w:rsidP="001B0E2C">
      <w:pPr>
        <w:pStyle w:val="HTMLPreformatted"/>
        <w:numPr>
          <w:ilvl w:val="0"/>
          <w:numId w:val="1"/>
        </w:numPr>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Bangladesh Bank website</w:t>
      </w:r>
    </w:p>
    <w:p w:rsidR="00B3369E" w:rsidRPr="00B3369E" w:rsidRDefault="00B3369E" w:rsidP="001B0E2C">
      <w:pPr>
        <w:pStyle w:val="HTMLPreformatted"/>
        <w:numPr>
          <w:ilvl w:val="0"/>
          <w:numId w:val="1"/>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YouTube Video Lecture</w:t>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3" w:name="_Toc6191867"/>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4" w:name="_Toc6610570"/>
      <w:bookmarkStart w:id="15" w:name="_Toc6613996"/>
      <w:r w:rsidRPr="00B3369E">
        <w:rPr>
          <w:rFonts w:ascii="Times New Roman" w:hAnsi="Times New Roman" w:cs="Times New Roman"/>
          <w:color w:val="632423" w:themeColor="accent2" w:themeShade="80"/>
          <w:sz w:val="28"/>
          <w:szCs w:val="28"/>
        </w:rPr>
        <w:t>1.5 Methodology</w:t>
      </w:r>
      <w:bookmarkEnd w:id="13"/>
      <w:bookmarkEnd w:id="14"/>
      <w:bookmarkEnd w:id="15"/>
    </w:p>
    <w:p w:rsidR="00B3369E" w:rsidRPr="00B3369E" w:rsidRDefault="00B3369E" w:rsidP="00B3369E">
      <w:pPr>
        <w:autoSpaceDE w:val="0"/>
        <w:autoSpaceDN w:val="0"/>
        <w:adjustRightInd w:val="0"/>
        <w:spacing w:after="0"/>
        <w:jc w:val="both"/>
        <w:rPr>
          <w:rFonts w:ascii="Times New Roman" w:hAnsi="Times New Roman" w:cs="Times New Roman"/>
          <w:b/>
          <w:bCs/>
          <w:sz w:val="24"/>
          <w:szCs w:val="24"/>
          <w:u w:val="single"/>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 research topic selection process is needed Preparation of final report. Research data sources are identified and collected, classified, analyzed, interpreted and presented in systemic manner and found out what points.</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shd w:val="clear" w:color="auto" w:fill="FFFFFF"/>
        </w:rPr>
        <w:t>This overall process of procedure is given the following page of the flow form that has been followed Study.</w:t>
      </w:r>
    </w:p>
    <w:p w:rsidR="00B3369E" w:rsidRPr="00B3369E" w:rsidRDefault="00B3369E" w:rsidP="00B3369E">
      <w:pPr>
        <w:pStyle w:val="HTMLPreformatted"/>
        <w:shd w:val="clear" w:color="auto" w:fill="FFFFFF"/>
        <w:spacing w:line="276" w:lineRule="auto"/>
        <w:rPr>
          <w:rFonts w:ascii="Times New Roman" w:eastAsiaTheme="minorHAnsi" w:hAnsi="Times New Roman" w:cs="Times New Roman"/>
          <w:b/>
          <w:bCs/>
          <w:sz w:val="24"/>
          <w:szCs w:val="24"/>
        </w:rPr>
      </w:pPr>
    </w:p>
    <w:p w:rsidR="00B3369E" w:rsidRPr="00B3369E" w:rsidRDefault="00B3369E" w:rsidP="001B0E2C">
      <w:pPr>
        <w:pStyle w:val="HTMLPreformatted"/>
        <w:numPr>
          <w:ilvl w:val="0"/>
          <w:numId w:val="6"/>
        </w:numPr>
        <w:shd w:val="clear" w:color="auto" w:fill="FFFFFF"/>
        <w:spacing w:line="276" w:lineRule="auto"/>
        <w:jc w:val="both"/>
        <w:rPr>
          <w:rFonts w:ascii="Times New Roman" w:hAnsi="Times New Roman" w:cs="Times New Roman"/>
          <w:color w:val="212121"/>
          <w:sz w:val="24"/>
          <w:szCs w:val="24"/>
        </w:rPr>
      </w:pPr>
      <w:r w:rsidRPr="00B3369E">
        <w:rPr>
          <w:rFonts w:ascii="Times New Roman" w:eastAsiaTheme="minorHAnsi" w:hAnsi="Times New Roman" w:cs="Times New Roman"/>
          <w:b/>
          <w:bCs/>
          <w:sz w:val="24"/>
          <w:szCs w:val="24"/>
        </w:rPr>
        <w:t xml:space="preserve">Topic Selection: </w:t>
      </w:r>
      <w:r w:rsidRPr="00B3369E">
        <w:rPr>
          <w:rFonts w:ascii="Times New Roman" w:hAnsi="Times New Roman" w:cs="Times New Roman"/>
          <w:color w:val="212121"/>
          <w:sz w:val="24"/>
          <w:szCs w:val="24"/>
        </w:rPr>
        <w:t>There was a topic selected for research allocated by me with my supervisor. Then I contacted DBBL officials about the matter and they could help me by providing related information.</w:t>
      </w:r>
    </w:p>
    <w:p w:rsidR="00B3369E" w:rsidRPr="00B3369E" w:rsidRDefault="00B3369E" w:rsidP="001B0E2C">
      <w:pPr>
        <w:pStyle w:val="HTMLPreformatted"/>
        <w:numPr>
          <w:ilvl w:val="0"/>
          <w:numId w:val="6"/>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b/>
          <w:bCs/>
          <w:sz w:val="24"/>
          <w:szCs w:val="24"/>
        </w:rPr>
        <w:t xml:space="preserve">Identifying data sources: </w:t>
      </w:r>
      <w:r w:rsidRPr="00B3369E">
        <w:rPr>
          <w:rFonts w:ascii="Times New Roman" w:hAnsi="Times New Roman" w:cs="Times New Roman"/>
          <w:color w:val="212121"/>
          <w:sz w:val="24"/>
          <w:szCs w:val="24"/>
        </w:rPr>
        <w:t>The source of the necessary information is both primary and secondary statistics are done and practice marks will be required. To meet the needs of the data, the primary information is used and the research also requires interviews Officers and staff where necessary.</w:t>
      </w:r>
    </w:p>
    <w:p w:rsidR="00B3369E" w:rsidRPr="00B3369E" w:rsidRDefault="00B3369E" w:rsidP="001B0E2C">
      <w:pPr>
        <w:pStyle w:val="HTMLPreformatted"/>
        <w:numPr>
          <w:ilvl w:val="0"/>
          <w:numId w:val="6"/>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b/>
          <w:bCs/>
          <w:sz w:val="24"/>
          <w:szCs w:val="24"/>
        </w:rPr>
        <w:t>Final report preparation</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rPr>
        <w:t>Based on our advice some of the respected course teachers are deductions and additions and then the final report is prepared.</w:t>
      </w:r>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s>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6" w:name="_Toc6191868"/>
    </w:p>
    <w:p w:rsidR="00B3369E" w:rsidRPr="00B3369E" w:rsidRDefault="00B3369E" w:rsidP="00B3369E">
      <w:pPr>
        <w:rPr>
          <w:rFonts w:ascii="Times New Roman" w:hAnsi="Times New Roman" w:cs="Times New Roman"/>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7" w:name="_Toc6610571"/>
      <w:bookmarkStart w:id="18" w:name="_Toc6613997"/>
      <w:r w:rsidRPr="00B3369E">
        <w:rPr>
          <w:rFonts w:ascii="Times New Roman" w:hAnsi="Times New Roman" w:cs="Times New Roman"/>
          <w:color w:val="632423" w:themeColor="accent2" w:themeShade="80"/>
          <w:sz w:val="28"/>
          <w:szCs w:val="28"/>
        </w:rPr>
        <w:t>1.6 Background of the Study</w:t>
      </w:r>
      <w:bookmarkEnd w:id="16"/>
      <w:bookmarkEnd w:id="17"/>
      <w:bookmarkEnd w:id="18"/>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A system of writing a report through which I can accustom my selves to the real situation by applying theoretical knowledge in real life, there can be a gap between these two this report bridged up through the writing process. Basel 2 is the continuation of the Basel 1 agreement, which was formed in 1988 by the Basel Committee under the Banking Supervision of G-10 countries, which created a level playing field for internationally active banks. In this report I discussed about the implementation of the Basel Agreement Dutch-Bangla Bank in Bangladesh.</w:t>
      </w:r>
      <w:r w:rsidRPr="00B3369E">
        <w:rPr>
          <w:rFonts w:ascii="Times New Roman" w:hAnsi="Times New Roman" w:cs="Times New Roman"/>
          <w:color w:val="212121"/>
          <w:sz w:val="24"/>
          <w:szCs w:val="24"/>
        </w:rPr>
        <w:tab/>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9" w:name="_Toc6191869"/>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20" w:name="_Toc6610572"/>
      <w:bookmarkStart w:id="21" w:name="_Toc6613998"/>
      <w:r w:rsidRPr="00B3369E">
        <w:rPr>
          <w:rFonts w:ascii="Times New Roman" w:hAnsi="Times New Roman" w:cs="Times New Roman"/>
          <w:color w:val="632423" w:themeColor="accent2" w:themeShade="80"/>
          <w:sz w:val="28"/>
          <w:szCs w:val="28"/>
        </w:rPr>
        <w:t>1.7 Scope in the report:</w:t>
      </w:r>
      <w:bookmarkEnd w:id="19"/>
      <w:bookmarkEnd w:id="20"/>
      <w:bookmarkEnd w:id="21"/>
    </w:p>
    <w:p w:rsidR="00B3369E" w:rsidRPr="00B3369E" w:rsidRDefault="00B3369E" w:rsidP="00B3369E">
      <w:pPr>
        <w:spacing w:after="0"/>
        <w:rPr>
          <w:rFonts w:ascii="Times New Roman" w:hAnsi="Times New Roman" w:cs="Times New Roman"/>
        </w:rPr>
      </w:pPr>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center" w:pos="4680"/>
          <w:tab w:val="right" w:pos="9360"/>
        </w:tabs>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This report discusses the Implementation of Basel Accords in Dutch-Bangla Bank Limited Regulation &amp; Supervision of Bangladesh Bank. This report has been prepared using the Absolute caution and the highest concern, but Basel Accords are very too well known the complexity of controls and regulation &amp; supervision. This report may be the best option for anyone who wants to know about the Dutch-Bangla Bank Limited common and basic rules of regulation to Bangladesh Bank Basel Accords system. Even those who want to know the about of Implementation of Basel Accords in Dutch-Bangla Bank limited Regulation and supervision, they can read my report.</w:t>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22" w:name="_Toc6191870"/>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23" w:name="_Toc6610573"/>
      <w:bookmarkStart w:id="24" w:name="_Toc6613999"/>
      <w:r w:rsidRPr="00B3369E">
        <w:rPr>
          <w:rFonts w:ascii="Times New Roman" w:hAnsi="Times New Roman" w:cs="Times New Roman"/>
          <w:color w:val="632423" w:themeColor="accent2" w:themeShade="80"/>
          <w:sz w:val="28"/>
          <w:szCs w:val="28"/>
        </w:rPr>
        <w:t>1.8 Limitations of the report:</w:t>
      </w:r>
      <w:bookmarkEnd w:id="22"/>
      <w:bookmarkEnd w:id="23"/>
      <w:bookmarkEnd w:id="24"/>
    </w:p>
    <w:p w:rsidR="00B3369E" w:rsidRPr="00B3369E" w:rsidRDefault="00B3369E" w:rsidP="00B3369E">
      <w:pPr>
        <w:pStyle w:val="HTMLPreformatted"/>
        <w:shd w:val="clear" w:color="auto" w:fill="FFFFFF"/>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080"/>
        </w:tabs>
        <w:spacing w:line="276" w:lineRule="auto"/>
        <w:jc w:val="both"/>
        <w:rPr>
          <w:rFonts w:ascii="Times New Roman" w:hAnsi="Times New Roman" w:cs="Times New Roman"/>
          <w:b/>
          <w:bCs/>
          <w:color w:val="212121"/>
          <w:sz w:val="24"/>
          <w:szCs w:val="24"/>
          <w:u w:val="single"/>
        </w:rPr>
      </w:pPr>
    </w:p>
    <w:p w:rsidR="00B3369E" w:rsidRPr="00B3369E" w:rsidRDefault="00B3369E" w:rsidP="001B0E2C">
      <w:pPr>
        <w:pStyle w:val="HTMLPreformatted"/>
        <w:numPr>
          <w:ilvl w:val="0"/>
          <w:numId w:val="3"/>
        </w:numPr>
        <w:shd w:val="clear" w:color="auto" w:fill="FFFFFF"/>
        <w:spacing w:line="276" w:lineRule="auto"/>
        <w:jc w:val="both"/>
        <w:rPr>
          <w:rFonts w:ascii="Times New Roman" w:hAnsi="Times New Roman" w:cs="Times New Roman"/>
          <w:color w:val="212121"/>
          <w:sz w:val="24"/>
          <w:szCs w:val="24"/>
          <w:shd w:val="clear" w:color="auto" w:fill="FFFFFF"/>
        </w:rPr>
      </w:pPr>
      <w:r w:rsidRPr="00B3369E">
        <w:rPr>
          <w:rFonts w:ascii="Times New Roman" w:hAnsi="Times New Roman" w:cs="Times New Roman"/>
          <w:color w:val="212121"/>
          <w:sz w:val="24"/>
          <w:szCs w:val="24"/>
          <w:shd w:val="clear" w:color="auto" w:fill="FFFFFF"/>
        </w:rPr>
        <w:t>In this report, I only use my own practical and research knowledge because I did not attend any seminar or seminar related to the Basel banking system and I did not even work with the reporting unit for Dutch-Bangla Bank Limited's Basel Accords. So, it was impossible for me to present a complete of the Basel accords Banking System.</w:t>
      </w:r>
    </w:p>
    <w:p w:rsidR="00B3369E" w:rsidRPr="00B3369E" w:rsidRDefault="00B3369E" w:rsidP="001B0E2C">
      <w:pPr>
        <w:pStyle w:val="HTMLPreformatted"/>
        <w:numPr>
          <w:ilvl w:val="0"/>
          <w:numId w:val="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Times New Roman" w:hAnsi="Times New Roman" w:cs="Times New Roman"/>
          <w:color w:val="212121"/>
          <w:sz w:val="24"/>
          <w:szCs w:val="24"/>
          <w:shd w:val="clear" w:color="auto" w:fill="FFFFFF"/>
        </w:rPr>
      </w:pPr>
      <w:r w:rsidRPr="00B3369E">
        <w:rPr>
          <w:rFonts w:ascii="Times New Roman" w:hAnsi="Times New Roman" w:cs="Times New Roman"/>
          <w:color w:val="212121"/>
          <w:sz w:val="24"/>
          <w:szCs w:val="24"/>
        </w:rPr>
        <w:t>All employees of the bank were always busy with transactions their work while making my report. At the time of my internship, Bangladesh Bank's DBI auditing was running on at Dutch-Bangla Bank Limited. So, all the officers were very busy about it. That's why I could not achieve complex things.</w:t>
      </w:r>
    </w:p>
    <w:p w:rsidR="00B3369E" w:rsidRPr="00B3369E" w:rsidRDefault="00B3369E" w:rsidP="001B0E2C">
      <w:pPr>
        <w:pStyle w:val="HTMLPreformatted"/>
        <w:numPr>
          <w:ilvl w:val="0"/>
          <w:numId w:val="3"/>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There was no experience on my Basel accords survey program, so this report could not bring same result according to the authorities' expectations.</w:t>
      </w:r>
    </w:p>
    <w:p w:rsidR="00B3369E" w:rsidRPr="00B3369E" w:rsidRDefault="00B3369E" w:rsidP="001B0E2C">
      <w:pPr>
        <w:pStyle w:val="HTMLPreformatted"/>
        <w:numPr>
          <w:ilvl w:val="0"/>
          <w:numId w:val="3"/>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There is some hidden information for collecting information. So, some information could not be collected for privacy and management secrecy.</w:t>
      </w:r>
    </w:p>
    <w:p w:rsidR="00B3369E" w:rsidRPr="00B3369E" w:rsidRDefault="00B3369E" w:rsidP="001B0E2C">
      <w:pPr>
        <w:pStyle w:val="HTMLPreformatted"/>
        <w:numPr>
          <w:ilvl w:val="0"/>
          <w:numId w:val="3"/>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Lack of available information.</w:t>
      </w:r>
    </w:p>
    <w:p w:rsidR="00B3369E" w:rsidRPr="00B3369E" w:rsidRDefault="00B3369E" w:rsidP="001B0E2C">
      <w:pPr>
        <w:pStyle w:val="HTMLPreformatted"/>
        <w:numPr>
          <w:ilvl w:val="0"/>
          <w:numId w:val="3"/>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Different banks had different comparisons and expectations of Basel's problems.</w:t>
      </w:r>
    </w:p>
    <w:p w:rsidR="00B3369E" w:rsidRPr="00B3369E" w:rsidRDefault="00B3369E" w:rsidP="001B0E2C">
      <w:pPr>
        <w:pStyle w:val="HTMLPreformatted"/>
        <w:numPr>
          <w:ilvl w:val="0"/>
          <w:numId w:val="3"/>
        </w:numPr>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My knowledge may have limitations, So that depth analysis is not possible.</w:t>
      </w:r>
    </w:p>
    <w:p w:rsidR="00B3369E" w:rsidRPr="00B3369E" w:rsidRDefault="00B3369E" w:rsidP="001B0E2C">
      <w:pPr>
        <w:pStyle w:val="HTMLPreformatted"/>
        <w:numPr>
          <w:ilvl w:val="0"/>
          <w:numId w:val="3"/>
        </w:numPr>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Some other issues which are related to the Basel Accords may miss my report.</w:t>
      </w:r>
    </w:p>
    <w:p w:rsidR="00B3369E" w:rsidRPr="00B3369E" w:rsidRDefault="00B3369E" w:rsidP="00B3369E">
      <w:pPr>
        <w:pStyle w:val="HTMLPreformatted"/>
        <w:shd w:val="clear" w:color="auto" w:fill="FFFFFF"/>
        <w:spacing w:line="276" w:lineRule="auto"/>
        <w:ind w:left="720"/>
        <w:rPr>
          <w:rFonts w:ascii="Times New Roman" w:hAnsi="Times New Roman" w:cs="Times New Roman"/>
          <w:color w:val="212121"/>
          <w:sz w:val="24"/>
          <w:szCs w:val="24"/>
        </w:rPr>
      </w:pPr>
    </w:p>
    <w:p w:rsidR="00B3369E" w:rsidRPr="00B3369E" w:rsidRDefault="00B3369E" w:rsidP="00B3369E">
      <w:pPr>
        <w:pStyle w:val="Heading1"/>
        <w:jc w:val="center"/>
        <w:rPr>
          <w:rFonts w:ascii="Times New Roman" w:hAnsi="Times New Roman" w:cs="Times New Roman"/>
          <w:color w:val="002060"/>
          <w:sz w:val="36"/>
          <w:szCs w:val="36"/>
        </w:rPr>
      </w:pPr>
      <w:bookmarkStart w:id="25" w:name="_Toc6610574"/>
      <w:bookmarkStart w:id="26" w:name="_Toc6614000"/>
      <w:r w:rsidRPr="00B3369E">
        <w:rPr>
          <w:rFonts w:ascii="Times New Roman" w:hAnsi="Times New Roman" w:cs="Times New Roman"/>
          <w:color w:val="002060"/>
          <w:sz w:val="36"/>
          <w:szCs w:val="36"/>
        </w:rPr>
        <w:t>Chapter-2: Job Description</w:t>
      </w:r>
      <w:bookmarkEnd w:id="25"/>
      <w:bookmarkEnd w:id="26"/>
    </w:p>
    <w:p w:rsidR="00B3369E" w:rsidRPr="00B3369E" w:rsidRDefault="00B3369E" w:rsidP="00B3369E">
      <w:pPr>
        <w:pStyle w:val="Heading2"/>
        <w:spacing w:before="0"/>
        <w:rPr>
          <w:rFonts w:ascii="Times New Roman" w:hAnsi="Times New Roman" w:cs="Times New Roman"/>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27" w:name="_Toc6610575"/>
      <w:bookmarkStart w:id="28" w:name="_Toc6614001"/>
      <w:r w:rsidRPr="00B3369E">
        <w:rPr>
          <w:rFonts w:ascii="Times New Roman" w:hAnsi="Times New Roman" w:cs="Times New Roman"/>
          <w:color w:val="632423" w:themeColor="accent2" w:themeShade="80"/>
          <w:sz w:val="28"/>
          <w:szCs w:val="28"/>
        </w:rPr>
        <w:t>2.1 Internship at DBBL:</w:t>
      </w:r>
      <w:bookmarkEnd w:id="27"/>
      <w:bookmarkEnd w:id="28"/>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Internship for 12 weeks and for 5</w:t>
      </w:r>
      <w:r w:rsidRPr="00B3369E">
        <w:rPr>
          <w:rFonts w:ascii="Times New Roman" w:hAnsi="Times New Roman" w:cs="Times New Roman"/>
          <w:color w:val="212121"/>
          <w:sz w:val="24"/>
          <w:szCs w:val="24"/>
          <w:vertAlign w:val="superscript"/>
        </w:rPr>
        <w:t>th</w:t>
      </w:r>
      <w:r w:rsidRPr="00B3369E">
        <w:rPr>
          <w:rFonts w:ascii="Times New Roman" w:hAnsi="Times New Roman" w:cs="Times New Roman"/>
          <w:color w:val="212121"/>
          <w:sz w:val="24"/>
          <w:szCs w:val="24"/>
        </w:rPr>
        <w:t xml:space="preserve"> November 2018 to 5</w:t>
      </w:r>
      <w:r w:rsidRPr="00B3369E">
        <w:rPr>
          <w:rFonts w:ascii="Times New Roman" w:hAnsi="Times New Roman" w:cs="Times New Roman"/>
          <w:color w:val="212121"/>
          <w:sz w:val="24"/>
          <w:szCs w:val="24"/>
          <w:vertAlign w:val="superscript"/>
        </w:rPr>
        <w:t>th</w:t>
      </w:r>
      <w:r w:rsidRPr="00B3369E">
        <w:rPr>
          <w:rFonts w:ascii="Times New Roman" w:hAnsi="Times New Roman" w:cs="Times New Roman"/>
          <w:color w:val="212121"/>
          <w:sz w:val="24"/>
          <w:szCs w:val="24"/>
        </w:rPr>
        <w:t xml:space="preserve"> February, I am working on Dutch-Bangla Bank Limited and working on many issues. My relationship with this bank is being part of the General Banking Division (GB) and Foreign Exchange Division (FXB). It is important for me to be a student Finance is necessary of money especially for acquiring a real knowledge about General Banking (GB) and Foreign Exchange (FX). So, I tried my level best to learn a lot about General Banking (GB) and Foreign Exchange (FX). The nature of wor</w:t>
      </w:r>
      <w:r w:rsidR="005F75B2">
        <w:rPr>
          <w:rFonts w:ascii="Times New Roman" w:hAnsi="Times New Roman" w:cs="Times New Roman"/>
          <w:color w:val="212121"/>
          <w:sz w:val="24"/>
          <w:szCs w:val="24"/>
        </w:rPr>
        <w:t>k was quite basic as an internship</w:t>
      </w:r>
      <w:bookmarkStart w:id="29" w:name="_GoBack"/>
      <w:bookmarkEnd w:id="29"/>
      <w:r w:rsidRPr="00B3369E">
        <w:rPr>
          <w:rFonts w:ascii="Times New Roman" w:hAnsi="Times New Roman" w:cs="Times New Roman"/>
          <w:color w:val="212121"/>
          <w:sz w:val="24"/>
          <w:szCs w:val="24"/>
        </w:rPr>
        <w:t>; yet I see what real life is. At the bottom, I was given the duty to take place:</w:t>
      </w:r>
    </w:p>
    <w:p w:rsidR="00B3369E" w:rsidRPr="00B3369E" w:rsidRDefault="00B3369E" w:rsidP="001B0E2C">
      <w:pPr>
        <w:pStyle w:val="HTMLPreformatted"/>
        <w:numPr>
          <w:ilvl w:val="0"/>
          <w:numId w:val="5"/>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Account open</w:t>
      </w:r>
    </w:p>
    <w:p w:rsidR="00B3369E" w:rsidRPr="00B3369E" w:rsidRDefault="00B3369E" w:rsidP="001B0E2C">
      <w:pPr>
        <w:pStyle w:val="HTMLPreformatted"/>
        <w:numPr>
          <w:ilvl w:val="0"/>
          <w:numId w:val="5"/>
        </w:numPr>
        <w:jc w:val="both"/>
        <w:rPr>
          <w:rFonts w:ascii="Times New Roman" w:hAnsi="Times New Roman" w:cs="Times New Roman"/>
          <w:color w:val="212121"/>
          <w:sz w:val="24"/>
          <w:szCs w:val="24"/>
        </w:rPr>
      </w:pPr>
      <w:proofErr w:type="spellStart"/>
      <w:r w:rsidRPr="00B3369E">
        <w:rPr>
          <w:rFonts w:ascii="Times New Roman" w:hAnsi="Times New Roman" w:cs="Times New Roman"/>
          <w:color w:val="212121"/>
          <w:sz w:val="24"/>
          <w:szCs w:val="24"/>
        </w:rPr>
        <w:t>Cheque</w:t>
      </w:r>
      <w:proofErr w:type="spellEnd"/>
      <w:r w:rsidRPr="00B3369E">
        <w:rPr>
          <w:rFonts w:ascii="Times New Roman" w:hAnsi="Times New Roman" w:cs="Times New Roman"/>
          <w:color w:val="212121"/>
          <w:sz w:val="24"/>
          <w:szCs w:val="24"/>
        </w:rPr>
        <w:t xml:space="preserve"> clearing</w:t>
      </w:r>
    </w:p>
    <w:p w:rsidR="00B3369E" w:rsidRPr="00B3369E" w:rsidRDefault="00B3369E" w:rsidP="001B0E2C">
      <w:pPr>
        <w:pStyle w:val="HTMLPreformatted"/>
        <w:numPr>
          <w:ilvl w:val="0"/>
          <w:numId w:val="5"/>
        </w:numPr>
        <w:jc w:val="both"/>
        <w:rPr>
          <w:rFonts w:ascii="Times New Roman" w:hAnsi="Times New Roman" w:cs="Times New Roman"/>
          <w:color w:val="212121"/>
          <w:sz w:val="24"/>
          <w:szCs w:val="24"/>
        </w:rPr>
      </w:pPr>
      <w:proofErr w:type="spellStart"/>
      <w:r w:rsidRPr="00B3369E">
        <w:rPr>
          <w:rFonts w:ascii="Times New Roman" w:hAnsi="Times New Roman" w:cs="Times New Roman"/>
          <w:color w:val="212121"/>
          <w:sz w:val="24"/>
          <w:szCs w:val="24"/>
        </w:rPr>
        <w:t>Cheque</w:t>
      </w:r>
      <w:proofErr w:type="spellEnd"/>
      <w:r w:rsidRPr="00B3369E">
        <w:rPr>
          <w:rFonts w:ascii="Times New Roman" w:hAnsi="Times New Roman" w:cs="Times New Roman"/>
          <w:color w:val="212121"/>
          <w:sz w:val="24"/>
          <w:szCs w:val="24"/>
        </w:rPr>
        <w:t xml:space="preserve"> Issue</w:t>
      </w:r>
    </w:p>
    <w:p w:rsidR="00B3369E" w:rsidRPr="00B3369E" w:rsidRDefault="00B3369E" w:rsidP="001B0E2C">
      <w:pPr>
        <w:pStyle w:val="HTMLPreformatted"/>
        <w:numPr>
          <w:ilvl w:val="0"/>
          <w:numId w:val="5"/>
        </w:numPr>
        <w:jc w:val="both"/>
        <w:rPr>
          <w:rFonts w:ascii="Times New Roman" w:hAnsi="Times New Roman" w:cs="Times New Roman"/>
          <w:color w:val="212121"/>
          <w:sz w:val="24"/>
          <w:szCs w:val="24"/>
        </w:rPr>
      </w:pPr>
      <w:r w:rsidRPr="00B3369E">
        <w:rPr>
          <w:rFonts w:ascii="Times New Roman" w:hAnsi="Times New Roman" w:cs="Times New Roman"/>
          <w:color w:val="222222"/>
          <w:sz w:val="24"/>
          <w:szCs w:val="24"/>
          <w:shd w:val="clear" w:color="auto" w:fill="FFFFFF"/>
        </w:rPr>
        <w:t>Real-time gross settlement (RTGS)</w:t>
      </w:r>
    </w:p>
    <w:p w:rsidR="00B3369E" w:rsidRPr="00B3369E" w:rsidRDefault="00B3369E" w:rsidP="001B0E2C">
      <w:pPr>
        <w:pStyle w:val="HTMLPreformatted"/>
        <w:numPr>
          <w:ilvl w:val="0"/>
          <w:numId w:val="5"/>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Client account statement</w:t>
      </w:r>
    </w:p>
    <w:p w:rsidR="00B3369E" w:rsidRPr="00B3369E" w:rsidRDefault="00B3369E" w:rsidP="001B0E2C">
      <w:pPr>
        <w:pStyle w:val="HTMLPreformatted"/>
        <w:numPr>
          <w:ilvl w:val="0"/>
          <w:numId w:val="5"/>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Scanning to many different documents</w:t>
      </w:r>
    </w:p>
    <w:p w:rsidR="00B3369E" w:rsidRPr="00B3369E" w:rsidRDefault="00B3369E" w:rsidP="001B0E2C">
      <w:pPr>
        <w:pStyle w:val="HTMLPreformatted"/>
        <w:numPr>
          <w:ilvl w:val="0"/>
          <w:numId w:val="5"/>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Remittance</w:t>
      </w:r>
    </w:p>
    <w:p w:rsidR="00B3369E" w:rsidRPr="00B3369E" w:rsidRDefault="00B3369E" w:rsidP="001B0E2C">
      <w:pPr>
        <w:pStyle w:val="HTMLPreformatted"/>
        <w:numPr>
          <w:ilvl w:val="0"/>
          <w:numId w:val="5"/>
        </w:numPr>
        <w:jc w:val="both"/>
        <w:rPr>
          <w:rFonts w:ascii="Times New Roman" w:hAnsi="Times New Roman" w:cs="Times New Roman"/>
          <w:color w:val="212121"/>
          <w:sz w:val="24"/>
          <w:szCs w:val="24"/>
        </w:rPr>
      </w:pPr>
      <w:proofErr w:type="spellStart"/>
      <w:r w:rsidRPr="00B3369E">
        <w:rPr>
          <w:rFonts w:ascii="Times New Roman" w:hAnsi="Times New Roman" w:cs="Times New Roman"/>
          <w:color w:val="212121"/>
          <w:sz w:val="24"/>
          <w:szCs w:val="24"/>
        </w:rPr>
        <w:t>Nostro</w:t>
      </w:r>
      <w:proofErr w:type="spellEnd"/>
      <w:r w:rsidRPr="00B3369E">
        <w:rPr>
          <w:rFonts w:ascii="Times New Roman" w:hAnsi="Times New Roman" w:cs="Times New Roman"/>
          <w:color w:val="212121"/>
          <w:sz w:val="24"/>
          <w:szCs w:val="24"/>
        </w:rPr>
        <w:t xml:space="preserve"> and </w:t>
      </w:r>
      <w:proofErr w:type="spellStart"/>
      <w:r w:rsidRPr="00B3369E">
        <w:rPr>
          <w:rFonts w:ascii="Times New Roman" w:hAnsi="Times New Roman" w:cs="Times New Roman"/>
          <w:color w:val="212121"/>
          <w:sz w:val="24"/>
          <w:szCs w:val="24"/>
        </w:rPr>
        <w:t>Vostro</w:t>
      </w:r>
      <w:proofErr w:type="spellEnd"/>
      <w:r w:rsidRPr="00B3369E">
        <w:rPr>
          <w:rFonts w:ascii="Times New Roman" w:hAnsi="Times New Roman" w:cs="Times New Roman"/>
          <w:color w:val="212121"/>
          <w:sz w:val="24"/>
          <w:szCs w:val="24"/>
        </w:rPr>
        <w:t xml:space="preserve"> account</w:t>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30" w:name="_Toc6610576"/>
      <w:bookmarkStart w:id="31" w:name="_Toc6614002"/>
      <w:r w:rsidRPr="00B3369E">
        <w:rPr>
          <w:rFonts w:ascii="Times New Roman" w:hAnsi="Times New Roman" w:cs="Times New Roman"/>
          <w:color w:val="632423" w:themeColor="accent2" w:themeShade="80"/>
          <w:sz w:val="28"/>
          <w:szCs w:val="28"/>
        </w:rPr>
        <w:t>2.2 Description my job at DBBL:</w:t>
      </w:r>
      <w:bookmarkEnd w:id="30"/>
      <w:bookmarkEnd w:id="31"/>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ind w:left="720"/>
        <w:jc w:val="both"/>
        <w:rPr>
          <w:rFonts w:ascii="Times New Roman" w:hAnsi="Times New Roman" w:cs="Times New Roman"/>
          <w:color w:val="212121"/>
          <w:sz w:val="24"/>
          <w:szCs w:val="24"/>
        </w:rPr>
      </w:pPr>
      <w:bookmarkStart w:id="32" w:name="_Toc6610577"/>
      <w:bookmarkStart w:id="33" w:name="_Toc6614003"/>
      <w:r w:rsidRPr="00B3369E">
        <w:rPr>
          <w:rStyle w:val="Heading3Char"/>
          <w:rFonts w:ascii="Times New Roman" w:hAnsi="Times New Roman" w:cs="Times New Roman"/>
          <w:color w:val="943634" w:themeColor="accent2" w:themeShade="BF"/>
          <w:sz w:val="24"/>
          <w:szCs w:val="24"/>
        </w:rPr>
        <w:t>2.2.1 Account Open:</w:t>
      </w:r>
      <w:bookmarkEnd w:id="32"/>
      <w:bookmarkEnd w:id="33"/>
      <w:r w:rsidRPr="00B3369E">
        <w:rPr>
          <w:rFonts w:ascii="Times New Roman" w:hAnsi="Times New Roman" w:cs="Times New Roman"/>
          <w:color w:val="212121"/>
          <w:sz w:val="24"/>
          <w:szCs w:val="24"/>
        </w:rPr>
        <w:t xml:space="preserve"> People need bank accounts for various purposes. There are usually four (4) accounts.</w:t>
      </w:r>
    </w:p>
    <w:p w:rsidR="00B3369E" w:rsidRPr="00B3369E" w:rsidRDefault="00B3369E" w:rsidP="00B3369E">
      <w:pPr>
        <w:pStyle w:val="HTMLPreformatted"/>
        <w:ind w:left="720"/>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1. Saving account</w:t>
      </w:r>
    </w:p>
    <w:p w:rsidR="00B3369E" w:rsidRPr="00B3369E" w:rsidRDefault="00B3369E" w:rsidP="00B3369E">
      <w:pPr>
        <w:pStyle w:val="HTMLPreformatted"/>
        <w:ind w:left="720"/>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2. Current account</w:t>
      </w:r>
    </w:p>
    <w:p w:rsidR="00B3369E" w:rsidRPr="00B3369E" w:rsidRDefault="00B3369E" w:rsidP="00B3369E">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3. Salary account</w:t>
      </w:r>
      <w:r w:rsidRPr="00B3369E">
        <w:rPr>
          <w:rFonts w:ascii="Times New Roman" w:hAnsi="Times New Roman" w:cs="Times New Roman"/>
          <w:color w:val="212121"/>
          <w:sz w:val="24"/>
          <w:szCs w:val="24"/>
        </w:rPr>
        <w:tab/>
      </w:r>
    </w:p>
    <w:p w:rsidR="00B3369E" w:rsidRPr="00B3369E" w:rsidRDefault="00B3369E" w:rsidP="00B3369E">
      <w:pPr>
        <w:pStyle w:val="HTMLPreformatted"/>
        <w:ind w:left="720"/>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4. Student account</w:t>
      </w:r>
    </w:p>
    <w:p w:rsidR="00B3369E" w:rsidRPr="00B3369E" w:rsidRDefault="00B3369E" w:rsidP="00B3369E">
      <w:pPr>
        <w:pStyle w:val="HTMLPreformatted"/>
        <w:spacing w:line="276" w:lineRule="auto"/>
        <w:ind w:left="720"/>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Some people need a personal account; some people need a business account. Each account has every purpose.</w:t>
      </w:r>
    </w:p>
    <w:p w:rsidR="00B3369E" w:rsidRPr="00B3369E" w:rsidRDefault="00B3369E" w:rsidP="00B3369E">
      <w:pPr>
        <w:pStyle w:val="HTMLPreformatted"/>
        <w:spacing w:line="276" w:lineRule="auto"/>
        <w:ind w:left="720"/>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ind w:left="720"/>
        <w:jc w:val="both"/>
        <w:rPr>
          <w:rFonts w:ascii="Times New Roman" w:hAnsi="Times New Roman" w:cs="Times New Roman"/>
          <w:color w:val="212121"/>
          <w:sz w:val="24"/>
          <w:szCs w:val="24"/>
          <w:shd w:val="clear" w:color="auto" w:fill="FFFFFF"/>
        </w:rPr>
      </w:pPr>
      <w:bookmarkStart w:id="34" w:name="_Toc6610578"/>
      <w:bookmarkStart w:id="35" w:name="_Toc6614004"/>
      <w:r w:rsidRPr="00B3369E">
        <w:rPr>
          <w:rStyle w:val="Heading3Char"/>
          <w:rFonts w:ascii="Times New Roman" w:hAnsi="Times New Roman" w:cs="Times New Roman"/>
          <w:color w:val="943634" w:themeColor="accent2" w:themeShade="BF"/>
          <w:sz w:val="24"/>
          <w:szCs w:val="24"/>
        </w:rPr>
        <w:t xml:space="preserve">2.2.2 </w:t>
      </w:r>
      <w:proofErr w:type="spellStart"/>
      <w:r w:rsidRPr="00B3369E">
        <w:rPr>
          <w:rStyle w:val="Heading3Char"/>
          <w:rFonts w:ascii="Times New Roman" w:hAnsi="Times New Roman" w:cs="Times New Roman"/>
          <w:color w:val="943634" w:themeColor="accent2" w:themeShade="BF"/>
          <w:sz w:val="24"/>
          <w:szCs w:val="24"/>
        </w:rPr>
        <w:t>Cheque</w:t>
      </w:r>
      <w:proofErr w:type="spellEnd"/>
      <w:r w:rsidRPr="00B3369E">
        <w:rPr>
          <w:rStyle w:val="Heading3Char"/>
          <w:rFonts w:ascii="Times New Roman" w:hAnsi="Times New Roman" w:cs="Times New Roman"/>
          <w:color w:val="943634" w:themeColor="accent2" w:themeShade="BF"/>
          <w:sz w:val="24"/>
          <w:szCs w:val="24"/>
        </w:rPr>
        <w:t xml:space="preserve"> clearing:</w:t>
      </w:r>
      <w:bookmarkEnd w:id="34"/>
      <w:bookmarkEnd w:id="35"/>
      <w:r w:rsidRPr="00B3369E">
        <w:rPr>
          <w:rFonts w:ascii="Times New Roman" w:hAnsi="Times New Roman" w:cs="Times New Roman"/>
          <w:b/>
          <w:bCs/>
          <w:color w:val="212121"/>
          <w:sz w:val="24"/>
          <w:szCs w:val="24"/>
        </w:rPr>
        <w:t xml:space="preserve"> </w:t>
      </w:r>
      <w:r w:rsidRPr="00B3369E">
        <w:rPr>
          <w:rFonts w:ascii="Times New Roman" w:hAnsi="Times New Roman" w:cs="Times New Roman"/>
          <w:color w:val="212121"/>
          <w:sz w:val="24"/>
          <w:szCs w:val="24"/>
          <w:shd w:val="clear" w:color="auto" w:fill="FFFFFF"/>
        </w:rPr>
        <w:t xml:space="preserve">The clearing process starts with depositing a bank </w:t>
      </w:r>
      <w:proofErr w:type="spellStart"/>
      <w:r w:rsidRPr="00B3369E">
        <w:rPr>
          <w:rFonts w:ascii="Times New Roman" w:hAnsi="Times New Roman" w:cs="Times New Roman"/>
          <w:color w:val="212121"/>
          <w:sz w:val="24"/>
          <w:szCs w:val="24"/>
          <w:shd w:val="clear" w:color="auto" w:fill="FFFFFF"/>
        </w:rPr>
        <w:t>cheque</w:t>
      </w:r>
      <w:proofErr w:type="spellEnd"/>
      <w:r w:rsidRPr="00B3369E">
        <w:rPr>
          <w:rFonts w:ascii="Times New Roman" w:hAnsi="Times New Roman" w:cs="Times New Roman"/>
          <w:color w:val="212121"/>
          <w:sz w:val="24"/>
          <w:szCs w:val="24"/>
          <w:shd w:val="clear" w:color="auto" w:fill="FFFFFF"/>
        </w:rPr>
        <w:t xml:space="preserve">. </w:t>
      </w:r>
      <w:proofErr w:type="spellStart"/>
      <w:proofErr w:type="gramStart"/>
      <w:r w:rsidRPr="00B3369E">
        <w:rPr>
          <w:rFonts w:ascii="Times New Roman" w:hAnsi="Times New Roman" w:cs="Times New Roman"/>
          <w:color w:val="212121"/>
          <w:sz w:val="24"/>
          <w:szCs w:val="24"/>
          <w:shd w:val="clear" w:color="auto" w:fill="FFFFFF"/>
        </w:rPr>
        <w:t>cheque</w:t>
      </w:r>
      <w:proofErr w:type="spellEnd"/>
      <w:proofErr w:type="gramEnd"/>
      <w:r w:rsidRPr="00B3369E">
        <w:rPr>
          <w:rFonts w:ascii="Times New Roman" w:hAnsi="Times New Roman" w:cs="Times New Roman"/>
          <w:color w:val="212121"/>
          <w:sz w:val="24"/>
          <w:szCs w:val="24"/>
          <w:shd w:val="clear" w:color="auto" w:fill="FFFFFF"/>
        </w:rPr>
        <w:t xml:space="preserve"> (with other </w:t>
      </w:r>
      <w:proofErr w:type="spellStart"/>
      <w:r w:rsidRPr="00B3369E">
        <w:rPr>
          <w:rFonts w:ascii="Times New Roman" w:hAnsi="Times New Roman" w:cs="Times New Roman"/>
          <w:color w:val="212121"/>
          <w:sz w:val="24"/>
          <w:szCs w:val="24"/>
          <w:shd w:val="clear" w:color="auto" w:fill="FFFFFF"/>
        </w:rPr>
        <w:t>cheque</w:t>
      </w:r>
      <w:proofErr w:type="spellEnd"/>
      <w:r w:rsidRPr="00B3369E">
        <w:rPr>
          <w:rFonts w:ascii="Times New Roman" w:hAnsi="Times New Roman" w:cs="Times New Roman"/>
          <w:color w:val="212121"/>
          <w:sz w:val="24"/>
          <w:szCs w:val="24"/>
          <w:shd w:val="clear" w:color="auto" w:fill="FFFFFF"/>
        </w:rPr>
        <w:t xml:space="preserve">) are drawn where banks / branches are distributed. When the fund is available, the </w:t>
      </w:r>
      <w:proofErr w:type="spellStart"/>
      <w:r w:rsidRPr="00B3369E">
        <w:rPr>
          <w:rFonts w:ascii="Times New Roman" w:hAnsi="Times New Roman" w:cs="Times New Roman"/>
          <w:color w:val="212121"/>
          <w:sz w:val="24"/>
          <w:szCs w:val="24"/>
          <w:shd w:val="clear" w:color="auto" w:fill="FFFFFF"/>
        </w:rPr>
        <w:t>cheque</w:t>
      </w:r>
      <w:proofErr w:type="spellEnd"/>
      <w:r w:rsidRPr="00B3369E">
        <w:rPr>
          <w:rFonts w:ascii="Times New Roman" w:hAnsi="Times New Roman" w:cs="Times New Roman"/>
          <w:color w:val="212121"/>
          <w:sz w:val="24"/>
          <w:szCs w:val="24"/>
          <w:shd w:val="clear" w:color="auto" w:fill="FFFFFF"/>
        </w:rPr>
        <w:t xml:space="preserve"> for payment is passed and the banker is satisfied with the authenticity of the </w:t>
      </w:r>
      <w:proofErr w:type="spellStart"/>
      <w:r w:rsidRPr="00B3369E">
        <w:rPr>
          <w:rFonts w:ascii="Times New Roman" w:hAnsi="Times New Roman" w:cs="Times New Roman"/>
          <w:color w:val="212121"/>
          <w:sz w:val="24"/>
          <w:szCs w:val="24"/>
          <w:shd w:val="clear" w:color="auto" w:fill="FFFFFF"/>
        </w:rPr>
        <w:t>machine.Unpaid</w:t>
      </w:r>
      <w:proofErr w:type="spellEnd"/>
      <w:r w:rsidRPr="00B3369E">
        <w:rPr>
          <w:rFonts w:ascii="Times New Roman" w:hAnsi="Times New Roman" w:cs="Times New Roman"/>
          <w:color w:val="212121"/>
          <w:sz w:val="24"/>
          <w:szCs w:val="24"/>
          <w:shd w:val="clear" w:color="auto" w:fill="FFFFFF"/>
        </w:rPr>
        <w:t xml:space="preserve"> </w:t>
      </w:r>
      <w:proofErr w:type="spellStart"/>
      <w:r w:rsidRPr="00B3369E">
        <w:rPr>
          <w:rFonts w:ascii="Times New Roman" w:hAnsi="Times New Roman" w:cs="Times New Roman"/>
          <w:color w:val="212121"/>
          <w:sz w:val="24"/>
          <w:szCs w:val="24"/>
          <w:shd w:val="clear" w:color="auto" w:fill="FFFFFF"/>
        </w:rPr>
        <w:t>cheque</w:t>
      </w:r>
      <w:proofErr w:type="spellEnd"/>
      <w:r w:rsidRPr="00B3369E">
        <w:rPr>
          <w:rFonts w:ascii="Times New Roman" w:hAnsi="Times New Roman" w:cs="Times New Roman"/>
          <w:color w:val="212121"/>
          <w:sz w:val="24"/>
          <w:szCs w:val="24"/>
          <w:shd w:val="clear" w:color="auto" w:fill="FFFFFF"/>
        </w:rPr>
        <w:t xml:space="preserve"> come back to the presenter's bank by another clearing called return clearing. Refund collection comes after clearing end and absence of an unpaid </w:t>
      </w:r>
      <w:proofErr w:type="spellStart"/>
      <w:r w:rsidRPr="00B3369E">
        <w:rPr>
          <w:rFonts w:ascii="Times New Roman" w:hAnsi="Times New Roman" w:cs="Times New Roman"/>
          <w:color w:val="212121"/>
          <w:sz w:val="24"/>
          <w:szCs w:val="24"/>
          <w:shd w:val="clear" w:color="auto" w:fill="FFFFFF"/>
        </w:rPr>
        <w:t>cheque</w:t>
      </w:r>
      <w:proofErr w:type="spellEnd"/>
      <w:r w:rsidRPr="00B3369E">
        <w:rPr>
          <w:rFonts w:ascii="Times New Roman" w:hAnsi="Times New Roman" w:cs="Times New Roman"/>
          <w:color w:val="212121"/>
          <w:sz w:val="24"/>
          <w:szCs w:val="24"/>
          <w:shd w:val="clear" w:color="auto" w:fill="FFFFFF"/>
        </w:rPr>
        <w:t>.</w:t>
      </w:r>
    </w:p>
    <w:p w:rsidR="00B3369E" w:rsidRPr="00B3369E" w:rsidRDefault="00B3369E" w:rsidP="00B3369E">
      <w:pPr>
        <w:pStyle w:val="HTMLPreformatted"/>
        <w:spacing w:line="276" w:lineRule="auto"/>
        <w:ind w:left="720"/>
        <w:jc w:val="both"/>
        <w:rPr>
          <w:rFonts w:ascii="Times New Roman" w:hAnsi="Times New Roman" w:cs="Times New Roman"/>
          <w:b/>
          <w:bCs/>
          <w:color w:val="212121"/>
          <w:sz w:val="24"/>
          <w:szCs w:val="24"/>
        </w:rPr>
      </w:pPr>
    </w:p>
    <w:p w:rsidR="00B3369E" w:rsidRPr="00B3369E" w:rsidRDefault="00B3369E" w:rsidP="00B3369E">
      <w:pPr>
        <w:pStyle w:val="HTMLPreformatted"/>
        <w:spacing w:line="276" w:lineRule="auto"/>
        <w:ind w:left="720"/>
        <w:jc w:val="both"/>
        <w:rPr>
          <w:rFonts w:ascii="Times New Roman" w:hAnsi="Times New Roman" w:cs="Times New Roman"/>
          <w:b/>
          <w:bCs/>
          <w:color w:val="212121"/>
          <w:sz w:val="24"/>
          <w:szCs w:val="24"/>
        </w:rPr>
      </w:pPr>
      <w:bookmarkStart w:id="36" w:name="_Toc6610579"/>
      <w:bookmarkStart w:id="37" w:name="_Toc6614005"/>
      <w:r w:rsidRPr="00B3369E">
        <w:rPr>
          <w:rStyle w:val="Heading3Char"/>
          <w:rFonts w:ascii="Times New Roman" w:hAnsi="Times New Roman" w:cs="Times New Roman"/>
          <w:color w:val="943634" w:themeColor="accent2" w:themeShade="BF"/>
          <w:sz w:val="24"/>
          <w:szCs w:val="24"/>
        </w:rPr>
        <w:t xml:space="preserve">2.2.3 </w:t>
      </w:r>
      <w:proofErr w:type="spellStart"/>
      <w:r w:rsidRPr="00B3369E">
        <w:rPr>
          <w:rStyle w:val="Heading3Char"/>
          <w:rFonts w:ascii="Times New Roman" w:hAnsi="Times New Roman" w:cs="Times New Roman"/>
          <w:color w:val="943634" w:themeColor="accent2" w:themeShade="BF"/>
          <w:sz w:val="24"/>
          <w:szCs w:val="24"/>
        </w:rPr>
        <w:t>Cheque</w:t>
      </w:r>
      <w:proofErr w:type="spellEnd"/>
      <w:r w:rsidRPr="00B3369E">
        <w:rPr>
          <w:rStyle w:val="Heading3Char"/>
          <w:rFonts w:ascii="Times New Roman" w:hAnsi="Times New Roman" w:cs="Times New Roman"/>
          <w:color w:val="943634" w:themeColor="accent2" w:themeShade="BF"/>
          <w:sz w:val="24"/>
          <w:szCs w:val="24"/>
        </w:rPr>
        <w:t xml:space="preserve"> Issue:</w:t>
      </w:r>
      <w:bookmarkEnd w:id="36"/>
      <w:bookmarkEnd w:id="37"/>
      <w:r w:rsidRPr="00B3369E">
        <w:rPr>
          <w:rFonts w:ascii="Times New Roman" w:hAnsi="Times New Roman" w:cs="Times New Roman"/>
          <w:color w:val="212121"/>
          <w:sz w:val="24"/>
          <w:szCs w:val="24"/>
        </w:rPr>
        <w:t xml:space="preserve"> </w:t>
      </w:r>
      <w:r w:rsidRPr="00B3369E">
        <w:rPr>
          <w:rFonts w:ascii="Times New Roman" w:hAnsi="Times New Roman" w:cs="Times New Roman"/>
          <w:color w:val="212121"/>
          <w:sz w:val="24"/>
          <w:szCs w:val="24"/>
          <w:shd w:val="clear" w:color="auto" w:fill="FFFFFF"/>
        </w:rPr>
        <w:t xml:space="preserve">When customers come to our premises to collect their books, they will have to sign in to their registration book. Then I issued their </w:t>
      </w:r>
      <w:proofErr w:type="spellStart"/>
      <w:r w:rsidRPr="00B3369E">
        <w:rPr>
          <w:rFonts w:ascii="Times New Roman" w:hAnsi="Times New Roman" w:cs="Times New Roman"/>
          <w:color w:val="212121"/>
          <w:sz w:val="24"/>
          <w:szCs w:val="24"/>
        </w:rPr>
        <w:t>Cheque</w:t>
      </w:r>
      <w:proofErr w:type="spellEnd"/>
      <w:r w:rsidRPr="00B3369E">
        <w:rPr>
          <w:rFonts w:ascii="Times New Roman" w:hAnsi="Times New Roman" w:cs="Times New Roman"/>
          <w:color w:val="212121"/>
          <w:sz w:val="24"/>
          <w:szCs w:val="24"/>
          <w:shd w:val="clear" w:color="auto" w:fill="FFFFFF"/>
        </w:rPr>
        <w:t xml:space="preserve"> books and gave them. After publishing the </w:t>
      </w:r>
      <w:proofErr w:type="spellStart"/>
      <w:r w:rsidRPr="00B3369E">
        <w:rPr>
          <w:rFonts w:ascii="Times New Roman" w:hAnsi="Times New Roman" w:cs="Times New Roman"/>
          <w:color w:val="212121"/>
          <w:sz w:val="24"/>
          <w:szCs w:val="24"/>
        </w:rPr>
        <w:t>Cheque</w:t>
      </w:r>
      <w:proofErr w:type="spellEnd"/>
      <w:r w:rsidRPr="00B3369E">
        <w:rPr>
          <w:rFonts w:ascii="Times New Roman" w:hAnsi="Times New Roman" w:cs="Times New Roman"/>
          <w:color w:val="212121"/>
          <w:sz w:val="24"/>
          <w:szCs w:val="24"/>
          <w:shd w:val="clear" w:color="auto" w:fill="FFFFFF"/>
        </w:rPr>
        <w:t xml:space="preserve"> book, they can use their </w:t>
      </w:r>
      <w:proofErr w:type="spellStart"/>
      <w:r w:rsidRPr="00B3369E">
        <w:rPr>
          <w:rFonts w:ascii="Times New Roman" w:hAnsi="Times New Roman" w:cs="Times New Roman"/>
          <w:color w:val="212121"/>
          <w:sz w:val="24"/>
          <w:szCs w:val="24"/>
        </w:rPr>
        <w:t>Cheque</w:t>
      </w:r>
      <w:proofErr w:type="spellEnd"/>
      <w:r w:rsidRPr="00B3369E">
        <w:rPr>
          <w:rFonts w:ascii="Times New Roman" w:hAnsi="Times New Roman" w:cs="Times New Roman"/>
          <w:color w:val="212121"/>
          <w:sz w:val="24"/>
          <w:szCs w:val="24"/>
          <w:shd w:val="clear" w:color="auto" w:fill="FFFFFF"/>
        </w:rPr>
        <w:t xml:space="preserve"> book at any time, but it can be between 9.00am to 4.00pm at the time of transaction.</w:t>
      </w:r>
    </w:p>
    <w:p w:rsidR="00B3369E" w:rsidRPr="00B3369E" w:rsidRDefault="00B3369E" w:rsidP="00B3369E">
      <w:pPr>
        <w:pStyle w:val="HTMLPreformatted"/>
        <w:spacing w:line="276" w:lineRule="auto"/>
        <w:ind w:left="720"/>
        <w:jc w:val="both"/>
        <w:rPr>
          <w:rFonts w:ascii="Times New Roman" w:hAnsi="Times New Roman" w:cs="Times New Roman"/>
          <w:color w:val="212121"/>
          <w:sz w:val="28"/>
          <w:szCs w:val="28"/>
          <w:shd w:val="clear" w:color="auto" w:fill="FFFFFF"/>
        </w:rPr>
      </w:pPr>
    </w:p>
    <w:p w:rsidR="00B3369E" w:rsidRPr="00B3369E" w:rsidRDefault="00B3369E" w:rsidP="00B3369E">
      <w:pPr>
        <w:pStyle w:val="HTMLPreformatted"/>
        <w:spacing w:line="276" w:lineRule="auto"/>
        <w:ind w:left="720"/>
        <w:jc w:val="both"/>
        <w:rPr>
          <w:rFonts w:ascii="Times New Roman" w:hAnsi="Times New Roman" w:cs="Times New Roman"/>
          <w:color w:val="212121"/>
          <w:sz w:val="24"/>
          <w:szCs w:val="24"/>
          <w:shd w:val="clear" w:color="auto" w:fill="FFFFFF"/>
        </w:rPr>
      </w:pPr>
      <w:bookmarkStart w:id="38" w:name="_Toc6610580"/>
      <w:bookmarkStart w:id="39" w:name="_Toc6614006"/>
      <w:r w:rsidRPr="00B3369E">
        <w:rPr>
          <w:rStyle w:val="Heading3Char"/>
          <w:rFonts w:ascii="Times New Roman" w:hAnsi="Times New Roman" w:cs="Times New Roman"/>
          <w:color w:val="943634" w:themeColor="accent2" w:themeShade="BF"/>
          <w:sz w:val="24"/>
          <w:szCs w:val="24"/>
        </w:rPr>
        <w:t>2.2.4 Real-time gross settlement (RTGS):</w:t>
      </w:r>
      <w:bookmarkEnd w:id="38"/>
      <w:bookmarkEnd w:id="39"/>
      <w:r w:rsidRPr="00B3369E">
        <w:rPr>
          <w:rFonts w:ascii="Times New Roman" w:hAnsi="Times New Roman" w:cs="Times New Roman"/>
          <w:color w:val="222222"/>
          <w:sz w:val="24"/>
          <w:szCs w:val="24"/>
          <w:shd w:val="clear" w:color="auto" w:fill="FFFFFF"/>
        </w:rPr>
        <w:t xml:space="preserve"> </w:t>
      </w:r>
      <w:r w:rsidRPr="00B3369E">
        <w:rPr>
          <w:rFonts w:ascii="Times New Roman" w:hAnsi="Times New Roman" w:cs="Times New Roman"/>
          <w:color w:val="212121"/>
          <w:sz w:val="24"/>
          <w:szCs w:val="24"/>
          <w:shd w:val="clear" w:color="auto" w:fill="FFFFFF"/>
        </w:rPr>
        <w:t xml:space="preserve">Expert fundraising system is changing where the money or security transfer is replaced by a bank over a total 'basis in any other bank on a real time basis, directly to the total settlement (RTGS) system. In the "real-time" settlement, a payment lane is not made as soon as possible, as long as they are not processed with fixed-fixed status. </w:t>
      </w:r>
      <w:r w:rsidRPr="00B3369E">
        <w:rPr>
          <w:rFonts w:ascii="Times New Roman" w:hAnsi="Times New Roman" w:cs="Times New Roman"/>
          <w:color w:val="212121"/>
          <w:sz w:val="24"/>
          <w:szCs w:val="24"/>
        </w:rPr>
        <w:t>Gross Settlement means that the lien is fixed on the basis of the direct basis, without any other transaction or collusion with it.  Settlement means that payment is the last and unexplainable once processed.</w:t>
      </w:r>
    </w:p>
    <w:p w:rsidR="00B3369E" w:rsidRPr="00B3369E" w:rsidRDefault="00B3369E" w:rsidP="00B3369E">
      <w:pPr>
        <w:pStyle w:val="Heading2"/>
        <w:ind w:left="720"/>
        <w:jc w:val="both"/>
        <w:rPr>
          <w:rFonts w:ascii="Times New Roman" w:hAnsi="Times New Roman" w:cs="Times New Roman"/>
          <w:b w:val="0"/>
          <w:bCs w:val="0"/>
          <w:color w:val="212121"/>
          <w:sz w:val="24"/>
          <w:szCs w:val="24"/>
        </w:rPr>
      </w:pPr>
      <w:bookmarkStart w:id="40" w:name="_Toc6610581"/>
      <w:bookmarkStart w:id="41" w:name="_Toc6614007"/>
      <w:r w:rsidRPr="00B3369E">
        <w:rPr>
          <w:rStyle w:val="Heading3Char"/>
          <w:rFonts w:ascii="Times New Roman" w:hAnsi="Times New Roman" w:cs="Times New Roman"/>
          <w:b/>
          <w:bCs/>
          <w:color w:val="943634" w:themeColor="accent2" w:themeShade="BF"/>
          <w:sz w:val="24"/>
          <w:szCs w:val="24"/>
        </w:rPr>
        <w:t>2.2.5 Client account statement:</w:t>
      </w:r>
      <w:r w:rsidRPr="00B3369E">
        <w:rPr>
          <w:rFonts w:ascii="Times New Roman" w:hAnsi="Times New Roman" w:cs="Times New Roman"/>
          <w:color w:val="212121"/>
        </w:rPr>
        <w:t xml:space="preserve"> </w:t>
      </w:r>
      <w:r w:rsidRPr="00B3369E">
        <w:rPr>
          <w:rFonts w:ascii="Times New Roman" w:hAnsi="Times New Roman" w:cs="Times New Roman"/>
          <w:b w:val="0"/>
          <w:bCs w:val="0"/>
          <w:color w:val="212121"/>
          <w:sz w:val="24"/>
          <w:szCs w:val="24"/>
        </w:rPr>
        <w:t>Some clients asked for their bank account statements. According to their needs, I gave a bank account statement to our customer. We do not apply any complains in the bank account statement.</w:t>
      </w:r>
      <w:bookmarkEnd w:id="40"/>
      <w:bookmarkEnd w:id="41"/>
    </w:p>
    <w:p w:rsidR="00B3369E" w:rsidRPr="00B3369E" w:rsidRDefault="00B3369E" w:rsidP="00B3369E">
      <w:pPr>
        <w:pStyle w:val="HTMLPreformatted"/>
        <w:shd w:val="clear" w:color="auto" w:fill="FFFFFF"/>
        <w:spacing w:line="276" w:lineRule="auto"/>
        <w:ind w:left="720"/>
        <w:jc w:val="both"/>
        <w:rPr>
          <w:rStyle w:val="Heading2Char"/>
          <w:rFonts w:ascii="Times New Roman" w:hAnsi="Times New Roman" w:cs="Times New Roman"/>
          <w:sz w:val="24"/>
          <w:szCs w:val="24"/>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rPr>
      </w:pPr>
      <w:bookmarkStart w:id="42" w:name="_Toc6610582"/>
      <w:bookmarkStart w:id="43" w:name="_Toc6614008"/>
      <w:r w:rsidRPr="00B3369E">
        <w:rPr>
          <w:rStyle w:val="Heading3Char"/>
          <w:rFonts w:ascii="Times New Roman" w:hAnsi="Times New Roman" w:cs="Times New Roman"/>
          <w:color w:val="943634" w:themeColor="accent2" w:themeShade="BF"/>
          <w:sz w:val="24"/>
          <w:szCs w:val="24"/>
        </w:rPr>
        <w:t>2.2.6 Scanning too many different documents:</w:t>
      </w:r>
      <w:bookmarkEnd w:id="42"/>
      <w:bookmarkEnd w:id="43"/>
      <w:r w:rsidRPr="00B3369E">
        <w:rPr>
          <w:rFonts w:ascii="Times New Roman" w:hAnsi="Times New Roman" w:cs="Times New Roman"/>
          <w:b/>
          <w:bCs/>
          <w:color w:val="212121"/>
          <w:sz w:val="24"/>
          <w:szCs w:val="24"/>
        </w:rPr>
        <w:t xml:space="preserve"> </w:t>
      </w:r>
      <w:r w:rsidRPr="00B3369E">
        <w:rPr>
          <w:rFonts w:ascii="Times New Roman" w:hAnsi="Times New Roman" w:cs="Times New Roman"/>
          <w:color w:val="212121"/>
          <w:sz w:val="24"/>
          <w:szCs w:val="24"/>
        </w:rPr>
        <w:t>When I am open an account for client then I have collect various documents from the customers Ex-national ID card, Passport, Driving license, commissioner certificate etc. So these documents should be scanned for banking purpose. After scanning the documents, I print it and send the original copy back to the customers.</w:t>
      </w:r>
    </w:p>
    <w:p w:rsidR="00B3369E" w:rsidRPr="00B3369E" w:rsidRDefault="00B3369E" w:rsidP="00B3369E">
      <w:pPr>
        <w:pStyle w:val="HTMLPreformatted"/>
        <w:spacing w:line="276" w:lineRule="auto"/>
        <w:ind w:left="720"/>
        <w:jc w:val="both"/>
        <w:rPr>
          <w:rStyle w:val="Heading2Char"/>
          <w:rFonts w:ascii="Times New Roman" w:hAnsi="Times New Roman" w:cs="Times New Roman"/>
          <w:sz w:val="24"/>
          <w:szCs w:val="24"/>
        </w:rPr>
      </w:pPr>
    </w:p>
    <w:p w:rsidR="00B3369E" w:rsidRPr="00B3369E" w:rsidRDefault="00B3369E" w:rsidP="00B3369E">
      <w:pPr>
        <w:pStyle w:val="HTMLPreformatted"/>
        <w:spacing w:line="276" w:lineRule="auto"/>
        <w:ind w:left="720"/>
        <w:jc w:val="both"/>
        <w:rPr>
          <w:rFonts w:ascii="Times New Roman" w:hAnsi="Times New Roman" w:cs="Times New Roman"/>
          <w:b/>
          <w:bCs/>
          <w:color w:val="212121"/>
          <w:sz w:val="24"/>
          <w:szCs w:val="24"/>
        </w:rPr>
      </w:pPr>
      <w:bookmarkStart w:id="44" w:name="_Toc6610583"/>
      <w:bookmarkStart w:id="45" w:name="_Toc6614009"/>
      <w:r w:rsidRPr="00B3369E">
        <w:rPr>
          <w:rStyle w:val="Heading3Char"/>
          <w:rFonts w:ascii="Times New Roman" w:hAnsi="Times New Roman" w:cs="Times New Roman"/>
          <w:color w:val="943634" w:themeColor="accent2" w:themeShade="BF"/>
          <w:sz w:val="24"/>
          <w:szCs w:val="24"/>
        </w:rPr>
        <w:t>2.2.7 Remittance:</w:t>
      </w:r>
      <w:bookmarkEnd w:id="44"/>
      <w:bookmarkEnd w:id="45"/>
      <w:r w:rsidRPr="00B3369E">
        <w:rPr>
          <w:rFonts w:ascii="Times New Roman" w:hAnsi="Times New Roman" w:cs="Times New Roman"/>
          <w:b/>
          <w:bCs/>
          <w:color w:val="212121"/>
          <w:sz w:val="24"/>
          <w:szCs w:val="24"/>
        </w:rPr>
        <w:t xml:space="preserve"> </w:t>
      </w:r>
      <w:r w:rsidRPr="00B3369E">
        <w:rPr>
          <w:rFonts w:ascii="Times New Roman" w:hAnsi="Times New Roman" w:cs="Times New Roman"/>
          <w:color w:val="212121"/>
          <w:sz w:val="24"/>
          <w:szCs w:val="24"/>
        </w:rPr>
        <w:t>When I worked, a remittance was changed in the sense of a person in their country, by a foreign worker. One of the biggest financial flows in the competitive country with the international help in eliminating money transfer money is one. The worker's remittance is a special part of the international currency flow, inside.</w:t>
      </w:r>
    </w:p>
    <w:p w:rsidR="00B3369E" w:rsidRPr="00B3369E" w:rsidRDefault="00B3369E" w:rsidP="00B3369E">
      <w:pPr>
        <w:pStyle w:val="HTMLPreformatted"/>
        <w:shd w:val="clear" w:color="auto" w:fill="FFFFFF"/>
        <w:spacing w:line="276" w:lineRule="auto"/>
        <w:ind w:left="720"/>
        <w:jc w:val="both"/>
        <w:rPr>
          <w:rStyle w:val="Heading2Char"/>
          <w:rFonts w:ascii="Times New Roman" w:hAnsi="Times New Roman" w:cs="Times New Roman"/>
          <w:sz w:val="24"/>
          <w:szCs w:val="24"/>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rPr>
      </w:pPr>
      <w:bookmarkStart w:id="46" w:name="_Toc6610584"/>
      <w:bookmarkStart w:id="47" w:name="_Toc6614010"/>
      <w:r w:rsidRPr="00B3369E">
        <w:rPr>
          <w:rStyle w:val="Heading3Char"/>
          <w:rFonts w:ascii="Times New Roman" w:hAnsi="Times New Roman" w:cs="Times New Roman"/>
          <w:color w:val="943634" w:themeColor="accent2" w:themeShade="BF"/>
          <w:sz w:val="24"/>
          <w:szCs w:val="24"/>
        </w:rPr>
        <w:t xml:space="preserve">2.2.8 </w:t>
      </w:r>
      <w:proofErr w:type="spellStart"/>
      <w:r w:rsidRPr="00B3369E">
        <w:rPr>
          <w:rStyle w:val="Heading3Char"/>
          <w:rFonts w:ascii="Times New Roman" w:hAnsi="Times New Roman" w:cs="Times New Roman"/>
          <w:color w:val="943634" w:themeColor="accent2" w:themeShade="BF"/>
          <w:sz w:val="24"/>
          <w:szCs w:val="24"/>
        </w:rPr>
        <w:t>Nostro</w:t>
      </w:r>
      <w:proofErr w:type="spellEnd"/>
      <w:r w:rsidRPr="00B3369E">
        <w:rPr>
          <w:rStyle w:val="Heading3Char"/>
          <w:rFonts w:ascii="Times New Roman" w:hAnsi="Times New Roman" w:cs="Times New Roman"/>
          <w:color w:val="943634" w:themeColor="accent2" w:themeShade="BF"/>
          <w:sz w:val="24"/>
          <w:szCs w:val="24"/>
        </w:rPr>
        <w:t xml:space="preserve"> and </w:t>
      </w:r>
      <w:proofErr w:type="spellStart"/>
      <w:r w:rsidRPr="00B3369E">
        <w:rPr>
          <w:rStyle w:val="Heading3Char"/>
          <w:rFonts w:ascii="Times New Roman" w:hAnsi="Times New Roman" w:cs="Times New Roman"/>
          <w:color w:val="943634" w:themeColor="accent2" w:themeShade="BF"/>
          <w:sz w:val="24"/>
          <w:szCs w:val="24"/>
        </w:rPr>
        <w:t>Vostro</w:t>
      </w:r>
      <w:proofErr w:type="spellEnd"/>
      <w:r w:rsidRPr="00B3369E">
        <w:rPr>
          <w:rStyle w:val="Heading3Char"/>
          <w:rFonts w:ascii="Times New Roman" w:hAnsi="Times New Roman" w:cs="Times New Roman"/>
          <w:color w:val="943634" w:themeColor="accent2" w:themeShade="BF"/>
          <w:sz w:val="24"/>
          <w:szCs w:val="24"/>
        </w:rPr>
        <w:t xml:space="preserve"> account:</w:t>
      </w:r>
      <w:bookmarkEnd w:id="46"/>
      <w:bookmarkEnd w:id="47"/>
      <w:r w:rsidRPr="00B3369E">
        <w:rPr>
          <w:rFonts w:ascii="Times New Roman" w:hAnsi="Times New Roman" w:cs="Times New Roman"/>
          <w:b/>
          <w:bCs/>
          <w:color w:val="212121"/>
          <w:sz w:val="24"/>
          <w:szCs w:val="24"/>
        </w:rPr>
        <w:t xml:space="preserve"> </w:t>
      </w:r>
      <w:proofErr w:type="spellStart"/>
      <w:r w:rsidRPr="00B3369E">
        <w:rPr>
          <w:rFonts w:ascii="Times New Roman" w:hAnsi="Times New Roman" w:cs="Times New Roman"/>
          <w:color w:val="212121"/>
          <w:sz w:val="24"/>
          <w:szCs w:val="24"/>
        </w:rPr>
        <w:t>Vostro</w:t>
      </w:r>
      <w:proofErr w:type="spellEnd"/>
      <w:r w:rsidRPr="00B3369E">
        <w:rPr>
          <w:rFonts w:ascii="Times New Roman" w:hAnsi="Times New Roman" w:cs="Times New Roman"/>
          <w:color w:val="212121"/>
          <w:sz w:val="24"/>
          <w:szCs w:val="24"/>
        </w:rPr>
        <w:t xml:space="preserve"> account is the country's currency where the money is placed on deposits. A </w:t>
      </w:r>
      <w:proofErr w:type="spellStart"/>
      <w:r w:rsidRPr="00B3369E">
        <w:rPr>
          <w:rFonts w:ascii="Times New Roman" w:hAnsi="Times New Roman" w:cs="Times New Roman"/>
          <w:color w:val="212121"/>
          <w:sz w:val="24"/>
          <w:szCs w:val="24"/>
        </w:rPr>
        <w:t>nostro</w:t>
      </w:r>
      <w:proofErr w:type="spellEnd"/>
      <w:r w:rsidRPr="00B3369E">
        <w:rPr>
          <w:rFonts w:ascii="Times New Roman" w:hAnsi="Times New Roman" w:cs="Times New Roman"/>
          <w:color w:val="212121"/>
          <w:sz w:val="24"/>
          <w:szCs w:val="24"/>
        </w:rPr>
        <w:t xml:space="preserve"> account with bank is record of another bank. </w:t>
      </w:r>
      <w:proofErr w:type="spellStart"/>
      <w:r w:rsidRPr="00B3369E">
        <w:rPr>
          <w:rFonts w:ascii="Times New Roman" w:hAnsi="Times New Roman" w:cs="Times New Roman"/>
          <w:color w:val="212121"/>
          <w:sz w:val="24"/>
          <w:szCs w:val="24"/>
        </w:rPr>
        <w:t>Nostro</w:t>
      </w:r>
      <w:proofErr w:type="spellEnd"/>
      <w:r w:rsidRPr="00B3369E">
        <w:rPr>
          <w:rFonts w:ascii="Times New Roman" w:hAnsi="Times New Roman" w:cs="Times New Roman"/>
          <w:color w:val="212121"/>
          <w:sz w:val="24"/>
          <w:szCs w:val="24"/>
        </w:rPr>
        <w:t xml:space="preserve"> accounts are often used to make trading and overseas exchange transactions easier.</w:t>
      </w:r>
    </w:p>
    <w:p w:rsid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48" w:name="_Toc6610585"/>
      <w:bookmarkStart w:id="49" w:name="_Toc6614011"/>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r w:rsidRPr="00B3369E">
        <w:rPr>
          <w:rFonts w:ascii="Times New Roman" w:hAnsi="Times New Roman" w:cs="Times New Roman"/>
          <w:color w:val="632423" w:themeColor="accent2" w:themeShade="80"/>
          <w:sz w:val="28"/>
          <w:szCs w:val="28"/>
        </w:rPr>
        <w:t xml:space="preserve">2.3 Learned from </w:t>
      </w:r>
      <w:proofErr w:type="spellStart"/>
      <w:r w:rsidRPr="00B3369E">
        <w:rPr>
          <w:rFonts w:ascii="Times New Roman" w:hAnsi="Times New Roman" w:cs="Times New Roman"/>
          <w:color w:val="632423" w:themeColor="accent2" w:themeShade="80"/>
          <w:sz w:val="28"/>
          <w:szCs w:val="28"/>
        </w:rPr>
        <w:t>Dach-Bangla</w:t>
      </w:r>
      <w:proofErr w:type="spellEnd"/>
      <w:r w:rsidRPr="00B3369E">
        <w:rPr>
          <w:rFonts w:ascii="Times New Roman" w:hAnsi="Times New Roman" w:cs="Times New Roman"/>
          <w:color w:val="632423" w:themeColor="accent2" w:themeShade="80"/>
          <w:sz w:val="28"/>
          <w:szCs w:val="28"/>
        </w:rPr>
        <w:t xml:space="preserve"> Bank Limited:</w:t>
      </w:r>
      <w:bookmarkEnd w:id="48"/>
      <w:bookmarkEnd w:id="49"/>
      <w:r w:rsidRPr="00B3369E">
        <w:rPr>
          <w:rFonts w:ascii="Times New Roman" w:hAnsi="Times New Roman" w:cs="Times New Roman"/>
          <w:color w:val="632423" w:themeColor="accent2" w:themeShade="80"/>
          <w:sz w:val="28"/>
          <w:szCs w:val="28"/>
        </w:rPr>
        <w:t xml:space="preserve"> </w:t>
      </w:r>
    </w:p>
    <w:p w:rsidR="00B3369E" w:rsidRPr="00B3369E" w:rsidRDefault="00B3369E" w:rsidP="00B3369E">
      <w:pPr>
        <w:pStyle w:val="HTMLPreformatted"/>
        <w:spacing w:line="276" w:lineRule="auto"/>
        <w:jc w:val="both"/>
        <w:rPr>
          <w:rFonts w:ascii="Times New Roman" w:hAnsi="Times New Roman" w:cs="Times New Roman"/>
          <w:b/>
          <w:bCs/>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Learned from the internship program was a different habit because this event is very important for students' resonance.</w:t>
      </w:r>
    </w:p>
    <w:p w:rsidR="00B3369E" w:rsidRPr="00B3369E" w:rsidRDefault="00B3369E" w:rsidP="00B3369E">
      <w:pPr>
        <w:pStyle w:val="HTMLPreformatted"/>
        <w:jc w:val="both"/>
        <w:rPr>
          <w:rFonts w:ascii="Times New Roman" w:hAnsi="Times New Roman" w:cs="Times New Roman"/>
          <w:color w:val="212121"/>
          <w:sz w:val="24"/>
          <w:szCs w:val="24"/>
        </w:rPr>
      </w:pPr>
    </w:p>
    <w:p w:rsidR="00B3369E" w:rsidRPr="00B3369E" w:rsidRDefault="00B3369E" w:rsidP="001B0E2C">
      <w:pPr>
        <w:pStyle w:val="HTMLPreformatted"/>
        <w:numPr>
          <w:ilvl w:val="0"/>
          <w:numId w:val="7"/>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 duration is essential, whether it is to wake up in the morning or work on time. It shows that I engage in my work, and I am capable of all the responsibilities.</w:t>
      </w:r>
    </w:p>
    <w:p w:rsidR="00B3369E" w:rsidRPr="00B3369E" w:rsidRDefault="00B3369E" w:rsidP="001B0E2C">
      <w:pPr>
        <w:pStyle w:val="HTMLPreformatted"/>
        <w:numPr>
          <w:ilvl w:val="0"/>
          <w:numId w:val="7"/>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I got a lot of banking activity, such as an account opened and closing account instead the client different types of different types of situation  away the clearing, remittance, </w:t>
      </w:r>
      <w:proofErr w:type="spellStart"/>
      <w:r w:rsidRPr="00B3369E">
        <w:rPr>
          <w:rFonts w:ascii="Times New Roman" w:hAnsi="Times New Roman" w:cs="Times New Roman"/>
          <w:color w:val="212121"/>
          <w:sz w:val="24"/>
          <w:szCs w:val="24"/>
        </w:rPr>
        <w:t>nostro</w:t>
      </w:r>
      <w:proofErr w:type="spellEnd"/>
      <w:r w:rsidRPr="00B3369E">
        <w:rPr>
          <w:rFonts w:ascii="Times New Roman" w:hAnsi="Times New Roman" w:cs="Times New Roman"/>
          <w:color w:val="212121"/>
          <w:sz w:val="24"/>
          <w:szCs w:val="24"/>
        </w:rPr>
        <w:t xml:space="preserve"> and </w:t>
      </w:r>
      <w:proofErr w:type="spellStart"/>
      <w:r w:rsidRPr="00B3369E">
        <w:rPr>
          <w:rFonts w:ascii="Times New Roman" w:hAnsi="Times New Roman" w:cs="Times New Roman"/>
          <w:color w:val="212121"/>
          <w:sz w:val="24"/>
          <w:szCs w:val="24"/>
        </w:rPr>
        <w:t>vestro</w:t>
      </w:r>
      <w:proofErr w:type="spellEnd"/>
      <w:r w:rsidRPr="00B3369E">
        <w:rPr>
          <w:rFonts w:ascii="Times New Roman" w:hAnsi="Times New Roman" w:cs="Times New Roman"/>
          <w:color w:val="212121"/>
          <w:sz w:val="24"/>
          <w:szCs w:val="24"/>
        </w:rPr>
        <w:t xml:space="preserve"> accounts, import and export transactions with the deal.</w:t>
      </w:r>
    </w:p>
    <w:p w:rsidR="00B3369E" w:rsidRPr="00B3369E" w:rsidRDefault="00B3369E" w:rsidP="001B0E2C">
      <w:pPr>
        <w:pStyle w:val="HTMLPreformatted"/>
        <w:numPr>
          <w:ilvl w:val="0"/>
          <w:numId w:val="7"/>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At the time, I had to deal with different designated employee and different type’s client of branches in the company with me. I saw their transactions in different situations.</w:t>
      </w:r>
    </w:p>
    <w:p w:rsidR="00B3369E" w:rsidRPr="00B3369E" w:rsidRDefault="00B3369E" w:rsidP="001B0E2C">
      <w:pPr>
        <w:pStyle w:val="HTMLPreformatted"/>
        <w:numPr>
          <w:ilvl w:val="0"/>
          <w:numId w:val="7"/>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 know how an office environment is and how it has been employed and dealing with the customer.</w:t>
      </w:r>
    </w:p>
    <w:p w:rsidR="00B3369E" w:rsidRPr="00B3369E" w:rsidRDefault="00B3369E" w:rsidP="001B0E2C">
      <w:pPr>
        <w:pStyle w:val="HTMLPreformatted"/>
        <w:numPr>
          <w:ilvl w:val="0"/>
          <w:numId w:val="7"/>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This experience undoubtedly made me the next corporate life.</w:t>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shd w:val="clear" w:color="auto" w:fill="FFFFFF"/>
        </w:rPr>
      </w:pPr>
      <w:bookmarkStart w:id="50" w:name="_Toc6610586"/>
      <w:bookmarkStart w:id="51" w:name="_Toc6614012"/>
      <w:r w:rsidRPr="00B3369E">
        <w:rPr>
          <w:rFonts w:ascii="Times New Roman" w:hAnsi="Times New Roman" w:cs="Times New Roman"/>
          <w:color w:val="632423" w:themeColor="accent2" w:themeShade="80"/>
          <w:sz w:val="28"/>
          <w:szCs w:val="28"/>
          <w:shd w:val="clear" w:color="auto" w:fill="FFFFFF"/>
        </w:rPr>
        <w:t>2.4 Lessons learned from internship at the program</w:t>
      </w:r>
      <w:bookmarkEnd w:id="50"/>
      <w:bookmarkEnd w:id="51"/>
    </w:p>
    <w:p w:rsidR="00B3369E" w:rsidRPr="00B3369E" w:rsidRDefault="00B3369E" w:rsidP="00B3369E">
      <w:pPr>
        <w:spacing w:after="0"/>
        <w:rPr>
          <w:rFonts w:ascii="Times New Roman" w:hAnsi="Times New Roman" w:cs="Times New Roman"/>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I believe that following the internship at DBBL is a very productive experience. It gives me an opportunity to submit knowledge about art. I learned about banks about Basel III acquisition processes, service delivery strategies. DBBL's work environment was excellent and everyone at the office was very welcome to me. </w:t>
      </w:r>
      <w:r w:rsidRPr="00B3369E">
        <w:rPr>
          <w:rFonts w:ascii="Times New Roman" w:hAnsi="Times New Roman" w:cs="Times New Roman"/>
          <w:color w:val="212121"/>
          <w:sz w:val="24"/>
          <w:szCs w:val="24"/>
          <w:shd w:val="clear" w:color="auto" w:fill="FFFFFF"/>
        </w:rPr>
        <w:t>On the program's direction, I have some nice people that are quite knowledgeable and I meet them in the field. Simply communicating with them and expending me spent a lot of self-confidence gradually. Every day there were some new stars to learn from them that their timetables, skills, experience, knowledge, dress and even their thinking process.</w:t>
      </w:r>
      <w:r w:rsidRPr="00B3369E">
        <w:rPr>
          <w:rFonts w:ascii="Times New Roman" w:hAnsi="Times New Roman" w:cs="Times New Roman"/>
          <w:color w:val="212121"/>
          <w:sz w:val="24"/>
          <w:szCs w:val="24"/>
        </w:rPr>
        <w:t xml:space="preserve"> This experience has been invaluable for me and I'm confident that I must be able to grow up as a person and I can help both of them succeed in my professional and personal life help, I learned from this internship program.</w:t>
      </w:r>
    </w:p>
    <w:p w:rsidR="00B3369E" w:rsidRPr="00B3369E" w:rsidRDefault="00B3369E" w:rsidP="00B3369E">
      <w:pPr>
        <w:jc w:val="both"/>
        <w:rPr>
          <w:rFonts w:ascii="Times New Roman" w:hAnsi="Times New Roman" w:cs="Times New Roman"/>
          <w:b/>
          <w:bCs/>
          <w:sz w:val="24"/>
          <w:szCs w:val="24"/>
        </w:rPr>
      </w:pPr>
    </w:p>
    <w:p w:rsidR="00B3369E" w:rsidRPr="00B3369E" w:rsidRDefault="00B3369E" w:rsidP="00B3369E">
      <w:pPr>
        <w:pStyle w:val="Heading1"/>
        <w:jc w:val="center"/>
        <w:rPr>
          <w:rFonts w:ascii="Times New Roman" w:hAnsi="Times New Roman" w:cs="Times New Roman"/>
          <w:color w:val="002060"/>
          <w:sz w:val="36"/>
          <w:szCs w:val="36"/>
        </w:rPr>
      </w:pPr>
      <w:bookmarkStart w:id="52" w:name="_Toc6610587"/>
      <w:bookmarkStart w:id="53" w:name="_Toc6614013"/>
      <w:r w:rsidRPr="00B3369E">
        <w:rPr>
          <w:rFonts w:ascii="Times New Roman" w:hAnsi="Times New Roman" w:cs="Times New Roman"/>
          <w:color w:val="002060"/>
          <w:sz w:val="36"/>
          <w:szCs w:val="36"/>
        </w:rPr>
        <w:t>Chapter-3: An Overview of Dutch-Bangla Limited</w:t>
      </w:r>
      <w:bookmarkEnd w:id="52"/>
      <w:bookmarkEnd w:id="53"/>
    </w:p>
    <w:p w:rsidR="00B3369E" w:rsidRPr="00B3369E" w:rsidRDefault="00B3369E" w:rsidP="00B3369E">
      <w:pPr>
        <w:spacing w:after="0"/>
        <w:rPr>
          <w:rFonts w:ascii="Times New Roman" w:hAnsi="Times New Roman" w:cs="Times New Roman"/>
        </w:rPr>
      </w:pP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54" w:name="_Toc6610588"/>
      <w:bookmarkStart w:id="55" w:name="_Toc6614014"/>
      <w:r w:rsidRPr="00B3369E">
        <w:rPr>
          <w:rFonts w:ascii="Times New Roman" w:hAnsi="Times New Roman" w:cs="Times New Roman"/>
          <w:color w:val="632423" w:themeColor="accent2" w:themeShade="80"/>
          <w:sz w:val="28"/>
          <w:szCs w:val="28"/>
        </w:rPr>
        <w:t>3.1 Historical Background:</w:t>
      </w:r>
      <w:bookmarkEnd w:id="54"/>
      <w:bookmarkEnd w:id="55"/>
    </w:p>
    <w:p w:rsidR="00B3369E" w:rsidRPr="00B3369E" w:rsidRDefault="00B3369E" w:rsidP="00B3369E">
      <w:pPr>
        <w:pStyle w:val="HTMLPreformatted"/>
        <w:shd w:val="clear" w:color="auto" w:fill="FFFFFF"/>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Times New Roman" w:eastAsiaTheme="minorHAnsi" w:hAnsi="Times New Roman" w:cs="Times New Roman"/>
          <w:sz w:val="22"/>
          <w:szCs w:val="28"/>
        </w:rPr>
      </w:pPr>
    </w:p>
    <w:p w:rsidR="00B3369E" w:rsidRPr="00B3369E" w:rsidRDefault="00B3369E" w:rsidP="00B3369E">
      <w:pPr>
        <w:pStyle w:val="HTMLPreformatted"/>
        <w:shd w:val="clear" w:color="auto" w:fill="FFFFFF"/>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shd w:val="clear" w:color="auto" w:fill="FFFFFF"/>
        </w:rPr>
        <w:t xml:space="preserve">Dutch-Bangla Bank Limited (Bank) is a scheduled commercial bank. Bank, DBBL, a schedule joint venture between a local Bangladeshi groups led by commercial bank M. </w:t>
      </w:r>
      <w:proofErr w:type="spellStart"/>
      <w:r w:rsidRPr="00B3369E">
        <w:rPr>
          <w:rFonts w:ascii="Times New Roman" w:hAnsi="Times New Roman" w:cs="Times New Roman"/>
          <w:color w:val="212121"/>
          <w:sz w:val="24"/>
          <w:szCs w:val="24"/>
          <w:shd w:val="clear" w:color="auto" w:fill="FFFFFF"/>
        </w:rPr>
        <w:t>Sahabuddin</w:t>
      </w:r>
      <w:proofErr w:type="spellEnd"/>
      <w:r w:rsidRPr="00B3369E">
        <w:rPr>
          <w:rFonts w:ascii="Times New Roman" w:hAnsi="Times New Roman" w:cs="Times New Roman"/>
          <w:color w:val="212121"/>
          <w:sz w:val="24"/>
          <w:szCs w:val="24"/>
          <w:shd w:val="clear" w:color="auto" w:fill="FFFFFF"/>
        </w:rPr>
        <w:t xml:space="preserve"> Ahmed (founder and chairman) and Dutch company FMO.</w:t>
      </w:r>
      <w:r w:rsidRPr="00B3369E">
        <w:rPr>
          <w:rFonts w:ascii="Times New Roman" w:hAnsi="Times New Roman" w:cs="Times New Roman"/>
          <w:color w:val="212121"/>
          <w:sz w:val="24"/>
          <w:szCs w:val="24"/>
        </w:rPr>
        <w:t xml:space="preserve"> Under the Bank Company Act 1991, the bank was established and incorporated as a public limited company on 24 July 1995 under Company Act, 1994, which is the main objective of all types of banking business in Bangladesh. The bank is listed in the stock Exchange (DSE) Limited and Chittagong Stock Exchange (CSE) Limited. Dutch-Bangla Bank Limited - Commercial bank started formal activities from June 3, 1996, scheduled for commercial European private joint ventures. The bank's head office is located in </w:t>
      </w:r>
      <w:proofErr w:type="spellStart"/>
      <w:r w:rsidRPr="00B3369E">
        <w:rPr>
          <w:rFonts w:ascii="Times New Roman" w:hAnsi="Times New Roman" w:cs="Times New Roman"/>
          <w:color w:val="212121"/>
          <w:sz w:val="24"/>
          <w:szCs w:val="24"/>
        </w:rPr>
        <w:t>Senkalian</w:t>
      </w:r>
      <w:proofErr w:type="spellEnd"/>
      <w:r w:rsidRPr="00B3369E">
        <w:rPr>
          <w:rFonts w:ascii="Times New Roman" w:hAnsi="Times New Roman" w:cs="Times New Roman"/>
          <w:color w:val="212121"/>
          <w:sz w:val="24"/>
          <w:szCs w:val="24"/>
        </w:rPr>
        <w:t xml:space="preserve"> Building (Fourth Floor), 195, Motijheel C / A, Dhaka, Bangladesh. The bank started its banking business with a branch on July 4, 1996. For several years, DBBL has expanded its service coverage by establishing strategically important branches in the area of ​​the country</w:t>
      </w:r>
      <w:r w:rsidRPr="00B3369E">
        <w:rPr>
          <w:rFonts w:ascii="Times New Roman" w:hAnsi="Times New Roman" w:cs="Times New Roman"/>
          <w:color w:val="212121"/>
          <w:sz w:val="24"/>
          <w:szCs w:val="24"/>
        </w:rPr>
        <w:tab/>
        <w:t>.</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shd w:val="clear" w:color="auto" w:fill="FFFFFF"/>
        </w:rPr>
        <w:t xml:space="preserve">From the beginning, the focus of the bank is to finance the high-growth manufacturing industry in Bangladesh. The production sector exports products to Bangladesh worldwide. </w:t>
      </w:r>
      <w:r w:rsidRPr="00B3369E">
        <w:rPr>
          <w:rFonts w:ascii="Times New Roman" w:hAnsi="Times New Roman" w:cs="Times New Roman"/>
          <w:color w:val="212121"/>
          <w:sz w:val="24"/>
          <w:szCs w:val="24"/>
        </w:rPr>
        <w:t>This will enable financing and focusing in this sector. Other focus of DBBL is Corporate Social Responsibility (CSR). Although CSR now has a clinch, DBBL is the leading and only contribution to this sector and contributing as a 'social responsibility'. DBBL has become the largest donor and largest bank provider in Bangladesh due to investment in this sector. The bank has won many international awards because of its unique approach as a socially aware bank. The first bank in Bangladesh was completely DBBL. The Electronic Banking Division was established in 2002 to bring fast automation and in this case to bring modern banking services. Complete Automation was completed in 2003 and thus introduced plastic money to Bangladeshi people. DBBL manages the country's largest ATM movement and through this process, the cost of the consumer exceeds 80%. Besides, DBBL has surprised many critics by choosing the low profit margins for this sector. DBBL follows the mass automation of banking as CSR activities and could never go on to achieve profits from this sector. As a result, it now provides unreasonable banking technology to all its customers. Due to this mentality, most of the local banks have joined DBBL's banking infrastructure instead of following their own.</w:t>
      </w: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56" w:name="_Toc6610589"/>
      <w:bookmarkStart w:id="57" w:name="_Toc6614015"/>
      <w:r w:rsidRPr="00B3369E">
        <w:rPr>
          <w:rFonts w:ascii="Times New Roman" w:hAnsi="Times New Roman" w:cs="Times New Roman"/>
          <w:color w:val="632423" w:themeColor="accent2" w:themeShade="80"/>
          <w:sz w:val="28"/>
          <w:szCs w:val="28"/>
        </w:rPr>
        <w:t>3.2 The Board Corporate Governance &amp; Its Committees:</w:t>
      </w:r>
      <w:bookmarkEnd w:id="56"/>
      <w:bookmarkEnd w:id="57"/>
    </w:p>
    <w:p w:rsidR="00B3369E" w:rsidRPr="00B3369E" w:rsidRDefault="00B3369E" w:rsidP="00B3369E">
      <w:pPr>
        <w:pStyle w:val="HTMLPreformatted"/>
        <w:shd w:val="clear" w:color="auto" w:fill="FFFFFF"/>
        <w:spacing w:line="276" w:lineRule="auto"/>
        <w:jc w:val="both"/>
        <w:rPr>
          <w:rFonts w:ascii="Times New Roman" w:hAnsi="Times New Roman" w:cs="Times New Roman"/>
          <w:b/>
          <w:bCs/>
          <w:color w:val="212121"/>
          <w:sz w:val="24"/>
          <w:szCs w:val="24"/>
          <w:u w:val="single"/>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 Board of directors has better skills, experience and expertise, among which the added value of better corporate governance of the bank and value for all stakeholders, is the most valuable. The Board provides its own responsibilities or through various committees. The Board meets its responsibilities on regular basis. The Board recently is making up of directors including a Chairman or five directors and one Managing director and CEO Ex office. All Directors Name:</w:t>
      </w:r>
    </w:p>
    <w:p w:rsidR="00B3369E" w:rsidRPr="00B3369E" w:rsidRDefault="00B3369E" w:rsidP="00B3369E">
      <w:pPr>
        <w:pStyle w:val="NoSpacing"/>
        <w:spacing w:line="276" w:lineRule="auto"/>
        <w:rPr>
          <w:rFonts w:ascii="Times New Roman" w:hAnsi="Times New Roman" w:cs="Times New Roman"/>
          <w:b/>
          <w:bCs/>
          <w:sz w:val="20"/>
          <w:szCs w:val="20"/>
        </w:rPr>
      </w:pPr>
    </w:p>
    <w:p w:rsidR="00B3369E" w:rsidRPr="00B3369E" w:rsidRDefault="00B3369E" w:rsidP="00B3369E">
      <w:pPr>
        <w:pStyle w:val="Tables"/>
      </w:pPr>
      <w:bookmarkStart w:id="58" w:name="_Toc6620241"/>
      <w:r w:rsidRPr="00B3369E">
        <w:t xml:space="preserve">Table 3: </w:t>
      </w:r>
      <w:r w:rsidR="00276A72">
        <w:fldChar w:fldCharType="begin"/>
      </w:r>
      <w:r w:rsidR="002324C7">
        <w:instrText xml:space="preserve"> SEQ Table_3: \* ARABIC </w:instrText>
      </w:r>
      <w:r w:rsidR="00276A72">
        <w:fldChar w:fldCharType="separate"/>
      </w:r>
      <w:r w:rsidRPr="00B3369E">
        <w:rPr>
          <w:noProof/>
        </w:rPr>
        <w:t>1</w:t>
      </w:r>
      <w:r w:rsidR="00276A72">
        <w:rPr>
          <w:noProof/>
        </w:rPr>
        <w:fldChar w:fldCharType="end"/>
      </w:r>
      <w:r w:rsidRPr="00B3369E">
        <w:t xml:space="preserve"> Dutch-Bangla Bank Board of Directors Name</w:t>
      </w:r>
      <w:bookmarkEnd w:id="58"/>
    </w:p>
    <w:tbl>
      <w:tblPr>
        <w:tblStyle w:val="TableGrid"/>
        <w:tblW w:w="5000" w:type="pct"/>
        <w:jc w:val="center"/>
        <w:tblLook w:val="04A0"/>
      </w:tblPr>
      <w:tblGrid>
        <w:gridCol w:w="4100"/>
        <w:gridCol w:w="5143"/>
      </w:tblGrid>
      <w:tr w:rsidR="00B3369E" w:rsidRPr="00B3369E" w:rsidTr="004838D2">
        <w:trPr>
          <w:trHeight w:val="231"/>
          <w:jc w:val="center"/>
        </w:trPr>
        <w:tc>
          <w:tcPr>
            <w:tcW w:w="5000" w:type="pct"/>
            <w:gridSpan w:val="2"/>
            <w:shd w:val="clear" w:color="auto" w:fill="auto"/>
            <w:vAlign w:val="center"/>
          </w:tcPr>
          <w:p w:rsidR="00B3369E" w:rsidRPr="00B3369E" w:rsidRDefault="00B3369E" w:rsidP="004838D2">
            <w:pPr>
              <w:autoSpaceDE w:val="0"/>
              <w:autoSpaceDN w:val="0"/>
              <w:adjustRightInd w:val="0"/>
              <w:jc w:val="center"/>
              <w:rPr>
                <w:rFonts w:ascii="Times New Roman" w:eastAsia="Klavika-Bold" w:hAnsi="Times New Roman" w:cs="Times New Roman"/>
                <w:b/>
                <w:bCs/>
                <w:sz w:val="20"/>
                <w:szCs w:val="20"/>
              </w:rPr>
            </w:pPr>
            <w:r w:rsidRPr="00B3369E">
              <w:rPr>
                <w:rFonts w:ascii="Times New Roman" w:eastAsia="Klavika-Bold" w:hAnsi="Times New Roman" w:cs="Times New Roman"/>
                <w:b/>
                <w:bCs/>
                <w:sz w:val="20"/>
                <w:szCs w:val="20"/>
              </w:rPr>
              <w:t>Founder, Dutch-Bangla Bank &amp; Chairman, Dutch-Bangla Bank Foundation</w:t>
            </w:r>
          </w:p>
        </w:tc>
      </w:tr>
      <w:tr w:rsidR="00B3369E" w:rsidRPr="00B3369E" w:rsidTr="004838D2">
        <w:trPr>
          <w:trHeight w:val="115"/>
          <w:jc w:val="center"/>
        </w:trPr>
        <w:tc>
          <w:tcPr>
            <w:tcW w:w="5000" w:type="pct"/>
            <w:gridSpan w:val="2"/>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 xml:space="preserve">Mr. M. </w:t>
            </w:r>
            <w:proofErr w:type="spellStart"/>
            <w:r w:rsidRPr="00B3369E">
              <w:rPr>
                <w:rFonts w:ascii="Times New Roman" w:eastAsia="Klavika-Regular" w:hAnsi="Times New Roman" w:cs="Times New Roman"/>
                <w:b/>
                <w:bCs/>
              </w:rPr>
              <w:t>Sahabuddin</w:t>
            </w:r>
            <w:proofErr w:type="spellEnd"/>
            <w:r w:rsidRPr="00B3369E">
              <w:rPr>
                <w:rFonts w:ascii="Times New Roman" w:eastAsia="Klavika-Regular" w:hAnsi="Times New Roman" w:cs="Times New Roman"/>
                <w:b/>
                <w:bCs/>
              </w:rPr>
              <w:t xml:space="preserve"> Ahmed</w:t>
            </w:r>
          </w:p>
        </w:tc>
      </w:tr>
      <w:tr w:rsidR="00B3369E" w:rsidRPr="00B3369E" w:rsidTr="004838D2">
        <w:trPr>
          <w:trHeight w:val="202"/>
          <w:jc w:val="center"/>
        </w:trPr>
        <w:tc>
          <w:tcPr>
            <w:tcW w:w="5000" w:type="pct"/>
            <w:gridSpan w:val="2"/>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The Board</w:t>
            </w:r>
          </w:p>
        </w:tc>
      </w:tr>
      <w:tr w:rsidR="00B3369E" w:rsidRPr="00B3369E" w:rsidTr="004838D2">
        <w:trPr>
          <w:trHeight w:val="153"/>
          <w:jc w:val="center"/>
        </w:trPr>
        <w:tc>
          <w:tcPr>
            <w:tcW w:w="2218"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Chairman</w:t>
            </w:r>
          </w:p>
        </w:tc>
        <w:tc>
          <w:tcPr>
            <w:tcW w:w="2782"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 xml:space="preserve">Mr. </w:t>
            </w:r>
            <w:proofErr w:type="spellStart"/>
            <w:r w:rsidRPr="00B3369E">
              <w:rPr>
                <w:rFonts w:ascii="Times New Roman" w:hAnsi="Times New Roman" w:cs="Times New Roman"/>
                <w:b/>
                <w:bCs/>
              </w:rPr>
              <w:t>Sayem</w:t>
            </w:r>
            <w:proofErr w:type="spellEnd"/>
            <w:r w:rsidRPr="00B3369E">
              <w:rPr>
                <w:rFonts w:ascii="Times New Roman" w:hAnsi="Times New Roman" w:cs="Times New Roman"/>
                <w:b/>
                <w:bCs/>
              </w:rPr>
              <w:t xml:space="preserve"> Ahmed</w:t>
            </w:r>
          </w:p>
        </w:tc>
      </w:tr>
      <w:tr w:rsidR="00B3369E" w:rsidRPr="00B3369E" w:rsidTr="004838D2">
        <w:trPr>
          <w:trHeight w:val="240"/>
          <w:jc w:val="center"/>
        </w:trPr>
        <w:tc>
          <w:tcPr>
            <w:tcW w:w="5000" w:type="pct"/>
            <w:gridSpan w:val="2"/>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Directors</w:t>
            </w:r>
          </w:p>
        </w:tc>
      </w:tr>
      <w:tr w:rsidR="00B3369E" w:rsidRPr="00B3369E" w:rsidTr="004838D2">
        <w:trPr>
          <w:trHeight w:val="289"/>
          <w:jc w:val="center"/>
        </w:trPr>
        <w:tc>
          <w:tcPr>
            <w:tcW w:w="2218"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 xml:space="preserve">Mr. </w:t>
            </w:r>
            <w:proofErr w:type="spellStart"/>
            <w:r w:rsidRPr="00B3369E">
              <w:rPr>
                <w:rFonts w:ascii="Times New Roman" w:hAnsi="Times New Roman" w:cs="Times New Roman"/>
                <w:b/>
                <w:bCs/>
              </w:rPr>
              <w:t>Abedur</w:t>
            </w:r>
            <w:proofErr w:type="spellEnd"/>
            <w:r w:rsidRPr="00B3369E">
              <w:rPr>
                <w:rFonts w:ascii="Times New Roman" w:hAnsi="Times New Roman" w:cs="Times New Roman"/>
                <w:b/>
                <w:bCs/>
              </w:rPr>
              <w:t xml:space="preserve"> Rashid Khan</w:t>
            </w:r>
          </w:p>
        </w:tc>
        <w:tc>
          <w:tcPr>
            <w:tcW w:w="2782"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Sponsor Director</w:t>
            </w:r>
          </w:p>
        </w:tc>
      </w:tr>
      <w:tr w:rsidR="00B3369E" w:rsidRPr="00B3369E" w:rsidTr="004838D2">
        <w:trPr>
          <w:trHeight w:val="70"/>
          <w:jc w:val="center"/>
        </w:trPr>
        <w:tc>
          <w:tcPr>
            <w:tcW w:w="2218"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Mr. Bernhard Frey</w:t>
            </w:r>
          </w:p>
        </w:tc>
        <w:tc>
          <w:tcPr>
            <w:tcW w:w="2782"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eastAsia="Klavika-Regular" w:hAnsi="Times New Roman" w:cs="Times New Roman"/>
                <w:b/>
                <w:bCs/>
              </w:rPr>
              <w:t xml:space="preserve">Nominee of </w:t>
            </w:r>
            <w:proofErr w:type="spellStart"/>
            <w:r w:rsidRPr="00B3369E">
              <w:rPr>
                <w:rFonts w:ascii="Times New Roman" w:eastAsia="Klavika-Regular" w:hAnsi="Times New Roman" w:cs="Times New Roman"/>
                <w:b/>
                <w:bCs/>
              </w:rPr>
              <w:t>Ecotrim</w:t>
            </w:r>
            <w:proofErr w:type="spellEnd"/>
            <w:r w:rsidRPr="00B3369E">
              <w:rPr>
                <w:rFonts w:ascii="Times New Roman" w:eastAsia="Klavika-Regular" w:hAnsi="Times New Roman" w:cs="Times New Roman"/>
                <w:b/>
                <w:bCs/>
              </w:rPr>
              <w:t xml:space="preserve"> Hong Kong Limited</w:t>
            </w:r>
          </w:p>
        </w:tc>
      </w:tr>
      <w:tr w:rsidR="00B3369E" w:rsidRPr="00B3369E" w:rsidTr="004838D2">
        <w:trPr>
          <w:trHeight w:val="414"/>
          <w:jc w:val="center"/>
        </w:trPr>
        <w:tc>
          <w:tcPr>
            <w:tcW w:w="2218"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 xml:space="preserve">Mr. Md. </w:t>
            </w:r>
            <w:proofErr w:type="spellStart"/>
            <w:r w:rsidRPr="00B3369E">
              <w:rPr>
                <w:rFonts w:ascii="Times New Roman" w:hAnsi="Times New Roman" w:cs="Times New Roman"/>
                <w:b/>
                <w:bCs/>
              </w:rPr>
              <w:t>Fakhrul</w:t>
            </w:r>
            <w:proofErr w:type="spellEnd"/>
            <w:r w:rsidRPr="00B3369E">
              <w:rPr>
                <w:rFonts w:ascii="Times New Roman" w:hAnsi="Times New Roman" w:cs="Times New Roman"/>
                <w:b/>
                <w:bCs/>
              </w:rPr>
              <w:t xml:space="preserve"> Islam</w:t>
            </w:r>
          </w:p>
        </w:tc>
        <w:tc>
          <w:tcPr>
            <w:tcW w:w="2782"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eastAsia="Klavika-Regular" w:hAnsi="Times New Roman" w:cs="Times New Roman"/>
                <w:b/>
                <w:bCs/>
              </w:rPr>
              <w:t>Elected from General Public Shareholders’ Group</w:t>
            </w:r>
          </w:p>
        </w:tc>
      </w:tr>
      <w:tr w:rsidR="00B3369E" w:rsidRPr="00B3369E" w:rsidTr="004838D2">
        <w:trPr>
          <w:trHeight w:val="221"/>
          <w:jc w:val="center"/>
        </w:trPr>
        <w:tc>
          <w:tcPr>
            <w:tcW w:w="2218"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 xml:space="preserve">Mr. Md. </w:t>
            </w:r>
            <w:proofErr w:type="spellStart"/>
            <w:r w:rsidRPr="00B3369E">
              <w:rPr>
                <w:rFonts w:ascii="Times New Roman" w:hAnsi="Times New Roman" w:cs="Times New Roman"/>
                <w:b/>
                <w:bCs/>
              </w:rPr>
              <w:t>Nazim</w:t>
            </w:r>
            <w:proofErr w:type="spellEnd"/>
            <w:r w:rsidRPr="00B3369E">
              <w:rPr>
                <w:rFonts w:ascii="Times New Roman" w:hAnsi="Times New Roman" w:cs="Times New Roman"/>
                <w:b/>
                <w:bCs/>
              </w:rPr>
              <w:t xml:space="preserve"> </w:t>
            </w:r>
            <w:proofErr w:type="spellStart"/>
            <w:r w:rsidRPr="00B3369E">
              <w:rPr>
                <w:rFonts w:ascii="Times New Roman" w:hAnsi="Times New Roman" w:cs="Times New Roman"/>
                <w:b/>
                <w:bCs/>
              </w:rPr>
              <w:t>Uddin</w:t>
            </w:r>
            <w:proofErr w:type="spellEnd"/>
            <w:r w:rsidRPr="00B3369E">
              <w:rPr>
                <w:rFonts w:ascii="Times New Roman" w:hAnsi="Times New Roman" w:cs="Times New Roman"/>
                <w:b/>
                <w:bCs/>
              </w:rPr>
              <w:t xml:space="preserve"> </w:t>
            </w:r>
            <w:proofErr w:type="spellStart"/>
            <w:r w:rsidRPr="00B3369E">
              <w:rPr>
                <w:rFonts w:ascii="Times New Roman" w:hAnsi="Times New Roman" w:cs="Times New Roman"/>
                <w:b/>
                <w:bCs/>
              </w:rPr>
              <w:t>Bhuiyan</w:t>
            </w:r>
            <w:proofErr w:type="spellEnd"/>
            <w:r w:rsidRPr="00B3369E">
              <w:rPr>
                <w:rFonts w:ascii="Times New Roman" w:hAnsi="Times New Roman" w:cs="Times New Roman"/>
                <w:b/>
                <w:bCs/>
              </w:rPr>
              <w:t>, FCMA</w:t>
            </w:r>
          </w:p>
        </w:tc>
        <w:tc>
          <w:tcPr>
            <w:tcW w:w="2782"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Independent Director</w:t>
            </w:r>
          </w:p>
        </w:tc>
      </w:tr>
      <w:tr w:rsidR="00B3369E" w:rsidRPr="00B3369E" w:rsidTr="004838D2">
        <w:trPr>
          <w:trHeight w:val="144"/>
          <w:jc w:val="center"/>
        </w:trPr>
        <w:tc>
          <w:tcPr>
            <w:tcW w:w="2218"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 xml:space="preserve">Mr. </w:t>
            </w:r>
            <w:proofErr w:type="spellStart"/>
            <w:r w:rsidRPr="00B3369E">
              <w:rPr>
                <w:rFonts w:ascii="Times New Roman" w:hAnsi="Times New Roman" w:cs="Times New Roman"/>
                <w:b/>
                <w:bCs/>
              </w:rPr>
              <w:t>Mohd</w:t>
            </w:r>
            <w:proofErr w:type="spellEnd"/>
            <w:r w:rsidRPr="00B3369E">
              <w:rPr>
                <w:rFonts w:ascii="Times New Roman" w:hAnsi="Times New Roman" w:cs="Times New Roman"/>
                <w:b/>
                <w:bCs/>
              </w:rPr>
              <w:t xml:space="preserve">. </w:t>
            </w:r>
            <w:proofErr w:type="spellStart"/>
            <w:r w:rsidRPr="00B3369E">
              <w:rPr>
                <w:rFonts w:ascii="Times New Roman" w:hAnsi="Times New Roman" w:cs="Times New Roman"/>
                <w:b/>
                <w:bCs/>
              </w:rPr>
              <w:t>Khorshed</w:t>
            </w:r>
            <w:proofErr w:type="spellEnd"/>
            <w:r w:rsidRPr="00B3369E">
              <w:rPr>
                <w:rFonts w:ascii="Times New Roman" w:hAnsi="Times New Roman" w:cs="Times New Roman"/>
                <w:b/>
                <w:bCs/>
              </w:rPr>
              <w:t xml:space="preserve"> </w:t>
            </w:r>
            <w:proofErr w:type="spellStart"/>
            <w:r w:rsidRPr="00B3369E">
              <w:rPr>
                <w:rFonts w:ascii="Times New Roman" w:hAnsi="Times New Roman" w:cs="Times New Roman"/>
                <w:b/>
                <w:bCs/>
              </w:rPr>
              <w:t>Alam</w:t>
            </w:r>
            <w:proofErr w:type="spellEnd"/>
          </w:p>
        </w:tc>
        <w:tc>
          <w:tcPr>
            <w:tcW w:w="2782"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Independent Director</w:t>
            </w:r>
          </w:p>
        </w:tc>
      </w:tr>
      <w:tr w:rsidR="00B3369E" w:rsidRPr="00B3369E" w:rsidTr="004838D2">
        <w:trPr>
          <w:trHeight w:val="115"/>
          <w:jc w:val="center"/>
        </w:trPr>
        <w:tc>
          <w:tcPr>
            <w:tcW w:w="2218"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 xml:space="preserve">Mr. </w:t>
            </w:r>
            <w:proofErr w:type="spellStart"/>
            <w:r w:rsidRPr="00B3369E">
              <w:rPr>
                <w:rFonts w:ascii="Times New Roman" w:hAnsi="Times New Roman" w:cs="Times New Roman"/>
                <w:b/>
                <w:bCs/>
              </w:rPr>
              <w:t>Abul</w:t>
            </w:r>
            <w:proofErr w:type="spellEnd"/>
            <w:r w:rsidRPr="00B3369E">
              <w:rPr>
                <w:rFonts w:ascii="Times New Roman" w:hAnsi="Times New Roman" w:cs="Times New Roman"/>
                <w:b/>
                <w:bCs/>
              </w:rPr>
              <w:t xml:space="preserve"> </w:t>
            </w:r>
            <w:proofErr w:type="spellStart"/>
            <w:r w:rsidRPr="00B3369E">
              <w:rPr>
                <w:rFonts w:ascii="Times New Roman" w:hAnsi="Times New Roman" w:cs="Times New Roman"/>
                <w:b/>
                <w:bCs/>
              </w:rPr>
              <w:t>Kashem</w:t>
            </w:r>
            <w:proofErr w:type="spellEnd"/>
            <w:r w:rsidRPr="00B3369E">
              <w:rPr>
                <w:rFonts w:ascii="Times New Roman" w:hAnsi="Times New Roman" w:cs="Times New Roman"/>
                <w:b/>
                <w:bCs/>
              </w:rPr>
              <w:t xml:space="preserve"> Md. </w:t>
            </w:r>
            <w:proofErr w:type="spellStart"/>
            <w:r w:rsidRPr="00B3369E">
              <w:rPr>
                <w:rFonts w:ascii="Times New Roman" w:hAnsi="Times New Roman" w:cs="Times New Roman"/>
                <w:b/>
                <w:bCs/>
              </w:rPr>
              <w:t>Shirin</w:t>
            </w:r>
            <w:proofErr w:type="spellEnd"/>
          </w:p>
        </w:tc>
        <w:tc>
          <w:tcPr>
            <w:tcW w:w="2782" w:type="pct"/>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hAnsi="Times New Roman" w:cs="Times New Roman"/>
                <w:b/>
                <w:bCs/>
              </w:rPr>
              <w:t>Managing Director &amp; CEO, Director ( Ex-office)</w:t>
            </w:r>
          </w:p>
        </w:tc>
      </w:tr>
      <w:tr w:rsidR="00B3369E" w:rsidRPr="00B3369E" w:rsidTr="004838D2">
        <w:trPr>
          <w:trHeight w:val="153"/>
          <w:jc w:val="center"/>
        </w:trPr>
        <w:tc>
          <w:tcPr>
            <w:tcW w:w="5000" w:type="pct"/>
            <w:gridSpan w:val="2"/>
            <w:shd w:val="clear" w:color="auto" w:fill="auto"/>
            <w:vAlign w:val="center"/>
          </w:tcPr>
          <w:p w:rsidR="00B3369E" w:rsidRPr="00B3369E" w:rsidRDefault="00B3369E" w:rsidP="004838D2">
            <w:pPr>
              <w:pStyle w:val="HTMLPreformatted"/>
              <w:jc w:val="center"/>
              <w:rPr>
                <w:rFonts w:ascii="Times New Roman" w:hAnsi="Times New Roman" w:cs="Times New Roman"/>
                <w:b/>
                <w:bCs/>
              </w:rPr>
            </w:pPr>
            <w:r w:rsidRPr="00B3369E">
              <w:rPr>
                <w:rFonts w:ascii="Times New Roman" w:eastAsia="Klavika-Bold" w:hAnsi="Times New Roman" w:cs="Times New Roman"/>
                <w:b/>
                <w:bCs/>
              </w:rPr>
              <w:t>The Committees of the Board</w:t>
            </w:r>
          </w:p>
        </w:tc>
      </w:tr>
      <w:tr w:rsidR="00B3369E" w:rsidRPr="00B3369E" w:rsidTr="004838D2">
        <w:trPr>
          <w:trHeight w:val="86"/>
          <w:jc w:val="center"/>
        </w:trPr>
        <w:tc>
          <w:tcPr>
            <w:tcW w:w="5000" w:type="pct"/>
            <w:gridSpan w:val="2"/>
            <w:shd w:val="clear" w:color="auto" w:fill="auto"/>
            <w:vAlign w:val="center"/>
          </w:tcPr>
          <w:p w:rsidR="00B3369E" w:rsidRPr="00B3369E" w:rsidRDefault="00B3369E" w:rsidP="004838D2">
            <w:pPr>
              <w:pStyle w:val="HTMLPreformatted"/>
              <w:jc w:val="center"/>
              <w:rPr>
                <w:rFonts w:ascii="Times New Roman" w:eastAsia="Klavika-Bold" w:hAnsi="Times New Roman" w:cs="Times New Roman"/>
                <w:b/>
                <w:bCs/>
              </w:rPr>
            </w:pPr>
            <w:r w:rsidRPr="00B3369E">
              <w:rPr>
                <w:rFonts w:ascii="Times New Roman" w:eastAsia="Klavika-Bold" w:hAnsi="Times New Roman" w:cs="Times New Roman"/>
                <w:b/>
                <w:bCs/>
              </w:rPr>
              <w:t>1. Executive Committee</w:t>
            </w:r>
          </w:p>
        </w:tc>
      </w:tr>
      <w:tr w:rsidR="00B3369E" w:rsidRPr="00B3369E" w:rsidTr="004838D2">
        <w:trPr>
          <w:trHeight w:val="337"/>
          <w:jc w:val="center"/>
        </w:trPr>
        <w:tc>
          <w:tcPr>
            <w:tcW w:w="2218" w:type="pct"/>
            <w:shd w:val="clear" w:color="auto" w:fill="auto"/>
            <w:vAlign w:val="center"/>
          </w:tcPr>
          <w:p w:rsidR="00B3369E" w:rsidRPr="00B3369E" w:rsidRDefault="00B3369E" w:rsidP="004838D2">
            <w:pPr>
              <w:pStyle w:val="HTMLPreformatted"/>
              <w:jc w:val="center"/>
              <w:rPr>
                <w:rFonts w:ascii="Times New Roman" w:eastAsia="Klavika-Bold" w:hAnsi="Times New Roman" w:cs="Times New Roman"/>
                <w:b/>
                <w:bCs/>
              </w:rPr>
            </w:pPr>
            <w:r w:rsidRPr="00B3369E">
              <w:rPr>
                <w:rFonts w:ascii="Times New Roman" w:eastAsia="Klavika-Regular" w:hAnsi="Times New Roman" w:cs="Times New Roman"/>
                <w:b/>
                <w:bCs/>
              </w:rPr>
              <w:t xml:space="preserve">Mr. </w:t>
            </w:r>
            <w:proofErr w:type="spellStart"/>
            <w:r w:rsidRPr="00B3369E">
              <w:rPr>
                <w:rFonts w:ascii="Times New Roman" w:eastAsia="Klavika-Regular" w:hAnsi="Times New Roman" w:cs="Times New Roman"/>
                <w:b/>
                <w:bCs/>
              </w:rPr>
              <w:t>Abedur</w:t>
            </w:r>
            <w:proofErr w:type="spellEnd"/>
            <w:r w:rsidRPr="00B3369E">
              <w:rPr>
                <w:rFonts w:ascii="Times New Roman" w:eastAsia="Klavika-Regular" w:hAnsi="Times New Roman" w:cs="Times New Roman"/>
                <w:b/>
                <w:bCs/>
              </w:rPr>
              <w:t xml:space="preserve"> Rashid Khan</w:t>
            </w:r>
          </w:p>
        </w:tc>
        <w:tc>
          <w:tcPr>
            <w:tcW w:w="2782" w:type="pct"/>
            <w:shd w:val="clear" w:color="auto" w:fill="auto"/>
            <w:vAlign w:val="center"/>
          </w:tcPr>
          <w:p w:rsidR="00B3369E" w:rsidRPr="00B3369E" w:rsidRDefault="00B3369E" w:rsidP="004838D2">
            <w:pPr>
              <w:pStyle w:val="HTMLPreformatted"/>
              <w:jc w:val="center"/>
              <w:rPr>
                <w:rFonts w:ascii="Times New Roman" w:eastAsia="Klavika-Bold" w:hAnsi="Times New Roman" w:cs="Times New Roman"/>
                <w:b/>
                <w:bCs/>
              </w:rPr>
            </w:pPr>
            <w:r w:rsidRPr="00B3369E">
              <w:rPr>
                <w:rFonts w:ascii="Times New Roman" w:eastAsia="Klavika-Regular" w:hAnsi="Times New Roman" w:cs="Times New Roman"/>
                <w:b/>
                <w:bCs/>
              </w:rPr>
              <w:t>Chairman</w:t>
            </w:r>
          </w:p>
        </w:tc>
      </w:tr>
      <w:tr w:rsidR="00B3369E" w:rsidRPr="00B3369E" w:rsidTr="004838D2">
        <w:trPr>
          <w:trHeight w:val="289"/>
          <w:jc w:val="center"/>
        </w:trPr>
        <w:tc>
          <w:tcPr>
            <w:tcW w:w="2218" w:type="pct"/>
            <w:shd w:val="clear" w:color="auto" w:fill="auto"/>
            <w:vAlign w:val="center"/>
          </w:tcPr>
          <w:p w:rsidR="00B3369E" w:rsidRPr="00B3369E" w:rsidRDefault="00B3369E" w:rsidP="004838D2">
            <w:pPr>
              <w:pStyle w:val="HTMLPreformatted"/>
              <w:jc w:val="center"/>
              <w:rPr>
                <w:rFonts w:ascii="Times New Roman" w:eastAsia="Klavika-Bold" w:hAnsi="Times New Roman" w:cs="Times New Roman"/>
                <w:b/>
                <w:bCs/>
              </w:rPr>
            </w:pPr>
            <w:r w:rsidRPr="00B3369E">
              <w:rPr>
                <w:rFonts w:ascii="Times New Roman" w:eastAsia="Klavika-Regular" w:hAnsi="Times New Roman" w:cs="Times New Roman"/>
                <w:b/>
                <w:bCs/>
              </w:rPr>
              <w:t xml:space="preserve">Mr. </w:t>
            </w:r>
            <w:proofErr w:type="spellStart"/>
            <w:r w:rsidRPr="00B3369E">
              <w:rPr>
                <w:rFonts w:ascii="Times New Roman" w:eastAsia="Klavika-Regular" w:hAnsi="Times New Roman" w:cs="Times New Roman"/>
                <w:b/>
                <w:bCs/>
              </w:rPr>
              <w:t>Sayem</w:t>
            </w:r>
            <w:proofErr w:type="spellEnd"/>
            <w:r w:rsidRPr="00B3369E">
              <w:rPr>
                <w:rFonts w:ascii="Times New Roman" w:eastAsia="Klavika-Regular" w:hAnsi="Times New Roman" w:cs="Times New Roman"/>
                <w:b/>
                <w:bCs/>
              </w:rPr>
              <w:t xml:space="preserve"> Ahmed</w:t>
            </w:r>
          </w:p>
        </w:tc>
        <w:tc>
          <w:tcPr>
            <w:tcW w:w="2782" w:type="pct"/>
            <w:shd w:val="clear" w:color="auto" w:fill="auto"/>
            <w:vAlign w:val="center"/>
          </w:tcPr>
          <w:p w:rsidR="00B3369E" w:rsidRPr="00B3369E" w:rsidRDefault="00B3369E" w:rsidP="004838D2">
            <w:pPr>
              <w:pStyle w:val="HTMLPreformatted"/>
              <w:jc w:val="center"/>
              <w:rPr>
                <w:rFonts w:ascii="Times New Roman" w:eastAsia="Klavika-Bold" w:hAnsi="Times New Roman" w:cs="Times New Roman"/>
                <w:b/>
                <w:bCs/>
              </w:rPr>
            </w:pPr>
            <w:r w:rsidRPr="00B3369E">
              <w:rPr>
                <w:rFonts w:ascii="Times New Roman" w:eastAsia="Klavika-Regular" w:hAnsi="Times New Roman" w:cs="Times New Roman"/>
                <w:b/>
                <w:bCs/>
              </w:rPr>
              <w:t>Member</w:t>
            </w:r>
          </w:p>
        </w:tc>
      </w:tr>
      <w:tr w:rsidR="00B3369E" w:rsidRPr="00B3369E" w:rsidTr="004838D2">
        <w:trPr>
          <w:trHeight w:val="163"/>
          <w:jc w:val="center"/>
        </w:trPr>
        <w:tc>
          <w:tcPr>
            <w:tcW w:w="2218" w:type="pct"/>
            <w:shd w:val="clear" w:color="auto" w:fill="auto"/>
            <w:vAlign w:val="center"/>
          </w:tcPr>
          <w:p w:rsidR="00B3369E" w:rsidRPr="00B3369E" w:rsidRDefault="00B3369E" w:rsidP="004838D2">
            <w:pPr>
              <w:pStyle w:val="HTMLPreformatted"/>
              <w:jc w:val="center"/>
              <w:rPr>
                <w:rFonts w:ascii="Times New Roman" w:eastAsia="Klavika-Bold" w:hAnsi="Times New Roman" w:cs="Times New Roman"/>
                <w:b/>
                <w:bCs/>
              </w:rPr>
            </w:pPr>
            <w:r w:rsidRPr="00B3369E">
              <w:rPr>
                <w:rFonts w:ascii="Times New Roman" w:eastAsia="Klavika-Regular" w:hAnsi="Times New Roman" w:cs="Times New Roman"/>
                <w:b/>
                <w:bCs/>
              </w:rPr>
              <w:t xml:space="preserve">Mr. K. </w:t>
            </w:r>
            <w:proofErr w:type="spellStart"/>
            <w:r w:rsidRPr="00B3369E">
              <w:rPr>
                <w:rFonts w:ascii="Times New Roman" w:eastAsia="Klavika-Regular" w:hAnsi="Times New Roman" w:cs="Times New Roman"/>
                <w:b/>
                <w:bCs/>
              </w:rPr>
              <w:t>Shamshi</w:t>
            </w:r>
            <w:proofErr w:type="spellEnd"/>
            <w:r w:rsidRPr="00B3369E">
              <w:rPr>
                <w:rFonts w:ascii="Times New Roman" w:eastAsia="Klavika-Regular" w:hAnsi="Times New Roman" w:cs="Times New Roman"/>
                <w:b/>
                <w:bCs/>
              </w:rPr>
              <w:t xml:space="preserve"> </w:t>
            </w:r>
            <w:proofErr w:type="spellStart"/>
            <w:r w:rsidRPr="00B3369E">
              <w:rPr>
                <w:rFonts w:ascii="Times New Roman" w:eastAsia="Klavika-Regular" w:hAnsi="Times New Roman" w:cs="Times New Roman"/>
                <w:b/>
                <w:bCs/>
              </w:rPr>
              <w:t>Tabrez</w:t>
            </w:r>
            <w:proofErr w:type="spellEnd"/>
          </w:p>
        </w:tc>
        <w:tc>
          <w:tcPr>
            <w:tcW w:w="2782" w:type="pct"/>
            <w:shd w:val="clear" w:color="auto" w:fill="auto"/>
            <w:vAlign w:val="center"/>
          </w:tcPr>
          <w:p w:rsidR="00B3369E" w:rsidRPr="00B3369E" w:rsidRDefault="00B3369E" w:rsidP="004838D2">
            <w:pPr>
              <w:pStyle w:val="HTMLPreformatted"/>
              <w:jc w:val="center"/>
              <w:rPr>
                <w:rFonts w:ascii="Times New Roman" w:eastAsia="Klavika-Bold" w:hAnsi="Times New Roman" w:cs="Times New Roman"/>
                <w:b/>
                <w:bCs/>
              </w:rPr>
            </w:pPr>
            <w:r w:rsidRPr="00B3369E">
              <w:rPr>
                <w:rFonts w:ascii="Times New Roman" w:eastAsia="Klavika-Regular" w:hAnsi="Times New Roman" w:cs="Times New Roman"/>
                <w:b/>
                <w:bCs/>
              </w:rPr>
              <w:t>Member</w:t>
            </w:r>
          </w:p>
        </w:tc>
      </w:tr>
      <w:tr w:rsidR="00B3369E" w:rsidRPr="00B3369E" w:rsidTr="004838D2">
        <w:trPr>
          <w:trHeight w:val="366"/>
          <w:jc w:val="center"/>
        </w:trPr>
        <w:tc>
          <w:tcPr>
            <w:tcW w:w="5000" w:type="pct"/>
            <w:gridSpan w:val="2"/>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Bold" w:hAnsi="Times New Roman" w:cs="Times New Roman"/>
                <w:b/>
                <w:bCs/>
              </w:rPr>
              <w:t>2. Audit Committee</w:t>
            </w:r>
          </w:p>
        </w:tc>
      </w:tr>
      <w:tr w:rsidR="00B3369E" w:rsidRPr="00B3369E" w:rsidTr="004838D2">
        <w:trPr>
          <w:trHeight w:val="260"/>
          <w:jc w:val="center"/>
        </w:trPr>
        <w:tc>
          <w:tcPr>
            <w:tcW w:w="2218" w:type="pct"/>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 xml:space="preserve">Mr. Md. </w:t>
            </w:r>
            <w:proofErr w:type="spellStart"/>
            <w:r w:rsidRPr="00B3369E">
              <w:rPr>
                <w:rFonts w:ascii="Times New Roman" w:eastAsia="Klavika-Regular" w:hAnsi="Times New Roman" w:cs="Times New Roman"/>
                <w:b/>
                <w:bCs/>
              </w:rPr>
              <w:t>Nazim</w:t>
            </w:r>
            <w:proofErr w:type="spellEnd"/>
            <w:r w:rsidRPr="00B3369E">
              <w:rPr>
                <w:rFonts w:ascii="Times New Roman" w:eastAsia="Klavika-Regular" w:hAnsi="Times New Roman" w:cs="Times New Roman"/>
                <w:b/>
                <w:bCs/>
              </w:rPr>
              <w:t xml:space="preserve"> </w:t>
            </w:r>
            <w:proofErr w:type="spellStart"/>
            <w:r w:rsidRPr="00B3369E">
              <w:rPr>
                <w:rFonts w:ascii="Times New Roman" w:eastAsia="Klavika-Regular" w:hAnsi="Times New Roman" w:cs="Times New Roman"/>
                <w:b/>
                <w:bCs/>
              </w:rPr>
              <w:t>Uddin</w:t>
            </w:r>
            <w:proofErr w:type="spellEnd"/>
            <w:r w:rsidRPr="00B3369E">
              <w:rPr>
                <w:rFonts w:ascii="Times New Roman" w:eastAsia="Klavika-Regular" w:hAnsi="Times New Roman" w:cs="Times New Roman"/>
                <w:b/>
                <w:bCs/>
              </w:rPr>
              <w:t xml:space="preserve"> </w:t>
            </w:r>
            <w:proofErr w:type="spellStart"/>
            <w:r w:rsidRPr="00B3369E">
              <w:rPr>
                <w:rFonts w:ascii="Times New Roman" w:eastAsia="Klavika-Regular" w:hAnsi="Times New Roman" w:cs="Times New Roman"/>
                <w:b/>
                <w:bCs/>
              </w:rPr>
              <w:t>Bhuiyan</w:t>
            </w:r>
            <w:proofErr w:type="spellEnd"/>
            <w:r w:rsidRPr="00B3369E">
              <w:rPr>
                <w:rFonts w:ascii="Times New Roman" w:eastAsia="Klavika-Regular" w:hAnsi="Times New Roman" w:cs="Times New Roman"/>
                <w:b/>
                <w:bCs/>
              </w:rPr>
              <w:t>, FCMA</w:t>
            </w:r>
          </w:p>
        </w:tc>
        <w:tc>
          <w:tcPr>
            <w:tcW w:w="2782" w:type="pct"/>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Chairman</w:t>
            </w:r>
          </w:p>
        </w:tc>
      </w:tr>
      <w:tr w:rsidR="00B3369E" w:rsidRPr="00B3369E" w:rsidTr="004838D2">
        <w:trPr>
          <w:trHeight w:val="260"/>
          <w:jc w:val="center"/>
        </w:trPr>
        <w:tc>
          <w:tcPr>
            <w:tcW w:w="2218" w:type="pct"/>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 xml:space="preserve">Mr. Md. </w:t>
            </w:r>
            <w:proofErr w:type="spellStart"/>
            <w:r w:rsidRPr="00B3369E">
              <w:rPr>
                <w:rFonts w:ascii="Times New Roman" w:eastAsia="Klavika-Regular" w:hAnsi="Times New Roman" w:cs="Times New Roman"/>
                <w:b/>
                <w:bCs/>
              </w:rPr>
              <w:t>Fakhrul</w:t>
            </w:r>
            <w:proofErr w:type="spellEnd"/>
            <w:r w:rsidRPr="00B3369E">
              <w:rPr>
                <w:rFonts w:ascii="Times New Roman" w:eastAsia="Klavika-Regular" w:hAnsi="Times New Roman" w:cs="Times New Roman"/>
                <w:b/>
                <w:bCs/>
              </w:rPr>
              <w:t xml:space="preserve"> Islam</w:t>
            </w:r>
          </w:p>
        </w:tc>
        <w:tc>
          <w:tcPr>
            <w:tcW w:w="2782" w:type="pct"/>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Member</w:t>
            </w:r>
          </w:p>
        </w:tc>
      </w:tr>
      <w:tr w:rsidR="00B3369E" w:rsidRPr="00B3369E" w:rsidTr="004838D2">
        <w:trPr>
          <w:trHeight w:val="260"/>
          <w:jc w:val="center"/>
        </w:trPr>
        <w:tc>
          <w:tcPr>
            <w:tcW w:w="2218" w:type="pct"/>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 xml:space="preserve">Mr. </w:t>
            </w:r>
            <w:proofErr w:type="spellStart"/>
            <w:r w:rsidRPr="00B3369E">
              <w:rPr>
                <w:rFonts w:ascii="Times New Roman" w:eastAsia="Klavika-Regular" w:hAnsi="Times New Roman" w:cs="Times New Roman"/>
                <w:b/>
                <w:bCs/>
              </w:rPr>
              <w:t>Mohd</w:t>
            </w:r>
            <w:proofErr w:type="spellEnd"/>
            <w:r w:rsidRPr="00B3369E">
              <w:rPr>
                <w:rFonts w:ascii="Times New Roman" w:eastAsia="Klavika-Regular" w:hAnsi="Times New Roman" w:cs="Times New Roman"/>
                <w:b/>
                <w:bCs/>
              </w:rPr>
              <w:t xml:space="preserve">. </w:t>
            </w:r>
            <w:proofErr w:type="spellStart"/>
            <w:r w:rsidRPr="00B3369E">
              <w:rPr>
                <w:rFonts w:ascii="Times New Roman" w:eastAsia="Klavika-Regular" w:hAnsi="Times New Roman" w:cs="Times New Roman"/>
                <w:b/>
                <w:bCs/>
              </w:rPr>
              <w:t>Khorshed</w:t>
            </w:r>
            <w:proofErr w:type="spellEnd"/>
            <w:r w:rsidRPr="00B3369E">
              <w:rPr>
                <w:rFonts w:ascii="Times New Roman" w:eastAsia="Klavika-Regular" w:hAnsi="Times New Roman" w:cs="Times New Roman"/>
                <w:b/>
                <w:bCs/>
              </w:rPr>
              <w:t xml:space="preserve"> </w:t>
            </w:r>
            <w:proofErr w:type="spellStart"/>
            <w:r w:rsidRPr="00B3369E">
              <w:rPr>
                <w:rFonts w:ascii="Times New Roman" w:eastAsia="Klavika-Regular" w:hAnsi="Times New Roman" w:cs="Times New Roman"/>
                <w:b/>
                <w:bCs/>
              </w:rPr>
              <w:t>Alam</w:t>
            </w:r>
            <w:proofErr w:type="spellEnd"/>
          </w:p>
        </w:tc>
        <w:tc>
          <w:tcPr>
            <w:tcW w:w="2782" w:type="pct"/>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Member</w:t>
            </w:r>
          </w:p>
        </w:tc>
      </w:tr>
      <w:tr w:rsidR="00B3369E" w:rsidRPr="00B3369E" w:rsidTr="004838D2">
        <w:trPr>
          <w:trHeight w:val="260"/>
          <w:jc w:val="center"/>
        </w:trPr>
        <w:tc>
          <w:tcPr>
            <w:tcW w:w="5000" w:type="pct"/>
            <w:gridSpan w:val="2"/>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Bold" w:hAnsi="Times New Roman" w:cs="Times New Roman"/>
                <w:b/>
                <w:bCs/>
              </w:rPr>
              <w:t>3. Risk Management Committee</w:t>
            </w:r>
          </w:p>
        </w:tc>
      </w:tr>
      <w:tr w:rsidR="00B3369E" w:rsidRPr="00B3369E" w:rsidTr="004838D2">
        <w:trPr>
          <w:trHeight w:val="76"/>
          <w:jc w:val="center"/>
        </w:trPr>
        <w:tc>
          <w:tcPr>
            <w:tcW w:w="2218" w:type="pct"/>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 xml:space="preserve">Mr. </w:t>
            </w:r>
            <w:proofErr w:type="spellStart"/>
            <w:r w:rsidRPr="00B3369E">
              <w:rPr>
                <w:rFonts w:ascii="Times New Roman" w:eastAsia="Klavika-Regular" w:hAnsi="Times New Roman" w:cs="Times New Roman"/>
                <w:b/>
                <w:bCs/>
              </w:rPr>
              <w:t>Abedur</w:t>
            </w:r>
            <w:proofErr w:type="spellEnd"/>
            <w:r w:rsidRPr="00B3369E">
              <w:rPr>
                <w:rFonts w:ascii="Times New Roman" w:eastAsia="Klavika-Regular" w:hAnsi="Times New Roman" w:cs="Times New Roman"/>
                <w:b/>
                <w:bCs/>
              </w:rPr>
              <w:t xml:space="preserve"> Rashid Khan</w:t>
            </w:r>
          </w:p>
        </w:tc>
        <w:tc>
          <w:tcPr>
            <w:tcW w:w="2782" w:type="pct"/>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Chairman</w:t>
            </w:r>
          </w:p>
        </w:tc>
      </w:tr>
      <w:tr w:rsidR="00B3369E" w:rsidRPr="00B3369E" w:rsidTr="004838D2">
        <w:trPr>
          <w:trHeight w:val="260"/>
          <w:jc w:val="center"/>
        </w:trPr>
        <w:tc>
          <w:tcPr>
            <w:tcW w:w="2218" w:type="pct"/>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 xml:space="preserve">Mr. </w:t>
            </w:r>
            <w:proofErr w:type="spellStart"/>
            <w:r w:rsidRPr="00B3369E">
              <w:rPr>
                <w:rFonts w:ascii="Times New Roman" w:eastAsia="Klavika-Regular" w:hAnsi="Times New Roman" w:cs="Times New Roman"/>
                <w:b/>
                <w:bCs/>
              </w:rPr>
              <w:t>Sayem</w:t>
            </w:r>
            <w:proofErr w:type="spellEnd"/>
            <w:r w:rsidRPr="00B3369E">
              <w:rPr>
                <w:rFonts w:ascii="Times New Roman" w:eastAsia="Klavika-Regular" w:hAnsi="Times New Roman" w:cs="Times New Roman"/>
                <w:b/>
                <w:bCs/>
              </w:rPr>
              <w:t xml:space="preserve"> Ahmed</w:t>
            </w:r>
          </w:p>
        </w:tc>
        <w:tc>
          <w:tcPr>
            <w:tcW w:w="2782" w:type="pct"/>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Member</w:t>
            </w:r>
          </w:p>
        </w:tc>
      </w:tr>
      <w:tr w:rsidR="00B3369E" w:rsidRPr="00B3369E" w:rsidTr="004838D2">
        <w:trPr>
          <w:trHeight w:val="260"/>
          <w:jc w:val="center"/>
        </w:trPr>
        <w:tc>
          <w:tcPr>
            <w:tcW w:w="2218" w:type="pct"/>
            <w:shd w:val="clear" w:color="auto" w:fill="auto"/>
            <w:vAlign w:val="center"/>
          </w:tcPr>
          <w:p w:rsidR="00B3369E" w:rsidRPr="00B3369E" w:rsidRDefault="00B3369E" w:rsidP="004838D2">
            <w:pPr>
              <w:pStyle w:val="HTMLPreformatted"/>
              <w:jc w:val="center"/>
              <w:rPr>
                <w:rFonts w:ascii="Times New Roman" w:eastAsia="Klavika-Regular" w:hAnsi="Times New Roman" w:cs="Times New Roman"/>
                <w:b/>
                <w:bCs/>
              </w:rPr>
            </w:pPr>
            <w:r w:rsidRPr="00B3369E">
              <w:rPr>
                <w:rFonts w:ascii="Times New Roman" w:eastAsia="Klavika-Regular" w:hAnsi="Times New Roman" w:cs="Times New Roman"/>
                <w:b/>
                <w:bCs/>
              </w:rPr>
              <w:t xml:space="preserve">Mr. Md. </w:t>
            </w:r>
            <w:proofErr w:type="spellStart"/>
            <w:r w:rsidRPr="00B3369E">
              <w:rPr>
                <w:rFonts w:ascii="Times New Roman" w:eastAsia="Klavika-Regular" w:hAnsi="Times New Roman" w:cs="Times New Roman"/>
                <w:b/>
                <w:bCs/>
              </w:rPr>
              <w:t>Nazim</w:t>
            </w:r>
            <w:proofErr w:type="spellEnd"/>
            <w:r w:rsidRPr="00B3369E">
              <w:rPr>
                <w:rFonts w:ascii="Times New Roman" w:eastAsia="Klavika-Regular" w:hAnsi="Times New Roman" w:cs="Times New Roman"/>
                <w:b/>
                <w:bCs/>
              </w:rPr>
              <w:t xml:space="preserve"> </w:t>
            </w:r>
            <w:proofErr w:type="spellStart"/>
            <w:r w:rsidRPr="00B3369E">
              <w:rPr>
                <w:rFonts w:ascii="Times New Roman" w:eastAsia="Klavika-Regular" w:hAnsi="Times New Roman" w:cs="Times New Roman"/>
                <w:b/>
                <w:bCs/>
              </w:rPr>
              <w:t>Uddin</w:t>
            </w:r>
            <w:proofErr w:type="spellEnd"/>
            <w:r w:rsidRPr="00B3369E">
              <w:rPr>
                <w:rFonts w:ascii="Times New Roman" w:eastAsia="Klavika-Regular" w:hAnsi="Times New Roman" w:cs="Times New Roman"/>
                <w:b/>
                <w:bCs/>
              </w:rPr>
              <w:t xml:space="preserve"> </w:t>
            </w:r>
            <w:proofErr w:type="spellStart"/>
            <w:r w:rsidRPr="00B3369E">
              <w:rPr>
                <w:rFonts w:ascii="Times New Roman" w:eastAsia="Klavika-Regular" w:hAnsi="Times New Roman" w:cs="Times New Roman"/>
                <w:b/>
                <w:bCs/>
              </w:rPr>
              <w:t>Bhuiyan</w:t>
            </w:r>
            <w:proofErr w:type="spellEnd"/>
            <w:r w:rsidRPr="00B3369E">
              <w:rPr>
                <w:rFonts w:ascii="Times New Roman" w:eastAsia="Klavika-Regular" w:hAnsi="Times New Roman" w:cs="Times New Roman"/>
                <w:b/>
                <w:bCs/>
              </w:rPr>
              <w:t>, FCMA</w:t>
            </w:r>
          </w:p>
        </w:tc>
        <w:tc>
          <w:tcPr>
            <w:tcW w:w="2782" w:type="pct"/>
            <w:shd w:val="clear" w:color="auto" w:fill="auto"/>
            <w:vAlign w:val="center"/>
          </w:tcPr>
          <w:p w:rsidR="00B3369E" w:rsidRPr="00B3369E" w:rsidRDefault="00B3369E" w:rsidP="004838D2">
            <w:pPr>
              <w:pStyle w:val="HTMLPreformatted"/>
              <w:keepNext/>
              <w:jc w:val="center"/>
              <w:rPr>
                <w:rFonts w:ascii="Times New Roman" w:eastAsia="Klavika-Regular" w:hAnsi="Times New Roman" w:cs="Times New Roman"/>
                <w:b/>
                <w:bCs/>
              </w:rPr>
            </w:pPr>
            <w:r w:rsidRPr="00B3369E">
              <w:rPr>
                <w:rFonts w:ascii="Times New Roman" w:eastAsia="Klavika-Regular" w:hAnsi="Times New Roman" w:cs="Times New Roman"/>
                <w:b/>
                <w:bCs/>
              </w:rPr>
              <w:t>Member</w:t>
            </w:r>
          </w:p>
        </w:tc>
      </w:tr>
    </w:tbl>
    <w:p w:rsidR="00B3369E" w:rsidRPr="00B3369E" w:rsidRDefault="00B3369E" w:rsidP="00B3369E">
      <w:pPr>
        <w:pStyle w:val="HTMLPreformatted"/>
        <w:shd w:val="clear" w:color="auto" w:fill="FFFFFF"/>
        <w:spacing w:line="276" w:lineRule="auto"/>
        <w:jc w:val="both"/>
        <w:rPr>
          <w:rFonts w:ascii="Times New Roman" w:hAnsi="Times New Roman" w:cs="Times New Roman"/>
          <w:b/>
          <w:bCs/>
          <w:color w:val="212121"/>
          <w:sz w:val="24"/>
          <w:szCs w:val="24"/>
          <w:u w:val="single"/>
        </w:rPr>
      </w:pPr>
    </w:p>
    <w:p w:rsidR="00B3369E" w:rsidRPr="00B3369E" w:rsidRDefault="00B3369E" w:rsidP="00B3369E">
      <w:pPr>
        <w:pStyle w:val="Heading2"/>
        <w:spacing w:before="0"/>
        <w:rPr>
          <w:rFonts w:ascii="Times New Roman" w:hAnsi="Times New Roman" w:cs="Times New Roman"/>
          <w:sz w:val="28"/>
          <w:szCs w:val="28"/>
        </w:rPr>
      </w:pPr>
    </w:p>
    <w:p w:rsidR="00B3369E" w:rsidRPr="00B3369E" w:rsidRDefault="00B3369E" w:rsidP="00B3369E">
      <w:pPr>
        <w:pStyle w:val="Heading2"/>
        <w:spacing w:before="0"/>
        <w:rPr>
          <w:rFonts w:ascii="Times New Roman" w:eastAsiaTheme="minorHAnsi" w:hAnsi="Times New Roman" w:cs="Times New Roman"/>
          <w:b w:val="0"/>
          <w:bCs w:val="0"/>
          <w:color w:val="auto"/>
          <w:sz w:val="22"/>
          <w:szCs w:val="28"/>
        </w:rPr>
      </w:pPr>
    </w:p>
    <w:p w:rsidR="00B3369E" w:rsidRPr="00B3369E" w:rsidRDefault="00B3369E" w:rsidP="00B3369E">
      <w:pPr>
        <w:pStyle w:val="Heading2"/>
        <w:jc w:val="both"/>
        <w:rPr>
          <w:rFonts w:ascii="Times New Roman" w:eastAsiaTheme="minorHAnsi" w:hAnsi="Times New Roman" w:cs="Times New Roman"/>
          <w:b w:val="0"/>
          <w:bCs w:val="0"/>
          <w:color w:val="auto"/>
          <w:sz w:val="22"/>
          <w:szCs w:val="28"/>
        </w:rPr>
      </w:pPr>
    </w:p>
    <w:p w:rsidR="00B3369E" w:rsidRPr="00B3369E" w:rsidRDefault="00B3369E" w:rsidP="00B3369E">
      <w:pPr>
        <w:rPr>
          <w:rFonts w:ascii="Times New Roman" w:hAnsi="Times New Roman" w:cs="Times New Roman"/>
        </w:rPr>
      </w:pPr>
    </w:p>
    <w:p w:rsidR="00B3369E" w:rsidRPr="00B3369E" w:rsidRDefault="00B3369E" w:rsidP="00B3369E">
      <w:pPr>
        <w:rPr>
          <w:rFonts w:ascii="Times New Roman" w:hAnsi="Times New Roman" w:cs="Times New Roman"/>
        </w:rPr>
      </w:pP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59" w:name="_Toc6610590"/>
      <w:bookmarkStart w:id="60" w:name="_Toc6614016"/>
      <w:r w:rsidRPr="00B3369E">
        <w:rPr>
          <w:rFonts w:ascii="Times New Roman" w:hAnsi="Times New Roman" w:cs="Times New Roman"/>
          <w:color w:val="632423" w:themeColor="accent2" w:themeShade="80"/>
          <w:sz w:val="28"/>
          <w:szCs w:val="28"/>
        </w:rPr>
        <w:t>3.3 DBBL Organizational Structure and Management</w:t>
      </w:r>
      <w:bookmarkEnd w:id="59"/>
      <w:bookmarkEnd w:id="60"/>
    </w:p>
    <w:p w:rsidR="00B3369E" w:rsidRPr="00B3369E" w:rsidRDefault="00B3369E" w:rsidP="00B3369E">
      <w:pPr>
        <w:pStyle w:val="HTMLPreformatted"/>
        <w:shd w:val="clear" w:color="auto" w:fill="FFFFFF"/>
        <w:jc w:val="center"/>
        <w:rPr>
          <w:rFonts w:ascii="Times New Roman" w:hAnsi="Times New Roman" w:cs="Times New Roman"/>
          <w:b/>
          <w:bCs/>
          <w:color w:val="212121"/>
          <w:sz w:val="24"/>
          <w:szCs w:val="24"/>
          <w:u w:val="single"/>
          <w:shd w:val="clear" w:color="auto" w:fill="FFFFFF"/>
        </w:rPr>
      </w:pPr>
    </w:p>
    <w:p w:rsidR="00B3369E" w:rsidRPr="00B3369E" w:rsidRDefault="00B3369E" w:rsidP="00B3369E">
      <w:pPr>
        <w:pStyle w:val="HTMLPreformatted"/>
        <w:keepNext/>
        <w:shd w:val="clear" w:color="auto" w:fill="FFFFFF"/>
        <w:jc w:val="center"/>
        <w:rPr>
          <w:rFonts w:ascii="Times New Roman" w:hAnsi="Times New Roman" w:cs="Times New Roman"/>
        </w:rPr>
      </w:pPr>
      <w:r w:rsidRPr="00B3369E">
        <w:rPr>
          <w:rFonts w:ascii="Times New Roman" w:hAnsi="Times New Roman" w:cs="Times New Roman"/>
          <w:b/>
          <w:bCs/>
          <w:noProof/>
          <w:color w:val="212121"/>
          <w:sz w:val="24"/>
          <w:szCs w:val="24"/>
          <w:u w:val="single"/>
          <w:shd w:val="clear" w:color="auto" w:fill="FFFFFF"/>
        </w:rPr>
        <w:drawing>
          <wp:inline distT="0" distB="0" distL="0" distR="0">
            <wp:extent cx="4904642" cy="3912577"/>
            <wp:effectExtent l="19050" t="0" r="0" b="0"/>
            <wp:docPr id="1" name="Picture 5" descr="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jpg"/>
                    <pic:cNvPicPr/>
                  </pic:nvPicPr>
                  <pic:blipFill>
                    <a:blip r:embed="rId12" cstate="print"/>
                    <a:srcRect/>
                    <a:stretch>
                      <a:fillRect/>
                    </a:stretch>
                  </pic:blipFill>
                  <pic:spPr>
                    <a:xfrm>
                      <a:off x="0" y="0"/>
                      <a:ext cx="4910243" cy="3917045"/>
                    </a:xfrm>
                    <a:prstGeom prst="rect">
                      <a:avLst/>
                    </a:prstGeom>
                  </pic:spPr>
                </pic:pic>
              </a:graphicData>
            </a:graphic>
          </wp:inline>
        </w:drawing>
      </w:r>
    </w:p>
    <w:p w:rsidR="00B3369E" w:rsidRPr="00B3369E" w:rsidRDefault="00B3369E" w:rsidP="00B3369E">
      <w:pPr>
        <w:pStyle w:val="Figures"/>
        <w:rPr>
          <w:u w:val="single"/>
          <w:shd w:val="clear" w:color="auto" w:fill="FFFFFF"/>
        </w:rPr>
      </w:pPr>
      <w:bookmarkStart w:id="61" w:name="_Toc6621155"/>
      <w:r w:rsidRPr="00B3369E">
        <w:t xml:space="preserve">Figure 1:  </w:t>
      </w:r>
      <w:r w:rsidR="00276A72">
        <w:fldChar w:fldCharType="begin"/>
      </w:r>
      <w:r w:rsidR="002324C7">
        <w:instrText xml:space="preserve"> SEQ Figure_1:_ \* ARABIC </w:instrText>
      </w:r>
      <w:r w:rsidR="00276A72">
        <w:fldChar w:fldCharType="separate"/>
      </w:r>
      <w:r w:rsidRPr="00B3369E">
        <w:rPr>
          <w:noProof/>
        </w:rPr>
        <w:t>1</w:t>
      </w:r>
      <w:r w:rsidR="00276A72">
        <w:rPr>
          <w:noProof/>
        </w:rPr>
        <w:fldChar w:fldCharType="end"/>
      </w:r>
      <w:r w:rsidRPr="00B3369E">
        <w:t xml:space="preserve"> DBBL Organizational Structure and Management</w:t>
      </w:r>
      <w:bookmarkEnd w:id="61"/>
    </w:p>
    <w:p w:rsidR="00B3369E" w:rsidRPr="00B3369E" w:rsidRDefault="00B3369E" w:rsidP="00B3369E">
      <w:pPr>
        <w:pStyle w:val="HTMLPreformatted"/>
        <w:shd w:val="clear" w:color="auto" w:fill="FFFFFF"/>
        <w:spacing w:line="276" w:lineRule="auto"/>
        <w:jc w:val="both"/>
        <w:rPr>
          <w:rFonts w:ascii="Times New Roman" w:hAnsi="Times New Roman" w:cs="Times New Roman"/>
          <w:b/>
          <w:bCs/>
          <w:color w:val="212121"/>
          <w:sz w:val="24"/>
          <w:szCs w:val="24"/>
          <w:u w:val="single"/>
          <w:shd w:val="clear" w:color="auto" w:fill="FFFFFF"/>
        </w:rPr>
      </w:pPr>
    </w:p>
    <w:p w:rsidR="00B3369E" w:rsidRPr="00B3369E" w:rsidRDefault="00B3369E" w:rsidP="00B3369E">
      <w:pPr>
        <w:pStyle w:val="Heading2"/>
        <w:jc w:val="both"/>
        <w:rPr>
          <w:rFonts w:ascii="Times New Roman" w:hAnsi="Times New Roman" w:cs="Times New Roman"/>
          <w:color w:val="632423" w:themeColor="accent2" w:themeShade="80"/>
          <w:sz w:val="28"/>
          <w:szCs w:val="28"/>
          <w:shd w:val="clear" w:color="auto" w:fill="FFFFFF"/>
        </w:rPr>
      </w:pPr>
      <w:bookmarkStart w:id="62" w:name="_Toc6610591"/>
      <w:bookmarkStart w:id="63" w:name="_Toc6614017"/>
      <w:r w:rsidRPr="00B3369E">
        <w:rPr>
          <w:rFonts w:ascii="Times New Roman" w:hAnsi="Times New Roman" w:cs="Times New Roman"/>
          <w:color w:val="632423" w:themeColor="accent2" w:themeShade="80"/>
          <w:sz w:val="28"/>
          <w:szCs w:val="28"/>
          <w:shd w:val="clear" w:color="auto" w:fill="FFFFFF"/>
        </w:rPr>
        <w:t>3.4 Mission of Dutch-Bangla Bank Limited:</w:t>
      </w:r>
      <w:bookmarkEnd w:id="62"/>
      <w:bookmarkEnd w:id="63"/>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s>
        <w:spacing w:line="276" w:lineRule="auto"/>
        <w:jc w:val="both"/>
        <w:rPr>
          <w:rFonts w:ascii="Times New Roman" w:hAnsi="Times New Roman" w:cs="Times New Roman"/>
          <w:b/>
          <w:bCs/>
          <w:color w:val="212121"/>
          <w:sz w:val="24"/>
          <w:szCs w:val="24"/>
          <w:u w:val="single"/>
          <w:shd w:val="clear" w:color="auto" w:fill="FFFFFF"/>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Dutch-Bangla Bank a commitment to engineers enterprise and business and industry initiatives and creative innovation social responsibility. “Profit alone" does not have central focus in bank operations; because "man does not live by bread and butter alone".</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64" w:name="_Toc6610592"/>
      <w:bookmarkStart w:id="65" w:name="_Toc6614018"/>
      <w:r w:rsidRPr="00B3369E">
        <w:rPr>
          <w:rFonts w:ascii="Times New Roman" w:hAnsi="Times New Roman" w:cs="Times New Roman"/>
          <w:color w:val="632423" w:themeColor="accent2" w:themeShade="80"/>
          <w:sz w:val="28"/>
          <w:szCs w:val="28"/>
        </w:rPr>
        <w:t>3.5 Vision of Dutch-Bangla Bank Limited:</w:t>
      </w:r>
      <w:bookmarkEnd w:id="64"/>
      <w:bookmarkEnd w:id="65"/>
      <w:r w:rsidRPr="00B3369E">
        <w:rPr>
          <w:rFonts w:ascii="Times New Roman" w:hAnsi="Times New Roman" w:cs="Times New Roman"/>
          <w:color w:val="632423" w:themeColor="accent2" w:themeShade="80"/>
          <w:sz w:val="28"/>
          <w:szCs w:val="28"/>
        </w:rPr>
        <w:t xml:space="preserve"> </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shd w:val="clear" w:color="auto" w:fill="FFFFFF"/>
        </w:rPr>
      </w:pPr>
      <w:r w:rsidRPr="00B3369E">
        <w:rPr>
          <w:rFonts w:ascii="Times New Roman" w:hAnsi="Times New Roman" w:cs="Times New Roman"/>
          <w:color w:val="212121"/>
          <w:sz w:val="24"/>
          <w:szCs w:val="24"/>
        </w:rPr>
        <w:t xml:space="preserve">Dutch-Bangla Bank has dreamed Living life makes all our lives better Bangladesh, where art and letters, sports and sports, songs and entertainment, science and education, health and hygiene, clean and pollution free environment, and above all a society based on ethics and policy. </w:t>
      </w:r>
      <w:r w:rsidRPr="00B3369E">
        <w:rPr>
          <w:rFonts w:ascii="Times New Roman" w:hAnsi="Times New Roman" w:cs="Times New Roman"/>
          <w:color w:val="212121"/>
          <w:sz w:val="24"/>
          <w:szCs w:val="24"/>
          <w:shd w:val="clear" w:color="auto" w:fill="FFFFFF"/>
        </w:rPr>
        <w:t>DBBL fertilizer and creativity are a universe chaos and wonderful magic of a charming life, which specializes with the spirit of life and courage that contributes to human development.</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shd w:val="clear" w:color="auto" w:fill="FFFFFF"/>
        </w:rPr>
      </w:pPr>
    </w:p>
    <w:p w:rsidR="00B3369E" w:rsidRPr="00B3369E" w:rsidRDefault="00B3369E" w:rsidP="00B3369E">
      <w:pPr>
        <w:pStyle w:val="Heading2"/>
        <w:jc w:val="both"/>
        <w:rPr>
          <w:rFonts w:ascii="Times New Roman" w:hAnsi="Times New Roman" w:cs="Times New Roman"/>
          <w:color w:val="632423" w:themeColor="accent2" w:themeShade="80"/>
          <w:sz w:val="28"/>
          <w:szCs w:val="28"/>
          <w:shd w:val="clear" w:color="auto" w:fill="FFFFFF"/>
        </w:rPr>
      </w:pPr>
      <w:bookmarkStart w:id="66" w:name="_Toc6610593"/>
      <w:bookmarkStart w:id="67" w:name="_Toc6614019"/>
      <w:r w:rsidRPr="00B3369E">
        <w:rPr>
          <w:rFonts w:ascii="Times New Roman" w:hAnsi="Times New Roman" w:cs="Times New Roman"/>
          <w:color w:val="632423" w:themeColor="accent2" w:themeShade="80"/>
          <w:sz w:val="28"/>
          <w:szCs w:val="28"/>
        </w:rPr>
        <w:t>3.6 DBBL Core Objective:</w:t>
      </w:r>
      <w:bookmarkEnd w:id="66"/>
      <w:bookmarkEnd w:id="67"/>
      <w:r w:rsidRPr="00B3369E">
        <w:rPr>
          <w:rFonts w:ascii="Times New Roman" w:hAnsi="Times New Roman" w:cs="Times New Roman"/>
          <w:color w:val="632423" w:themeColor="accent2" w:themeShade="80"/>
          <w:sz w:val="28"/>
          <w:szCs w:val="28"/>
        </w:rPr>
        <w:t xml:space="preserve"> </w:t>
      </w:r>
    </w:p>
    <w:p w:rsidR="00B3369E" w:rsidRPr="00B3369E" w:rsidRDefault="00B3369E" w:rsidP="00B3369E">
      <w:pPr>
        <w:pStyle w:val="HTMLPreformatted"/>
        <w:shd w:val="clear" w:color="auto" w:fill="FFFFFF"/>
        <w:spacing w:line="276" w:lineRule="auto"/>
        <w:jc w:val="both"/>
        <w:rPr>
          <w:rFonts w:ascii="Times New Roman" w:hAnsi="Times New Roman" w:cs="Times New Roman"/>
          <w:b/>
          <w:bCs/>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shd w:val="clear" w:color="auto" w:fill="FFFFFF"/>
        </w:rPr>
      </w:pPr>
      <w:r w:rsidRPr="00B3369E">
        <w:rPr>
          <w:rFonts w:ascii="Times New Roman" w:hAnsi="Times New Roman" w:cs="Times New Roman"/>
          <w:sz w:val="24"/>
          <w:szCs w:val="24"/>
        </w:rPr>
        <w:t xml:space="preserve">The Dutch-Bangla Bank believes its outstanding commitment to fulfill its customer's requirements and satisfaction and to be their first choice in banking. </w:t>
      </w:r>
      <w:r w:rsidRPr="00B3369E">
        <w:rPr>
          <w:rFonts w:ascii="Times New Roman" w:hAnsi="Times New Roman" w:cs="Times New Roman"/>
          <w:sz w:val="24"/>
          <w:szCs w:val="24"/>
          <w:shd w:val="clear" w:color="auto" w:fill="FFFFFF"/>
        </w:rPr>
        <w:t>Taking cue from its pool esteemed clientele, Dutch-Bangla Bank intends to pave the way for a new era in banking that upholds and epitomizes its vaunted marquees "Your Trusted Partner".</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shd w:val="clear" w:color="auto" w:fill="FFFFFF"/>
        </w:rPr>
      </w:pPr>
    </w:p>
    <w:p w:rsidR="00B3369E" w:rsidRPr="00B3369E" w:rsidRDefault="00B3369E" w:rsidP="001B0E2C">
      <w:pPr>
        <w:pStyle w:val="HTMLPreformatted"/>
        <w:numPr>
          <w:ilvl w:val="0"/>
          <w:numId w:val="46"/>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Dutch-Bangla Bank maintain their earn CAMEL Rating “Strong”.</w:t>
      </w:r>
    </w:p>
    <w:p w:rsidR="00B3369E" w:rsidRPr="00B3369E" w:rsidRDefault="00B3369E" w:rsidP="001B0E2C">
      <w:pPr>
        <w:pStyle w:val="HTMLPreformatted"/>
        <w:numPr>
          <w:ilvl w:val="0"/>
          <w:numId w:val="46"/>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Develop strategic marketing plans and improve the service quality of banking.</w:t>
      </w:r>
    </w:p>
    <w:p w:rsidR="00B3369E" w:rsidRPr="00B3369E" w:rsidRDefault="00B3369E" w:rsidP="001B0E2C">
      <w:pPr>
        <w:pStyle w:val="HTMLPreformatted"/>
        <w:numPr>
          <w:ilvl w:val="0"/>
          <w:numId w:val="46"/>
        </w:numPr>
        <w:shd w:val="clear" w:color="auto" w:fill="FFFFFF"/>
        <w:jc w:val="both"/>
        <w:rPr>
          <w:rFonts w:ascii="Times New Roman" w:hAnsi="Times New Roman" w:cs="Times New Roman"/>
          <w:sz w:val="24"/>
          <w:szCs w:val="24"/>
        </w:rPr>
      </w:pPr>
      <w:r w:rsidRPr="00B3369E">
        <w:rPr>
          <w:rFonts w:ascii="Times New Roman" w:hAnsi="Times New Roman" w:cs="Times New Roman"/>
          <w:color w:val="212121"/>
          <w:sz w:val="24"/>
          <w:szCs w:val="24"/>
          <w:shd w:val="clear" w:color="auto" w:fill="FFFFFF"/>
        </w:rPr>
        <w:t>In terms of profitability and asset quality, one of the best banks in Bangladesh.</w:t>
      </w:r>
    </w:p>
    <w:p w:rsidR="00B3369E" w:rsidRPr="00B3369E" w:rsidRDefault="00B3369E" w:rsidP="001B0E2C">
      <w:pPr>
        <w:pStyle w:val="HTMLPreformatted"/>
        <w:numPr>
          <w:ilvl w:val="0"/>
          <w:numId w:val="46"/>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Introduce the complete automated system through the data technology integration.</w:t>
      </w:r>
    </w:p>
    <w:p w:rsidR="00B3369E" w:rsidRPr="00B3369E" w:rsidRDefault="00B3369E" w:rsidP="001B0E2C">
      <w:pPr>
        <w:pStyle w:val="HTMLPreformatted"/>
        <w:numPr>
          <w:ilvl w:val="0"/>
          <w:numId w:val="46"/>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Dutch-Bangla Bank ensure adequate rate of return on investment</w:t>
      </w:r>
    </w:p>
    <w:p w:rsidR="00B3369E" w:rsidRPr="00B3369E" w:rsidRDefault="00B3369E" w:rsidP="001B0E2C">
      <w:pPr>
        <w:pStyle w:val="HTMLPreformatted"/>
        <w:numPr>
          <w:ilvl w:val="0"/>
          <w:numId w:val="46"/>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To maintain risk position in an acceptable range (with off balance sheet risk)</w:t>
      </w: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68" w:name="_Toc6610594"/>
      <w:bookmarkStart w:id="69" w:name="_Toc6614020"/>
      <w:r w:rsidRPr="00B3369E">
        <w:rPr>
          <w:rFonts w:ascii="Times New Roman" w:hAnsi="Times New Roman" w:cs="Times New Roman"/>
          <w:color w:val="632423" w:themeColor="accent2" w:themeShade="80"/>
          <w:sz w:val="28"/>
          <w:szCs w:val="28"/>
        </w:rPr>
        <w:t>3.7 DBBL of Strategy</w:t>
      </w:r>
      <w:bookmarkEnd w:id="68"/>
      <w:bookmarkEnd w:id="69"/>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Dutch-Bangla Bank Limited aims to work as a leadership supplier of financial services for small and medium-sized initiative (SME) institutional investors and high-valued individuals and aims to provide optimum and banking facilities for everyone.</w:t>
      </w: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70" w:name="_Toc6610595"/>
      <w:bookmarkStart w:id="71" w:name="_Toc6614021"/>
      <w:r w:rsidRPr="00B3369E">
        <w:rPr>
          <w:rFonts w:ascii="Times New Roman" w:hAnsi="Times New Roman" w:cs="Times New Roman"/>
          <w:color w:val="632423" w:themeColor="accent2" w:themeShade="80"/>
          <w:sz w:val="28"/>
          <w:szCs w:val="28"/>
        </w:rPr>
        <w:t>3.8 DBBL Achievements:</w:t>
      </w:r>
      <w:bookmarkEnd w:id="70"/>
      <w:bookmarkEnd w:id="71"/>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u w:val="single"/>
        </w:rPr>
      </w:pPr>
    </w:p>
    <w:p w:rsidR="00B3369E" w:rsidRPr="00B3369E" w:rsidRDefault="00B3369E" w:rsidP="001B0E2C">
      <w:pPr>
        <w:pStyle w:val="HTMLPreformatted"/>
        <w:numPr>
          <w:ilvl w:val="0"/>
          <w:numId w:val="8"/>
        </w:numPr>
        <w:shd w:val="clear" w:color="auto" w:fill="FFFFFF"/>
        <w:jc w:val="both"/>
        <w:rPr>
          <w:rFonts w:ascii="Times New Roman" w:hAnsi="Times New Roman" w:cs="Times New Roman"/>
          <w:b/>
          <w:bCs/>
          <w:color w:val="212121"/>
          <w:sz w:val="24"/>
          <w:szCs w:val="24"/>
          <w:u w:val="single"/>
        </w:rPr>
      </w:pPr>
      <w:r w:rsidRPr="00B3369E">
        <w:rPr>
          <w:rFonts w:ascii="Times New Roman" w:hAnsi="Times New Roman" w:cs="Times New Roman"/>
          <w:color w:val="212121"/>
          <w:sz w:val="24"/>
          <w:szCs w:val="24"/>
        </w:rPr>
        <w:t>Dutch-Bangla Bank wins “The Asian Banker’s Award” for the strongest Bank Balance Sheet in Bangladesh, 2013</w:t>
      </w:r>
    </w:p>
    <w:p w:rsidR="00B3369E" w:rsidRPr="00B3369E" w:rsidRDefault="00B3369E" w:rsidP="001B0E2C">
      <w:pPr>
        <w:pStyle w:val="HTMLPreformatted"/>
        <w:numPr>
          <w:ilvl w:val="0"/>
          <w:numId w:val="8"/>
        </w:numPr>
        <w:shd w:val="clear" w:color="auto" w:fill="FFFFFF"/>
        <w:jc w:val="both"/>
        <w:rPr>
          <w:rFonts w:ascii="Times New Roman" w:hAnsi="Times New Roman" w:cs="Times New Roman"/>
          <w:b/>
          <w:bCs/>
          <w:color w:val="212121"/>
          <w:sz w:val="24"/>
          <w:szCs w:val="24"/>
          <w:u w:val="single"/>
        </w:rPr>
      </w:pPr>
      <w:r w:rsidRPr="00B3369E">
        <w:rPr>
          <w:rFonts w:ascii="Times New Roman" w:hAnsi="Times New Roman" w:cs="Times New Roman"/>
          <w:color w:val="212121"/>
          <w:sz w:val="24"/>
          <w:szCs w:val="24"/>
        </w:rPr>
        <w:t>Dutch-Bangla Bank has been awarded the “Best Digital” Bank by Digital World 2015 organized by the Government of Bangladesh and the BASIS.</w:t>
      </w:r>
    </w:p>
    <w:p w:rsidR="00B3369E" w:rsidRPr="00B3369E" w:rsidRDefault="00B3369E" w:rsidP="001B0E2C">
      <w:pPr>
        <w:pStyle w:val="HTMLPreformatted"/>
        <w:numPr>
          <w:ilvl w:val="0"/>
          <w:numId w:val="8"/>
        </w:numPr>
        <w:shd w:val="clear" w:color="auto" w:fill="FFFFFF"/>
        <w:jc w:val="both"/>
        <w:rPr>
          <w:rFonts w:ascii="Times New Roman" w:hAnsi="Times New Roman" w:cs="Times New Roman"/>
          <w:b/>
          <w:bCs/>
          <w:color w:val="212121"/>
          <w:sz w:val="24"/>
          <w:szCs w:val="24"/>
          <w:u w:val="single"/>
        </w:rPr>
      </w:pPr>
      <w:r w:rsidRPr="00B3369E">
        <w:rPr>
          <w:rFonts w:ascii="Times New Roman" w:hAnsi="Times New Roman" w:cs="Times New Roman"/>
          <w:color w:val="212121"/>
          <w:sz w:val="24"/>
          <w:szCs w:val="24"/>
        </w:rPr>
        <w:t>Dutch-Bangla Bank has been awarded the first position in ICMAB Best Corporate Award-2014 in recognition of its sound corporate governance and for excellence in performance.</w:t>
      </w:r>
    </w:p>
    <w:p w:rsidR="00B3369E" w:rsidRPr="00B3369E" w:rsidRDefault="00B3369E" w:rsidP="001B0E2C">
      <w:pPr>
        <w:pStyle w:val="HTMLPreformatted"/>
        <w:numPr>
          <w:ilvl w:val="0"/>
          <w:numId w:val="8"/>
        </w:numPr>
        <w:shd w:val="clear" w:color="auto" w:fill="FFFFFF"/>
        <w:jc w:val="both"/>
        <w:rPr>
          <w:rFonts w:ascii="Times New Roman" w:hAnsi="Times New Roman" w:cs="Times New Roman"/>
          <w:b/>
          <w:bCs/>
          <w:color w:val="212121"/>
          <w:sz w:val="24"/>
          <w:szCs w:val="24"/>
          <w:u w:val="single"/>
        </w:rPr>
      </w:pPr>
      <w:r w:rsidRPr="00B3369E">
        <w:rPr>
          <w:rFonts w:ascii="Times New Roman" w:hAnsi="Times New Roman" w:cs="Times New Roman"/>
          <w:color w:val="212121"/>
          <w:sz w:val="24"/>
          <w:szCs w:val="24"/>
        </w:rPr>
        <w:t>Dutch-Bangla Bank has been awarded the leading partner bank in Bangladesh by the Asian Development Bank (ADB).</w:t>
      </w:r>
    </w:p>
    <w:p w:rsidR="00B3369E" w:rsidRPr="00B3369E" w:rsidRDefault="00B3369E" w:rsidP="001B0E2C">
      <w:pPr>
        <w:pStyle w:val="HTMLPreformatted"/>
        <w:numPr>
          <w:ilvl w:val="0"/>
          <w:numId w:val="8"/>
        </w:numPr>
        <w:shd w:val="clear" w:color="auto" w:fill="FFFFFF"/>
        <w:jc w:val="both"/>
        <w:rPr>
          <w:rFonts w:ascii="Times New Roman" w:hAnsi="Times New Roman" w:cs="Times New Roman"/>
          <w:b/>
          <w:bCs/>
          <w:color w:val="212121"/>
          <w:sz w:val="24"/>
          <w:szCs w:val="24"/>
        </w:rPr>
      </w:pPr>
      <w:r w:rsidRPr="00B3369E">
        <w:rPr>
          <w:rFonts w:ascii="Times New Roman" w:hAnsi="Times New Roman" w:cs="Times New Roman"/>
          <w:sz w:val="24"/>
          <w:szCs w:val="24"/>
        </w:rPr>
        <w:t>Dutch-Bangla Bank has been awarded the first ever ICSB National award for corporate Governance Excellence 2013 for its significant contribution to</w:t>
      </w:r>
      <w:r w:rsidRPr="00B3369E">
        <w:rPr>
          <w:rFonts w:ascii="Times New Roman" w:hAnsi="Times New Roman" w:cs="Times New Roman"/>
          <w:b/>
          <w:bCs/>
          <w:color w:val="212121"/>
          <w:sz w:val="24"/>
          <w:szCs w:val="24"/>
        </w:rPr>
        <w:t xml:space="preserve"> </w:t>
      </w:r>
      <w:r w:rsidRPr="00B3369E">
        <w:rPr>
          <w:rFonts w:ascii="Times New Roman" w:hAnsi="Times New Roman" w:cs="Times New Roman"/>
          <w:sz w:val="24"/>
          <w:szCs w:val="24"/>
        </w:rPr>
        <w:t>sustainable good Governance and Responsible business conduct.</w:t>
      </w:r>
    </w:p>
    <w:p w:rsidR="00B3369E" w:rsidRPr="00B3369E" w:rsidRDefault="00B3369E" w:rsidP="001B0E2C">
      <w:pPr>
        <w:pStyle w:val="HTMLPreformatted"/>
        <w:numPr>
          <w:ilvl w:val="0"/>
          <w:numId w:val="8"/>
        </w:numPr>
        <w:shd w:val="clear" w:color="auto" w:fill="FFFFFF"/>
        <w:jc w:val="both"/>
        <w:rPr>
          <w:rFonts w:ascii="Times New Roman" w:hAnsi="Times New Roman" w:cs="Times New Roman"/>
          <w:b/>
          <w:bCs/>
          <w:color w:val="212121"/>
          <w:sz w:val="24"/>
          <w:szCs w:val="24"/>
        </w:rPr>
      </w:pPr>
      <w:r w:rsidRPr="00B3369E">
        <w:rPr>
          <w:rFonts w:ascii="Times New Roman" w:hAnsi="Times New Roman" w:cs="Times New Roman"/>
          <w:sz w:val="24"/>
          <w:szCs w:val="24"/>
        </w:rPr>
        <w:t>Dutch-Bangla Bank has been awarded as Best Bank in Bangladesh by Finance Asia in Country Awards Presentation held in Singapore on September 08, 2016.</w:t>
      </w:r>
    </w:p>
    <w:p w:rsidR="00B3369E" w:rsidRPr="00B3369E" w:rsidRDefault="00B3369E" w:rsidP="001B0E2C">
      <w:pPr>
        <w:pStyle w:val="HTMLPreformatted"/>
        <w:numPr>
          <w:ilvl w:val="0"/>
          <w:numId w:val="8"/>
        </w:numPr>
        <w:shd w:val="clear" w:color="auto" w:fill="FFFFFF"/>
        <w:jc w:val="both"/>
        <w:rPr>
          <w:rFonts w:ascii="Times New Roman" w:hAnsi="Times New Roman" w:cs="Times New Roman"/>
          <w:b/>
          <w:bCs/>
          <w:color w:val="212121"/>
          <w:sz w:val="24"/>
          <w:szCs w:val="24"/>
        </w:rPr>
      </w:pPr>
      <w:r w:rsidRPr="00B3369E">
        <w:rPr>
          <w:rFonts w:ascii="Times New Roman" w:hAnsi="Times New Roman" w:cs="Times New Roman"/>
          <w:sz w:val="24"/>
          <w:szCs w:val="24"/>
        </w:rPr>
        <w:t>Dutch-Bangla Bank has been awarded the ICAB Best Corporate Award-2015 in Traditional Banking Category.</w:t>
      </w:r>
    </w:p>
    <w:p w:rsidR="00B3369E" w:rsidRPr="00B3369E" w:rsidRDefault="00B3369E" w:rsidP="001B0E2C">
      <w:pPr>
        <w:pStyle w:val="HTMLPreformatted"/>
        <w:numPr>
          <w:ilvl w:val="0"/>
          <w:numId w:val="8"/>
        </w:numPr>
        <w:shd w:val="clear" w:color="auto" w:fill="FFFFFF"/>
        <w:jc w:val="both"/>
        <w:rPr>
          <w:rFonts w:ascii="Times New Roman" w:hAnsi="Times New Roman" w:cs="Times New Roman"/>
          <w:b/>
          <w:bCs/>
          <w:color w:val="212121"/>
          <w:sz w:val="24"/>
          <w:szCs w:val="24"/>
        </w:rPr>
      </w:pPr>
      <w:r w:rsidRPr="00B3369E">
        <w:rPr>
          <w:rFonts w:ascii="Times New Roman" w:hAnsi="Times New Roman" w:cs="Times New Roman"/>
          <w:sz w:val="24"/>
          <w:szCs w:val="24"/>
        </w:rPr>
        <w:t>DBBL has been awarded the "Best Management Award" by the</w:t>
      </w:r>
      <w:r w:rsidRPr="00B3369E">
        <w:rPr>
          <w:rFonts w:ascii="Times New Roman" w:hAnsi="Times New Roman" w:cs="Times New Roman"/>
          <w:b/>
          <w:bCs/>
          <w:color w:val="212121"/>
          <w:sz w:val="24"/>
          <w:szCs w:val="24"/>
        </w:rPr>
        <w:t xml:space="preserve"> </w:t>
      </w:r>
      <w:r w:rsidRPr="00B3369E">
        <w:rPr>
          <w:rFonts w:ascii="Times New Roman" w:hAnsi="Times New Roman" w:cs="Times New Roman"/>
          <w:sz w:val="24"/>
          <w:szCs w:val="24"/>
        </w:rPr>
        <w:t>authority of Digital World-2017 at Hall of Fame of BICC, Dhaka.</w:t>
      </w: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b/>
          <w:bCs/>
          <w:color w:val="212121"/>
          <w:sz w:val="24"/>
          <w:szCs w:val="24"/>
        </w:rPr>
      </w:pPr>
    </w:p>
    <w:p w:rsidR="00B3369E" w:rsidRPr="00B3369E" w:rsidRDefault="00B3369E" w:rsidP="00B3369E">
      <w:pPr>
        <w:pStyle w:val="Heading2"/>
        <w:rPr>
          <w:rFonts w:ascii="Times New Roman" w:hAnsi="Times New Roman" w:cs="Times New Roman"/>
          <w:sz w:val="28"/>
          <w:szCs w:val="28"/>
        </w:rPr>
      </w:pPr>
    </w:p>
    <w:p w:rsidR="00B3369E" w:rsidRPr="00B3369E" w:rsidRDefault="00B3369E" w:rsidP="00B3369E">
      <w:pPr>
        <w:pStyle w:val="Heading2"/>
        <w:jc w:val="both"/>
        <w:rPr>
          <w:rFonts w:ascii="Times New Roman" w:hAnsi="Times New Roman" w:cs="Times New Roman"/>
          <w:color w:val="632423" w:themeColor="accent2" w:themeShade="80"/>
          <w:sz w:val="28"/>
          <w:szCs w:val="28"/>
        </w:rPr>
      </w:pPr>
    </w:p>
    <w:p w:rsidR="00B3369E" w:rsidRPr="00B3369E" w:rsidRDefault="00B3369E" w:rsidP="00B3369E">
      <w:pPr>
        <w:rPr>
          <w:rFonts w:ascii="Times New Roman" w:hAnsi="Times New Roman" w:cs="Times New Roman"/>
        </w:rPr>
      </w:pP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72" w:name="_Toc6610596"/>
      <w:bookmarkStart w:id="73" w:name="_Toc6614022"/>
      <w:r w:rsidRPr="00B3369E">
        <w:rPr>
          <w:rFonts w:ascii="Times New Roman" w:hAnsi="Times New Roman" w:cs="Times New Roman"/>
          <w:color w:val="632423" w:themeColor="accent2" w:themeShade="80"/>
          <w:sz w:val="28"/>
          <w:szCs w:val="28"/>
        </w:rPr>
        <w:t>3.9 Dutch-Bangla Bank Strength:</w:t>
      </w:r>
      <w:bookmarkEnd w:id="72"/>
      <w:bookmarkEnd w:id="73"/>
    </w:p>
    <w:p w:rsidR="00B3369E" w:rsidRPr="00B3369E" w:rsidRDefault="00B3369E" w:rsidP="00B3369E">
      <w:pPr>
        <w:pStyle w:val="HTMLPreformatted"/>
        <w:shd w:val="clear" w:color="auto" w:fill="FFFFFF"/>
        <w:spacing w:line="276" w:lineRule="auto"/>
        <w:jc w:val="both"/>
        <w:rPr>
          <w:rFonts w:ascii="Times New Roman" w:hAnsi="Times New Roman" w:cs="Times New Roman"/>
          <w:b/>
          <w:bCs/>
          <w:color w:val="212121"/>
          <w:sz w:val="24"/>
          <w:szCs w:val="24"/>
          <w:u w:val="single"/>
        </w:rPr>
      </w:pPr>
    </w:p>
    <w:p w:rsidR="00B3369E" w:rsidRPr="00B3369E" w:rsidRDefault="00B3369E" w:rsidP="00B3369E">
      <w:pPr>
        <w:pStyle w:val="HTMLPreformatted"/>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Dutch-Bangla Bank is involved in traditional commercial banking:</w:t>
      </w:r>
    </w:p>
    <w:p w:rsidR="00B3369E" w:rsidRPr="00B3369E" w:rsidRDefault="00B3369E" w:rsidP="00B3369E">
      <w:pPr>
        <w:pStyle w:val="HTMLPreformatted"/>
        <w:shd w:val="clear" w:color="auto" w:fill="FFFFFF"/>
        <w:spacing w:line="276" w:lineRule="auto"/>
        <w:rPr>
          <w:rFonts w:ascii="Times New Roman" w:hAnsi="Times New Roman" w:cs="Times New Roman"/>
          <w:b/>
          <w:bCs/>
          <w:color w:val="212121"/>
          <w:sz w:val="24"/>
          <w:szCs w:val="24"/>
        </w:rPr>
      </w:pPr>
    </w:p>
    <w:p w:rsidR="00B3369E" w:rsidRPr="00B3369E" w:rsidRDefault="00B3369E" w:rsidP="001B0E2C">
      <w:pPr>
        <w:pStyle w:val="HTMLPreformatted"/>
        <w:numPr>
          <w:ilvl w:val="0"/>
          <w:numId w:val="9"/>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shd w:val="clear" w:color="auto" w:fill="FFFFFF"/>
        </w:rPr>
        <w:t xml:space="preserve">DBBL Limited has already earned reputation in the banking industry of the country. </w:t>
      </w:r>
      <w:r w:rsidRPr="00B3369E">
        <w:rPr>
          <w:rFonts w:ascii="Times New Roman" w:hAnsi="Times New Roman" w:cs="Times New Roman"/>
          <w:color w:val="212121"/>
          <w:sz w:val="24"/>
          <w:szCs w:val="24"/>
        </w:rPr>
        <w:t>It is one of the private commercial banks of Bangladesh. It is an introduction to launching and introducing different customer’s friendly deposit plans to tap the identity of the people for the economical environment.</w:t>
      </w:r>
    </w:p>
    <w:p w:rsidR="00B3369E" w:rsidRPr="00B3369E" w:rsidRDefault="00B3369E" w:rsidP="001B0E2C">
      <w:pPr>
        <w:pStyle w:val="HTMLPreformatted"/>
        <w:numPr>
          <w:ilvl w:val="0"/>
          <w:numId w:val="9"/>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DBBL has provided banking highest services with leading leadership and management positions. DBBL Board of Directors Chairman </w:t>
      </w:r>
      <w:r w:rsidRPr="00B3369E">
        <w:rPr>
          <w:rFonts w:ascii="Times New Roman" w:hAnsi="Times New Roman" w:cs="Times New Roman"/>
          <w:sz w:val="24"/>
          <w:szCs w:val="24"/>
        </w:rPr>
        <w:t xml:space="preserve">Mr. </w:t>
      </w:r>
      <w:proofErr w:type="spellStart"/>
      <w:r w:rsidRPr="00B3369E">
        <w:rPr>
          <w:rFonts w:ascii="Times New Roman" w:hAnsi="Times New Roman" w:cs="Times New Roman"/>
          <w:sz w:val="24"/>
          <w:szCs w:val="24"/>
        </w:rPr>
        <w:t>Sayem</w:t>
      </w:r>
      <w:proofErr w:type="spellEnd"/>
      <w:r w:rsidRPr="00B3369E">
        <w:rPr>
          <w:rFonts w:ascii="Times New Roman" w:hAnsi="Times New Roman" w:cs="Times New Roman"/>
          <w:sz w:val="24"/>
          <w:szCs w:val="24"/>
        </w:rPr>
        <w:t xml:space="preserve"> Ahmed</w:t>
      </w:r>
      <w:r w:rsidRPr="00B3369E">
        <w:rPr>
          <w:rFonts w:ascii="Times New Roman" w:hAnsi="Times New Roman" w:cs="Times New Roman"/>
          <w:color w:val="212121"/>
          <w:sz w:val="24"/>
          <w:szCs w:val="24"/>
        </w:rPr>
        <w:t xml:space="preserve"> and Md. </w:t>
      </w:r>
      <w:r w:rsidRPr="00B3369E">
        <w:rPr>
          <w:rFonts w:ascii="Times New Roman" w:hAnsi="Times New Roman" w:cs="Times New Roman"/>
          <w:sz w:val="24"/>
          <w:szCs w:val="24"/>
        </w:rPr>
        <w:t xml:space="preserve">Mr. </w:t>
      </w:r>
      <w:proofErr w:type="spellStart"/>
      <w:r w:rsidRPr="00B3369E">
        <w:rPr>
          <w:rFonts w:ascii="Times New Roman" w:hAnsi="Times New Roman" w:cs="Times New Roman"/>
          <w:sz w:val="24"/>
          <w:szCs w:val="24"/>
        </w:rPr>
        <w:t>Abedur</w:t>
      </w:r>
      <w:proofErr w:type="spellEnd"/>
      <w:r w:rsidRPr="00B3369E">
        <w:rPr>
          <w:rFonts w:ascii="Times New Roman" w:hAnsi="Times New Roman" w:cs="Times New Roman"/>
          <w:sz w:val="24"/>
          <w:szCs w:val="24"/>
        </w:rPr>
        <w:t xml:space="preserve"> Rashid Khan</w:t>
      </w:r>
      <w:r w:rsidRPr="00B3369E">
        <w:rPr>
          <w:rFonts w:ascii="Times New Roman" w:hAnsi="Times New Roman" w:cs="Times New Roman"/>
          <w:color w:val="212121"/>
          <w:sz w:val="24"/>
          <w:szCs w:val="24"/>
        </w:rPr>
        <w:t xml:space="preserve"> is the experienced person in business world. </w:t>
      </w:r>
    </w:p>
    <w:p w:rsidR="00B3369E" w:rsidRPr="00B3369E" w:rsidRDefault="00B3369E" w:rsidP="001B0E2C">
      <w:pPr>
        <w:pStyle w:val="HTMLPreformatted"/>
        <w:numPr>
          <w:ilvl w:val="0"/>
          <w:numId w:val="9"/>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DBBL has mutual corporate culture. Their work environment is very friendly, mutual and domestic activities. There are no secret barriers or restrictions when communicating between upper and staff. Their corporate culture is provided as a great motivation for employees.</w:t>
      </w:r>
    </w:p>
    <w:p w:rsidR="00B3369E" w:rsidRPr="00B3369E" w:rsidRDefault="00B3369E" w:rsidP="001B0E2C">
      <w:pPr>
        <w:pStyle w:val="HTMLPreformatted"/>
        <w:numPr>
          <w:ilvl w:val="0"/>
          <w:numId w:val="9"/>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In order to improve the living standard of the population, the bank has introduced consumer credit schemes financial support by providing loans to the customers for additional sustainable collection, which encourages them with feedback.</w:t>
      </w:r>
    </w:p>
    <w:p w:rsidR="00B3369E" w:rsidRPr="00B3369E" w:rsidRDefault="00B3369E" w:rsidP="001B0E2C">
      <w:pPr>
        <w:pStyle w:val="HTMLPreformatted"/>
        <w:numPr>
          <w:ilvl w:val="0"/>
          <w:numId w:val="9"/>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In keeping with modern banking, the bank is committed to continuous research and development.</w:t>
      </w:r>
    </w:p>
    <w:p w:rsidR="00B3369E" w:rsidRPr="00B3369E" w:rsidRDefault="00B3369E" w:rsidP="001B0E2C">
      <w:pPr>
        <w:pStyle w:val="HTMLPreformatted"/>
        <w:numPr>
          <w:ilvl w:val="0"/>
          <w:numId w:val="9"/>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 Bank Camera Watch System (CCTV) has initiated the banking proposal to strengthen security services.</w:t>
      </w:r>
    </w:p>
    <w:p w:rsidR="00B3369E" w:rsidRPr="00B3369E" w:rsidRDefault="00B3369E" w:rsidP="001B0E2C">
      <w:pPr>
        <w:pStyle w:val="HTMLPreformatted"/>
        <w:numPr>
          <w:ilvl w:val="0"/>
          <w:numId w:val="9"/>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Customer relationship management system starts to evaluate the needs of different buyers and solve problems in places.</w:t>
      </w:r>
    </w:p>
    <w:p w:rsidR="00B3369E" w:rsidRPr="00B3369E" w:rsidRDefault="00B3369E" w:rsidP="001B0E2C">
      <w:pPr>
        <w:pStyle w:val="HTMLPreformatted"/>
        <w:numPr>
          <w:ilvl w:val="0"/>
          <w:numId w:val="9"/>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DBBL has earned the reputation of providing good quality service provider to its potential customers. Computer based operation to ensure fast and efficient services to the customers of the bank.</w:t>
      </w:r>
    </w:p>
    <w:p w:rsidR="00B3369E" w:rsidRPr="00B3369E" w:rsidRDefault="00B3369E" w:rsidP="001B0E2C">
      <w:pPr>
        <w:pStyle w:val="HTMLPreformatted"/>
        <w:numPr>
          <w:ilvl w:val="0"/>
          <w:numId w:val="9"/>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DBBL is leading SME financing &amp; SME products</w:t>
      </w:r>
    </w:p>
    <w:p w:rsidR="00B3369E" w:rsidRPr="00B3369E" w:rsidRDefault="00B3369E" w:rsidP="001B0E2C">
      <w:pPr>
        <w:pStyle w:val="HTMLPreformatted"/>
        <w:numPr>
          <w:ilvl w:val="0"/>
          <w:numId w:val="9"/>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DBBL is providing largest mobile banking “Rocket” to using ATM Booth.</w:t>
      </w:r>
    </w:p>
    <w:p w:rsidR="00B3369E" w:rsidRPr="00B3369E" w:rsidRDefault="00B3369E" w:rsidP="001B0E2C">
      <w:pPr>
        <w:pStyle w:val="HTMLPreformatted"/>
        <w:numPr>
          <w:ilvl w:val="0"/>
          <w:numId w:val="9"/>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DBBL have provided all Bangladesh in the end Urban and Rural area ATM booth, POS network and Agent banking.</w:t>
      </w: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74" w:name="_Toc6610597"/>
      <w:bookmarkStart w:id="75" w:name="_Toc6614023"/>
      <w:r w:rsidRPr="00B3369E">
        <w:rPr>
          <w:rFonts w:ascii="Times New Roman" w:hAnsi="Times New Roman" w:cs="Times New Roman"/>
          <w:color w:val="632423" w:themeColor="accent2" w:themeShade="80"/>
          <w:sz w:val="28"/>
          <w:szCs w:val="28"/>
        </w:rPr>
        <w:t>3.10 DBBL Main Activities:</w:t>
      </w:r>
      <w:bookmarkEnd w:id="74"/>
      <w:bookmarkEnd w:id="75"/>
    </w:p>
    <w:p w:rsidR="00B3369E" w:rsidRPr="00B3369E" w:rsidRDefault="00B3369E" w:rsidP="00B3369E">
      <w:pPr>
        <w:pStyle w:val="HTMLPreformatted"/>
        <w:shd w:val="clear" w:color="auto" w:fill="FFFFFF"/>
        <w:spacing w:line="276" w:lineRule="auto"/>
        <w:jc w:val="both"/>
        <w:rPr>
          <w:rFonts w:ascii="Times New Roman" w:hAnsi="Times New Roman" w:cs="Times New Roman"/>
          <w:b/>
          <w:bCs/>
          <w:color w:val="212121"/>
          <w:sz w:val="24"/>
          <w:szCs w:val="24"/>
          <w:u w:val="single"/>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Banking is the main activity of the bank. Opening of banking business accounts, receiving deposits, credit offers from corporate organizations, as well as retail and small and medium enterprises, trade financing, project financing, lease and purchase finance. The banking system includes conventional banking. It executes merchant banking functions under license by the Securities and Exchange Commission, Dhaka, Bangladesh.</w:t>
      </w:r>
      <w:r w:rsidRPr="00B3369E">
        <w:rPr>
          <w:rFonts w:ascii="Times New Roman" w:hAnsi="Times New Roman" w:cs="Times New Roman"/>
          <w:color w:val="212121"/>
          <w:sz w:val="24"/>
          <w:szCs w:val="24"/>
        </w:rPr>
        <w:tab/>
      </w: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76" w:name="_Toc6610598"/>
      <w:bookmarkStart w:id="77" w:name="_Toc6614024"/>
      <w:r w:rsidRPr="00B3369E">
        <w:rPr>
          <w:rFonts w:ascii="Times New Roman" w:hAnsi="Times New Roman" w:cs="Times New Roman"/>
          <w:color w:val="632423" w:themeColor="accent2" w:themeShade="80"/>
          <w:sz w:val="28"/>
          <w:szCs w:val="28"/>
        </w:rPr>
        <w:t>3.11 DBBL Corporate Division:</w:t>
      </w:r>
      <w:bookmarkEnd w:id="76"/>
      <w:bookmarkEnd w:id="77"/>
      <w:r w:rsidRPr="00B3369E">
        <w:rPr>
          <w:rFonts w:ascii="Times New Roman" w:hAnsi="Times New Roman" w:cs="Times New Roman"/>
          <w:color w:val="632423" w:themeColor="accent2" w:themeShade="80"/>
          <w:sz w:val="28"/>
          <w:szCs w:val="28"/>
        </w:rPr>
        <w:t xml:space="preserve"> </w:t>
      </w:r>
    </w:p>
    <w:p w:rsidR="00B3369E" w:rsidRPr="00B3369E" w:rsidRDefault="00B3369E" w:rsidP="00B3369E">
      <w:pPr>
        <w:pStyle w:val="HTMLPreformatted"/>
        <w:spacing w:line="276" w:lineRule="auto"/>
        <w:jc w:val="both"/>
        <w:rPr>
          <w:rFonts w:ascii="Times New Roman" w:hAnsi="Times New Roman" w:cs="Times New Roman"/>
          <w:b/>
          <w:bCs/>
          <w:color w:val="212121"/>
          <w:sz w:val="24"/>
          <w:szCs w:val="24"/>
          <w:u w:val="single"/>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In order to provide banking services, Dutch Bangla Bank Limited is basically related to three separate departments. There are:</w:t>
      </w:r>
    </w:p>
    <w:p w:rsidR="00B3369E" w:rsidRPr="00B3369E" w:rsidRDefault="00B3369E" w:rsidP="00B3369E">
      <w:pPr>
        <w:pStyle w:val="HTMLPreformatted"/>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1. General Banking</w:t>
      </w:r>
    </w:p>
    <w:p w:rsidR="00B3369E" w:rsidRPr="00B3369E" w:rsidRDefault="00B3369E" w:rsidP="001B0E2C">
      <w:pPr>
        <w:pStyle w:val="HTMLPreformatted"/>
        <w:numPr>
          <w:ilvl w:val="0"/>
          <w:numId w:val="10"/>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Account opening</w:t>
      </w:r>
    </w:p>
    <w:p w:rsidR="00B3369E" w:rsidRPr="00B3369E" w:rsidRDefault="00B3369E" w:rsidP="001B0E2C">
      <w:pPr>
        <w:pStyle w:val="HTMLPreformatted"/>
        <w:numPr>
          <w:ilvl w:val="0"/>
          <w:numId w:val="10"/>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Clearing</w:t>
      </w:r>
    </w:p>
    <w:p w:rsidR="00B3369E" w:rsidRPr="00B3369E" w:rsidRDefault="00B3369E" w:rsidP="00B3369E">
      <w:pPr>
        <w:pStyle w:val="HTMLPreformatted"/>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2. Foreign Exchange</w:t>
      </w:r>
    </w:p>
    <w:p w:rsidR="00B3369E" w:rsidRPr="00B3369E" w:rsidRDefault="00B3369E" w:rsidP="001B0E2C">
      <w:pPr>
        <w:pStyle w:val="HTMLPreformatted"/>
        <w:numPr>
          <w:ilvl w:val="0"/>
          <w:numId w:val="11"/>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Cash</w:t>
      </w:r>
    </w:p>
    <w:p w:rsidR="00B3369E" w:rsidRPr="00B3369E" w:rsidRDefault="00B3369E" w:rsidP="001B0E2C">
      <w:pPr>
        <w:pStyle w:val="HTMLPreformatted"/>
        <w:numPr>
          <w:ilvl w:val="0"/>
          <w:numId w:val="11"/>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Export</w:t>
      </w:r>
    </w:p>
    <w:p w:rsidR="00B3369E" w:rsidRPr="00B3369E" w:rsidRDefault="00B3369E" w:rsidP="001B0E2C">
      <w:pPr>
        <w:pStyle w:val="HTMLPreformatted"/>
        <w:numPr>
          <w:ilvl w:val="0"/>
          <w:numId w:val="11"/>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Import</w:t>
      </w:r>
    </w:p>
    <w:p w:rsidR="00B3369E" w:rsidRPr="00B3369E" w:rsidRDefault="00B3369E" w:rsidP="001B0E2C">
      <w:pPr>
        <w:pStyle w:val="HTMLPreformatted"/>
        <w:numPr>
          <w:ilvl w:val="0"/>
          <w:numId w:val="11"/>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Remittance of Funds</w:t>
      </w:r>
    </w:p>
    <w:p w:rsidR="00B3369E" w:rsidRPr="00B3369E" w:rsidRDefault="00B3369E" w:rsidP="00B3369E">
      <w:pPr>
        <w:pStyle w:val="HTMLPreformatted"/>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3. Investment Banking</w:t>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78" w:name="_Toc6610599"/>
      <w:bookmarkStart w:id="79" w:name="_Toc6614025"/>
      <w:r w:rsidRPr="00B3369E">
        <w:rPr>
          <w:rFonts w:ascii="Times New Roman" w:hAnsi="Times New Roman" w:cs="Times New Roman"/>
          <w:color w:val="632423" w:themeColor="accent2" w:themeShade="80"/>
          <w:sz w:val="28"/>
          <w:szCs w:val="28"/>
        </w:rPr>
        <w:t>3.12 DBBL off-shore Banking Unit (OBU)</w:t>
      </w:r>
      <w:bookmarkEnd w:id="78"/>
      <w:bookmarkEnd w:id="79"/>
    </w:p>
    <w:p w:rsidR="00B3369E" w:rsidRPr="00B3369E" w:rsidRDefault="00B3369E" w:rsidP="00B3369E">
      <w:pPr>
        <w:spacing w:after="0"/>
        <w:rPr>
          <w:rFonts w:ascii="Times New Roman" w:hAnsi="Times New Roman" w:cs="Times New Roman"/>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Bank of the Off-shore of the Banking Unit (OBU) governs the rules and regulations and guidelines of the Bangladesh Bank separate business rules OBU number 2 (two) reporting date 31 December, 2015 </w:t>
      </w:r>
      <w:proofErr w:type="spellStart"/>
      <w:r w:rsidRPr="00B3369E">
        <w:rPr>
          <w:rFonts w:ascii="Times New Roman" w:hAnsi="Times New Roman" w:cs="Times New Roman"/>
          <w:color w:val="212121"/>
          <w:sz w:val="24"/>
          <w:szCs w:val="24"/>
        </w:rPr>
        <w:t>Agrabad</w:t>
      </w:r>
      <w:proofErr w:type="spellEnd"/>
      <w:r w:rsidRPr="00B3369E">
        <w:rPr>
          <w:rFonts w:ascii="Times New Roman" w:hAnsi="Times New Roman" w:cs="Times New Roman"/>
          <w:color w:val="212121"/>
          <w:sz w:val="24"/>
          <w:szCs w:val="24"/>
        </w:rPr>
        <w:t xml:space="preserve"> branch- Chittagong and Dhaka EPZ branches- Dhaka. OBU investments with bank exposure are risk weighted.</w:t>
      </w: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80" w:name="_Toc6610600"/>
      <w:bookmarkStart w:id="81" w:name="_Toc6614026"/>
      <w:r w:rsidRPr="00B3369E">
        <w:rPr>
          <w:rFonts w:ascii="Times New Roman" w:hAnsi="Times New Roman" w:cs="Times New Roman"/>
          <w:color w:val="632423" w:themeColor="accent2" w:themeShade="80"/>
          <w:sz w:val="28"/>
          <w:szCs w:val="28"/>
        </w:rPr>
        <w:t>3.13 DBBL Product &amp; Services List:</w:t>
      </w:r>
      <w:bookmarkEnd w:id="80"/>
      <w:bookmarkEnd w:id="81"/>
      <w:r w:rsidRPr="00B3369E">
        <w:rPr>
          <w:rFonts w:ascii="Times New Roman" w:hAnsi="Times New Roman" w:cs="Times New Roman"/>
          <w:color w:val="632423" w:themeColor="accent2" w:themeShade="80"/>
          <w:sz w:val="28"/>
          <w:szCs w:val="28"/>
        </w:rPr>
        <w:t xml:space="preserve"> </w:t>
      </w:r>
    </w:p>
    <w:p w:rsidR="00B3369E" w:rsidRPr="00B3369E" w:rsidRDefault="00B3369E" w:rsidP="00B3369E">
      <w:pPr>
        <w:pStyle w:val="HTMLPreformatted"/>
        <w:shd w:val="clear" w:color="auto" w:fill="FFFFFF"/>
        <w:spacing w:line="276" w:lineRule="auto"/>
        <w:jc w:val="both"/>
        <w:rPr>
          <w:rFonts w:ascii="Times New Roman" w:hAnsi="Times New Roman" w:cs="Times New Roman"/>
          <w:b/>
          <w:bCs/>
          <w:color w:val="212121"/>
          <w:sz w:val="24"/>
          <w:szCs w:val="24"/>
          <w:u w:val="single"/>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DBBL is a customer central bank and really important to meet the needs of customers to achieve business success. DBBL always provide well services to their clients and to satisfy customers' services and make their banking experience more delighted. Below is a list of the products &amp; services of Dutch-Bangla Bank Limited:</w:t>
      </w:r>
    </w:p>
    <w:p w:rsidR="00B3369E" w:rsidRPr="00B3369E" w:rsidRDefault="00B3369E" w:rsidP="00B3369E">
      <w:pPr>
        <w:pStyle w:val="NoSpacing"/>
        <w:spacing w:line="276" w:lineRule="auto"/>
        <w:jc w:val="center"/>
        <w:rPr>
          <w:rFonts w:ascii="Times New Roman" w:hAnsi="Times New Roman" w:cs="Times New Roman"/>
          <w:b/>
          <w:bCs/>
          <w:sz w:val="20"/>
          <w:szCs w:val="20"/>
        </w:rPr>
      </w:pPr>
    </w:p>
    <w:p w:rsidR="00B3369E" w:rsidRPr="00B3369E" w:rsidRDefault="00B3369E" w:rsidP="00B3369E">
      <w:pPr>
        <w:pStyle w:val="Tables"/>
      </w:pPr>
      <w:bookmarkStart w:id="82" w:name="_Toc6620242"/>
      <w:r w:rsidRPr="00B3369E">
        <w:t xml:space="preserve">Table 3: </w:t>
      </w:r>
      <w:r w:rsidR="00276A72">
        <w:fldChar w:fldCharType="begin"/>
      </w:r>
      <w:r w:rsidR="002324C7">
        <w:instrText xml:space="preserve"> SEQ Table_2: \* ARABIC </w:instrText>
      </w:r>
      <w:r w:rsidR="00276A72">
        <w:fldChar w:fldCharType="separate"/>
      </w:r>
      <w:r w:rsidRPr="00B3369E">
        <w:t>2</w:t>
      </w:r>
      <w:r w:rsidR="00276A72">
        <w:fldChar w:fldCharType="end"/>
      </w:r>
      <w:r w:rsidRPr="00B3369E">
        <w:t xml:space="preserve"> DBBL Product List</w:t>
      </w:r>
      <w:bookmarkEnd w:id="82"/>
    </w:p>
    <w:tbl>
      <w:tblPr>
        <w:tblStyle w:val="TableGrid"/>
        <w:tblW w:w="5000" w:type="pct"/>
        <w:jc w:val="center"/>
        <w:tblLook w:val="04A0"/>
      </w:tblPr>
      <w:tblGrid>
        <w:gridCol w:w="4413"/>
        <w:gridCol w:w="4830"/>
      </w:tblGrid>
      <w:tr w:rsidR="00B3369E" w:rsidRPr="00B3369E" w:rsidTr="004838D2">
        <w:trPr>
          <w:jc w:val="center"/>
        </w:trPr>
        <w:tc>
          <w:tcPr>
            <w:tcW w:w="2387" w:type="pct"/>
            <w:shd w:val="clear" w:color="auto" w:fill="auto"/>
          </w:tcPr>
          <w:p w:rsidR="00B3369E" w:rsidRPr="00B3369E" w:rsidRDefault="00B3369E" w:rsidP="004838D2">
            <w:pPr>
              <w:pStyle w:val="HTMLPreformatted"/>
              <w:spacing w:line="276" w:lineRule="auto"/>
              <w:jc w:val="center"/>
              <w:rPr>
                <w:rFonts w:ascii="Times New Roman" w:hAnsi="Times New Roman" w:cs="Times New Roman"/>
                <w:b/>
                <w:bCs/>
                <w:u w:val="single"/>
              </w:rPr>
            </w:pPr>
            <w:r w:rsidRPr="00B3369E">
              <w:rPr>
                <w:rFonts w:ascii="Times New Roman" w:hAnsi="Times New Roman" w:cs="Times New Roman"/>
                <w:b/>
                <w:bCs/>
                <w:u w:val="single"/>
              </w:rPr>
              <w:t>Customer Banking Products:</w:t>
            </w:r>
          </w:p>
          <w:p w:rsidR="00B3369E" w:rsidRPr="00B3369E" w:rsidRDefault="00B3369E" w:rsidP="001B0E2C">
            <w:pPr>
              <w:pStyle w:val="HTMLPreformatted"/>
              <w:numPr>
                <w:ilvl w:val="0"/>
                <w:numId w:val="13"/>
              </w:numPr>
              <w:spacing w:line="276" w:lineRule="auto"/>
              <w:rPr>
                <w:rFonts w:ascii="Times New Roman" w:hAnsi="Times New Roman" w:cs="Times New Roman"/>
                <w:b/>
                <w:bCs/>
              </w:rPr>
            </w:pPr>
            <w:r w:rsidRPr="00B3369E">
              <w:rPr>
                <w:rFonts w:ascii="Times New Roman" w:hAnsi="Times New Roman" w:cs="Times New Roman"/>
                <w:b/>
                <w:bCs/>
              </w:rPr>
              <w:t>SME Banking</w:t>
            </w:r>
          </w:p>
          <w:p w:rsidR="00B3369E" w:rsidRPr="00B3369E" w:rsidRDefault="00B3369E" w:rsidP="001B0E2C">
            <w:pPr>
              <w:pStyle w:val="HTMLPreformatted"/>
              <w:numPr>
                <w:ilvl w:val="0"/>
                <w:numId w:val="13"/>
              </w:numPr>
              <w:spacing w:line="276" w:lineRule="auto"/>
              <w:rPr>
                <w:rFonts w:ascii="Times New Roman" w:hAnsi="Times New Roman" w:cs="Times New Roman"/>
                <w:b/>
                <w:bCs/>
              </w:rPr>
            </w:pPr>
            <w:r w:rsidRPr="00B3369E">
              <w:rPr>
                <w:rFonts w:ascii="Times New Roman" w:hAnsi="Times New Roman" w:cs="Times New Roman"/>
                <w:b/>
                <w:bCs/>
              </w:rPr>
              <w:t>Internet Banking</w:t>
            </w:r>
          </w:p>
          <w:p w:rsidR="00B3369E" w:rsidRPr="00B3369E" w:rsidRDefault="00B3369E" w:rsidP="001B0E2C">
            <w:pPr>
              <w:pStyle w:val="HTMLPreformatted"/>
              <w:numPr>
                <w:ilvl w:val="0"/>
                <w:numId w:val="13"/>
              </w:numPr>
              <w:spacing w:line="276" w:lineRule="auto"/>
              <w:rPr>
                <w:rFonts w:ascii="Times New Roman" w:hAnsi="Times New Roman" w:cs="Times New Roman"/>
                <w:b/>
                <w:bCs/>
              </w:rPr>
            </w:pPr>
            <w:r w:rsidRPr="00B3369E">
              <w:rPr>
                <w:rFonts w:ascii="Times New Roman" w:hAnsi="Times New Roman" w:cs="Times New Roman"/>
                <w:b/>
                <w:bCs/>
              </w:rPr>
              <w:t>Western union money transfer</w:t>
            </w:r>
          </w:p>
          <w:p w:rsidR="00B3369E" w:rsidRPr="00B3369E" w:rsidRDefault="00B3369E" w:rsidP="001B0E2C">
            <w:pPr>
              <w:pStyle w:val="HTMLPreformatted"/>
              <w:numPr>
                <w:ilvl w:val="0"/>
                <w:numId w:val="13"/>
              </w:numPr>
              <w:spacing w:line="276" w:lineRule="auto"/>
              <w:rPr>
                <w:rFonts w:ascii="Times New Roman" w:hAnsi="Times New Roman" w:cs="Times New Roman"/>
                <w:b/>
                <w:bCs/>
              </w:rPr>
            </w:pPr>
            <w:r w:rsidRPr="00B3369E">
              <w:rPr>
                <w:rFonts w:ascii="Times New Roman" w:hAnsi="Times New Roman" w:cs="Times New Roman"/>
                <w:b/>
                <w:bCs/>
              </w:rPr>
              <w:t>ATM card services</w:t>
            </w:r>
          </w:p>
          <w:p w:rsidR="00B3369E" w:rsidRPr="00B3369E" w:rsidRDefault="00B3369E" w:rsidP="001B0E2C">
            <w:pPr>
              <w:pStyle w:val="HTMLPreformatted"/>
              <w:numPr>
                <w:ilvl w:val="0"/>
                <w:numId w:val="13"/>
              </w:numPr>
              <w:spacing w:line="276" w:lineRule="auto"/>
              <w:rPr>
                <w:rFonts w:ascii="Times New Roman" w:hAnsi="Times New Roman" w:cs="Times New Roman"/>
                <w:b/>
                <w:bCs/>
              </w:rPr>
            </w:pPr>
            <w:r w:rsidRPr="00B3369E">
              <w:rPr>
                <w:rFonts w:ascii="Times New Roman" w:hAnsi="Times New Roman" w:cs="Times New Roman"/>
                <w:b/>
                <w:bCs/>
              </w:rPr>
              <w:t>Bill payment service</w:t>
            </w:r>
          </w:p>
          <w:p w:rsidR="00B3369E" w:rsidRPr="00B3369E" w:rsidRDefault="00B3369E" w:rsidP="001B0E2C">
            <w:pPr>
              <w:pStyle w:val="HTMLPreformatted"/>
              <w:numPr>
                <w:ilvl w:val="0"/>
                <w:numId w:val="13"/>
              </w:numPr>
              <w:spacing w:line="276" w:lineRule="auto"/>
              <w:rPr>
                <w:rFonts w:ascii="Times New Roman" w:hAnsi="Times New Roman" w:cs="Times New Roman"/>
                <w:b/>
                <w:bCs/>
              </w:rPr>
            </w:pPr>
            <w:r w:rsidRPr="00B3369E">
              <w:rPr>
                <w:rFonts w:ascii="Times New Roman" w:hAnsi="Times New Roman" w:cs="Times New Roman"/>
                <w:b/>
                <w:bCs/>
              </w:rPr>
              <w:t>Treasury</w:t>
            </w:r>
          </w:p>
          <w:p w:rsidR="00B3369E" w:rsidRPr="00B3369E" w:rsidRDefault="00B3369E" w:rsidP="001B0E2C">
            <w:pPr>
              <w:pStyle w:val="HTMLPreformatted"/>
              <w:numPr>
                <w:ilvl w:val="0"/>
                <w:numId w:val="13"/>
              </w:numPr>
              <w:spacing w:line="276" w:lineRule="auto"/>
              <w:rPr>
                <w:rFonts w:ascii="Times New Roman" w:hAnsi="Times New Roman" w:cs="Times New Roman"/>
                <w:b/>
                <w:bCs/>
              </w:rPr>
            </w:pPr>
            <w:r w:rsidRPr="00B3369E">
              <w:rPr>
                <w:rFonts w:ascii="Times New Roman" w:hAnsi="Times New Roman" w:cs="Times New Roman"/>
                <w:b/>
                <w:bCs/>
              </w:rPr>
              <w:t>Locker Services</w:t>
            </w:r>
          </w:p>
          <w:p w:rsidR="00B3369E" w:rsidRPr="00B3369E" w:rsidRDefault="00B3369E" w:rsidP="001B0E2C">
            <w:pPr>
              <w:pStyle w:val="HTMLPreformatted"/>
              <w:numPr>
                <w:ilvl w:val="0"/>
                <w:numId w:val="13"/>
              </w:numPr>
              <w:spacing w:line="276" w:lineRule="auto"/>
              <w:rPr>
                <w:rFonts w:ascii="Times New Roman" w:hAnsi="Times New Roman" w:cs="Times New Roman"/>
                <w:b/>
                <w:bCs/>
              </w:rPr>
            </w:pPr>
            <w:r w:rsidRPr="00B3369E">
              <w:rPr>
                <w:rFonts w:ascii="Times New Roman" w:hAnsi="Times New Roman" w:cs="Times New Roman"/>
                <w:b/>
                <w:bCs/>
              </w:rPr>
              <w:t>SMS Services</w:t>
            </w:r>
          </w:p>
          <w:p w:rsidR="00B3369E" w:rsidRPr="00B3369E" w:rsidRDefault="00B3369E" w:rsidP="001B0E2C">
            <w:pPr>
              <w:pStyle w:val="HTMLPreformatted"/>
              <w:numPr>
                <w:ilvl w:val="0"/>
                <w:numId w:val="13"/>
              </w:numPr>
              <w:spacing w:line="276" w:lineRule="auto"/>
              <w:rPr>
                <w:rFonts w:ascii="Times New Roman" w:hAnsi="Times New Roman" w:cs="Times New Roman"/>
                <w:b/>
                <w:bCs/>
              </w:rPr>
            </w:pPr>
            <w:r w:rsidRPr="00B3369E">
              <w:rPr>
                <w:rFonts w:ascii="Times New Roman" w:hAnsi="Times New Roman" w:cs="Times New Roman"/>
                <w:b/>
                <w:bCs/>
              </w:rPr>
              <w:t>Mobile Banking</w:t>
            </w:r>
          </w:p>
          <w:p w:rsidR="00B3369E" w:rsidRPr="00B3369E" w:rsidRDefault="00B3369E" w:rsidP="001B0E2C">
            <w:pPr>
              <w:pStyle w:val="HTMLPreformatted"/>
              <w:numPr>
                <w:ilvl w:val="0"/>
                <w:numId w:val="13"/>
              </w:numPr>
              <w:spacing w:line="276" w:lineRule="auto"/>
              <w:rPr>
                <w:rFonts w:ascii="Times New Roman" w:hAnsi="Times New Roman" w:cs="Times New Roman"/>
                <w:b/>
                <w:bCs/>
              </w:rPr>
            </w:pPr>
            <w:r w:rsidRPr="00B3369E">
              <w:rPr>
                <w:rFonts w:ascii="Times New Roman" w:hAnsi="Times New Roman" w:cs="Times New Roman"/>
                <w:b/>
                <w:bCs/>
              </w:rPr>
              <w:t>Agent Banking</w:t>
            </w:r>
          </w:p>
        </w:tc>
        <w:tc>
          <w:tcPr>
            <w:tcW w:w="2613" w:type="pct"/>
            <w:shd w:val="clear" w:color="auto" w:fill="auto"/>
          </w:tcPr>
          <w:p w:rsidR="00B3369E" w:rsidRPr="00B3369E" w:rsidRDefault="00B3369E" w:rsidP="004838D2">
            <w:pPr>
              <w:pStyle w:val="HTMLPreformatted"/>
              <w:spacing w:line="276" w:lineRule="auto"/>
              <w:jc w:val="center"/>
              <w:rPr>
                <w:rFonts w:ascii="Times New Roman" w:hAnsi="Times New Roman" w:cs="Times New Roman"/>
                <w:b/>
                <w:bCs/>
                <w:u w:val="single"/>
              </w:rPr>
            </w:pPr>
            <w:r w:rsidRPr="00B3369E">
              <w:rPr>
                <w:rFonts w:ascii="Times New Roman" w:hAnsi="Times New Roman" w:cs="Times New Roman"/>
                <w:b/>
                <w:bCs/>
                <w:u w:val="single"/>
              </w:rPr>
              <w:t>Activities of Foreign Exchange Department:</w:t>
            </w:r>
          </w:p>
          <w:p w:rsidR="00B3369E" w:rsidRPr="00B3369E" w:rsidRDefault="00B3369E" w:rsidP="001B0E2C">
            <w:pPr>
              <w:pStyle w:val="HTMLPreformatted"/>
              <w:numPr>
                <w:ilvl w:val="0"/>
                <w:numId w:val="15"/>
              </w:numPr>
              <w:spacing w:line="276" w:lineRule="auto"/>
              <w:rPr>
                <w:rFonts w:ascii="Times New Roman" w:hAnsi="Times New Roman" w:cs="Times New Roman"/>
                <w:b/>
                <w:bCs/>
              </w:rPr>
            </w:pPr>
            <w:r w:rsidRPr="00B3369E">
              <w:rPr>
                <w:rFonts w:ascii="Times New Roman" w:hAnsi="Times New Roman" w:cs="Times New Roman"/>
                <w:b/>
                <w:bCs/>
              </w:rPr>
              <w:t>Foreign currency Transaction</w:t>
            </w:r>
          </w:p>
          <w:p w:rsidR="00B3369E" w:rsidRPr="00B3369E" w:rsidRDefault="00B3369E" w:rsidP="001B0E2C">
            <w:pPr>
              <w:pStyle w:val="HTMLPreformatted"/>
              <w:numPr>
                <w:ilvl w:val="0"/>
                <w:numId w:val="15"/>
              </w:numPr>
              <w:spacing w:line="276" w:lineRule="auto"/>
              <w:rPr>
                <w:rFonts w:ascii="Times New Roman" w:hAnsi="Times New Roman" w:cs="Times New Roman"/>
                <w:b/>
                <w:bCs/>
              </w:rPr>
            </w:pPr>
            <w:r w:rsidRPr="00B3369E">
              <w:rPr>
                <w:rFonts w:ascii="Times New Roman" w:hAnsi="Times New Roman" w:cs="Times New Roman"/>
                <w:b/>
                <w:bCs/>
              </w:rPr>
              <w:t>Foreign Trade</w:t>
            </w:r>
          </w:p>
          <w:p w:rsidR="00B3369E" w:rsidRPr="00B3369E" w:rsidRDefault="00B3369E" w:rsidP="001B0E2C">
            <w:pPr>
              <w:pStyle w:val="HTMLPreformatted"/>
              <w:numPr>
                <w:ilvl w:val="0"/>
                <w:numId w:val="15"/>
              </w:numPr>
              <w:spacing w:line="276" w:lineRule="auto"/>
              <w:rPr>
                <w:rFonts w:ascii="Times New Roman" w:hAnsi="Times New Roman" w:cs="Times New Roman"/>
                <w:b/>
                <w:bCs/>
              </w:rPr>
            </w:pPr>
            <w:r w:rsidRPr="00B3369E">
              <w:rPr>
                <w:rFonts w:ascii="Times New Roman" w:hAnsi="Times New Roman" w:cs="Times New Roman"/>
                <w:b/>
                <w:bCs/>
              </w:rPr>
              <w:t>Import- Letter of credit, Payment Against Document, Loan Against Trust Receipt, Loan against Imported Merchandise</w:t>
            </w:r>
          </w:p>
          <w:p w:rsidR="00B3369E" w:rsidRPr="00B3369E" w:rsidRDefault="00B3369E" w:rsidP="001B0E2C">
            <w:pPr>
              <w:pStyle w:val="HTMLPreformatted"/>
              <w:numPr>
                <w:ilvl w:val="0"/>
                <w:numId w:val="15"/>
              </w:numPr>
              <w:spacing w:line="276" w:lineRule="auto"/>
              <w:rPr>
                <w:rFonts w:ascii="Times New Roman" w:hAnsi="Times New Roman" w:cs="Times New Roman"/>
                <w:b/>
                <w:bCs/>
              </w:rPr>
            </w:pPr>
            <w:r w:rsidRPr="00B3369E">
              <w:rPr>
                <w:rFonts w:ascii="Times New Roman" w:hAnsi="Times New Roman" w:cs="Times New Roman"/>
                <w:b/>
                <w:bCs/>
              </w:rPr>
              <w:t>Export- Export Financing: I) Pre-Shipment Finance II) Post-Shipment Finance</w:t>
            </w:r>
          </w:p>
          <w:p w:rsidR="00B3369E" w:rsidRPr="00B3369E" w:rsidRDefault="00B3369E" w:rsidP="001B0E2C">
            <w:pPr>
              <w:pStyle w:val="HTMLPreformatted"/>
              <w:numPr>
                <w:ilvl w:val="0"/>
                <w:numId w:val="15"/>
              </w:numPr>
              <w:spacing w:line="276" w:lineRule="auto"/>
              <w:rPr>
                <w:rFonts w:ascii="Times New Roman" w:hAnsi="Times New Roman" w:cs="Times New Roman"/>
                <w:b/>
                <w:bCs/>
              </w:rPr>
            </w:pPr>
            <w:r w:rsidRPr="00B3369E">
              <w:rPr>
                <w:rFonts w:ascii="Times New Roman" w:hAnsi="Times New Roman" w:cs="Times New Roman"/>
                <w:b/>
                <w:bCs/>
              </w:rPr>
              <w:t>Foreign Remittance</w:t>
            </w:r>
          </w:p>
        </w:tc>
      </w:tr>
      <w:tr w:rsidR="00B3369E" w:rsidRPr="00B3369E" w:rsidTr="004838D2">
        <w:trPr>
          <w:jc w:val="center"/>
        </w:trPr>
        <w:tc>
          <w:tcPr>
            <w:tcW w:w="2387" w:type="pct"/>
            <w:shd w:val="clear" w:color="auto" w:fill="auto"/>
          </w:tcPr>
          <w:p w:rsidR="00B3369E" w:rsidRPr="00B3369E" w:rsidRDefault="00B3369E" w:rsidP="004838D2">
            <w:pPr>
              <w:pStyle w:val="HTMLPreformatted"/>
              <w:spacing w:line="276" w:lineRule="auto"/>
              <w:jc w:val="center"/>
              <w:rPr>
                <w:rFonts w:ascii="Times New Roman" w:hAnsi="Times New Roman" w:cs="Times New Roman"/>
                <w:b/>
                <w:bCs/>
                <w:u w:val="single"/>
              </w:rPr>
            </w:pPr>
            <w:r w:rsidRPr="00B3369E">
              <w:rPr>
                <w:rFonts w:ascii="Times New Roman" w:hAnsi="Times New Roman" w:cs="Times New Roman"/>
                <w:b/>
                <w:bCs/>
                <w:u w:val="single"/>
              </w:rPr>
              <w:t>Types of Deposit Accounts:</w:t>
            </w:r>
          </w:p>
          <w:p w:rsidR="00B3369E" w:rsidRPr="00B3369E" w:rsidRDefault="00B3369E" w:rsidP="001B0E2C">
            <w:pPr>
              <w:pStyle w:val="HTMLPreformatted"/>
              <w:numPr>
                <w:ilvl w:val="0"/>
                <w:numId w:val="14"/>
              </w:numPr>
              <w:spacing w:line="276" w:lineRule="auto"/>
              <w:rPr>
                <w:rFonts w:ascii="Times New Roman" w:hAnsi="Times New Roman" w:cs="Times New Roman"/>
                <w:b/>
                <w:bCs/>
              </w:rPr>
            </w:pPr>
            <w:r w:rsidRPr="00B3369E">
              <w:rPr>
                <w:rFonts w:ascii="Times New Roman" w:hAnsi="Times New Roman" w:cs="Times New Roman"/>
                <w:b/>
                <w:bCs/>
              </w:rPr>
              <w:t>Saving Account</w:t>
            </w:r>
          </w:p>
          <w:p w:rsidR="00B3369E" w:rsidRPr="00B3369E" w:rsidRDefault="00B3369E" w:rsidP="001B0E2C">
            <w:pPr>
              <w:pStyle w:val="HTMLPreformatted"/>
              <w:numPr>
                <w:ilvl w:val="0"/>
                <w:numId w:val="14"/>
              </w:numPr>
              <w:spacing w:line="276" w:lineRule="auto"/>
              <w:rPr>
                <w:rFonts w:ascii="Times New Roman" w:hAnsi="Times New Roman" w:cs="Times New Roman"/>
                <w:b/>
                <w:bCs/>
              </w:rPr>
            </w:pPr>
            <w:r w:rsidRPr="00B3369E">
              <w:rPr>
                <w:rFonts w:ascii="Times New Roman" w:hAnsi="Times New Roman" w:cs="Times New Roman"/>
                <w:b/>
                <w:bCs/>
              </w:rPr>
              <w:t>Current Account</w:t>
            </w:r>
          </w:p>
          <w:p w:rsidR="00B3369E" w:rsidRPr="00B3369E" w:rsidRDefault="00B3369E" w:rsidP="001B0E2C">
            <w:pPr>
              <w:pStyle w:val="HTMLPreformatted"/>
              <w:numPr>
                <w:ilvl w:val="0"/>
                <w:numId w:val="14"/>
              </w:numPr>
              <w:spacing w:line="276" w:lineRule="auto"/>
              <w:rPr>
                <w:rFonts w:ascii="Times New Roman" w:hAnsi="Times New Roman" w:cs="Times New Roman"/>
                <w:b/>
                <w:bCs/>
              </w:rPr>
            </w:pPr>
            <w:r w:rsidRPr="00B3369E">
              <w:rPr>
                <w:rFonts w:ascii="Times New Roman" w:hAnsi="Times New Roman" w:cs="Times New Roman"/>
                <w:b/>
                <w:bCs/>
              </w:rPr>
              <w:t>Salary Account</w:t>
            </w:r>
          </w:p>
          <w:p w:rsidR="00B3369E" w:rsidRPr="00B3369E" w:rsidRDefault="00B3369E" w:rsidP="001B0E2C">
            <w:pPr>
              <w:pStyle w:val="HTMLPreformatted"/>
              <w:numPr>
                <w:ilvl w:val="0"/>
                <w:numId w:val="14"/>
              </w:numPr>
              <w:spacing w:line="276" w:lineRule="auto"/>
              <w:rPr>
                <w:rFonts w:ascii="Times New Roman" w:hAnsi="Times New Roman" w:cs="Times New Roman"/>
                <w:b/>
                <w:bCs/>
              </w:rPr>
            </w:pPr>
            <w:r w:rsidRPr="00B3369E">
              <w:rPr>
                <w:rFonts w:ascii="Times New Roman" w:hAnsi="Times New Roman" w:cs="Times New Roman"/>
                <w:b/>
                <w:bCs/>
              </w:rPr>
              <w:t>Student Account</w:t>
            </w:r>
          </w:p>
          <w:p w:rsidR="00B3369E" w:rsidRPr="00B3369E" w:rsidRDefault="00B3369E" w:rsidP="001B0E2C">
            <w:pPr>
              <w:pStyle w:val="HTMLPreformatted"/>
              <w:numPr>
                <w:ilvl w:val="0"/>
                <w:numId w:val="14"/>
              </w:numPr>
              <w:spacing w:line="276" w:lineRule="auto"/>
              <w:rPr>
                <w:rFonts w:ascii="Times New Roman" w:hAnsi="Times New Roman" w:cs="Times New Roman"/>
                <w:b/>
                <w:bCs/>
              </w:rPr>
            </w:pPr>
            <w:r w:rsidRPr="00B3369E">
              <w:rPr>
                <w:rFonts w:ascii="Times New Roman" w:hAnsi="Times New Roman" w:cs="Times New Roman"/>
                <w:b/>
                <w:bCs/>
              </w:rPr>
              <w:t>Deposit plus scheme Account (DPS)</w:t>
            </w:r>
          </w:p>
          <w:p w:rsidR="00B3369E" w:rsidRPr="00B3369E" w:rsidRDefault="00B3369E" w:rsidP="004838D2">
            <w:pPr>
              <w:pStyle w:val="Tables"/>
            </w:pPr>
            <w:bookmarkStart w:id="83" w:name="_Toc6620243"/>
            <w:r w:rsidRPr="00B3369E">
              <w:t>DBBL Children Education Saving Scheme (CHESS Account)</w:t>
            </w:r>
            <w:bookmarkEnd w:id="83"/>
          </w:p>
          <w:p w:rsidR="00B3369E" w:rsidRPr="00B3369E" w:rsidRDefault="00B3369E" w:rsidP="001B0E2C">
            <w:pPr>
              <w:pStyle w:val="HTMLPreformatted"/>
              <w:numPr>
                <w:ilvl w:val="0"/>
                <w:numId w:val="14"/>
              </w:numPr>
              <w:spacing w:line="276" w:lineRule="auto"/>
              <w:rPr>
                <w:rFonts w:ascii="Times New Roman" w:hAnsi="Times New Roman" w:cs="Times New Roman"/>
                <w:b/>
                <w:bCs/>
              </w:rPr>
            </w:pPr>
            <w:r w:rsidRPr="00B3369E">
              <w:rPr>
                <w:rFonts w:ascii="Times New Roman" w:hAnsi="Times New Roman" w:cs="Times New Roman"/>
                <w:b/>
                <w:bCs/>
              </w:rPr>
              <w:t>Fixed Deposit Receipts (FDR)</w:t>
            </w:r>
          </w:p>
          <w:p w:rsidR="00B3369E" w:rsidRPr="00B3369E" w:rsidRDefault="00B3369E" w:rsidP="001B0E2C">
            <w:pPr>
              <w:pStyle w:val="HTMLPreformatted"/>
              <w:numPr>
                <w:ilvl w:val="0"/>
                <w:numId w:val="14"/>
              </w:numPr>
              <w:spacing w:line="276" w:lineRule="auto"/>
              <w:rPr>
                <w:rFonts w:ascii="Times New Roman" w:hAnsi="Times New Roman" w:cs="Times New Roman"/>
                <w:b/>
                <w:bCs/>
              </w:rPr>
            </w:pPr>
            <w:r w:rsidRPr="00B3369E">
              <w:rPr>
                <w:rFonts w:ascii="Times New Roman" w:hAnsi="Times New Roman" w:cs="Times New Roman"/>
                <w:b/>
                <w:bCs/>
              </w:rPr>
              <w:t>Millionaire Deposit Scheme (MDS)</w:t>
            </w:r>
          </w:p>
          <w:p w:rsidR="00B3369E" w:rsidRPr="00B3369E" w:rsidRDefault="00B3369E" w:rsidP="004838D2">
            <w:pPr>
              <w:pStyle w:val="HTMLPreformatted"/>
              <w:spacing w:line="276" w:lineRule="auto"/>
              <w:rPr>
                <w:rFonts w:ascii="Times New Roman" w:hAnsi="Times New Roman" w:cs="Times New Roman"/>
                <w:b/>
                <w:bCs/>
              </w:rPr>
            </w:pPr>
            <w:r w:rsidRPr="00B3369E">
              <w:rPr>
                <w:rFonts w:ascii="Times New Roman" w:hAnsi="Times New Roman" w:cs="Times New Roman"/>
                <w:b/>
                <w:bCs/>
              </w:rPr>
              <w:t>Foreign currency deposit</w:t>
            </w:r>
          </w:p>
          <w:p w:rsidR="00B3369E" w:rsidRPr="00B3369E" w:rsidRDefault="00B3369E" w:rsidP="004838D2">
            <w:pPr>
              <w:pStyle w:val="HTMLPreformatted"/>
              <w:spacing w:line="276" w:lineRule="auto"/>
              <w:ind w:left="720"/>
              <w:rPr>
                <w:rFonts w:ascii="Times New Roman" w:hAnsi="Times New Roman" w:cs="Times New Roman"/>
                <w:b/>
                <w:bCs/>
              </w:rPr>
            </w:pPr>
          </w:p>
        </w:tc>
        <w:tc>
          <w:tcPr>
            <w:tcW w:w="2613" w:type="pct"/>
            <w:shd w:val="clear" w:color="auto" w:fill="auto"/>
          </w:tcPr>
          <w:p w:rsidR="00B3369E" w:rsidRPr="00B3369E" w:rsidRDefault="00B3369E" w:rsidP="004838D2">
            <w:pPr>
              <w:pStyle w:val="HTMLPreformatted"/>
              <w:spacing w:line="276" w:lineRule="auto"/>
              <w:jc w:val="center"/>
              <w:rPr>
                <w:rFonts w:ascii="Times New Roman" w:hAnsi="Times New Roman" w:cs="Times New Roman"/>
                <w:b/>
                <w:bCs/>
                <w:u w:val="single"/>
              </w:rPr>
            </w:pPr>
            <w:r w:rsidRPr="00B3369E">
              <w:rPr>
                <w:rFonts w:ascii="Times New Roman" w:hAnsi="Times New Roman" w:cs="Times New Roman"/>
                <w:b/>
                <w:bCs/>
                <w:u w:val="single"/>
              </w:rPr>
              <w:t>Loans and Advances:</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Loan against Trust Receipt</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Consumer Credit Scheme</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Loan against Accepted Bill</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Industrial Term Loan</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Agricultural Term Loan</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Lease Finance</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Loan against FDR</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FMO Local currency Loan for SME</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FMO Foreign currency Loan</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Small Shop Financing Scheme</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 xml:space="preserve">Life line- Personal Loan </w:t>
            </w:r>
          </w:p>
          <w:p w:rsidR="00B3369E" w:rsidRPr="00B3369E" w:rsidRDefault="00B3369E" w:rsidP="001B0E2C">
            <w:pPr>
              <w:pStyle w:val="HTMLPreformatted"/>
              <w:numPr>
                <w:ilvl w:val="0"/>
                <w:numId w:val="12"/>
              </w:numPr>
              <w:spacing w:line="276" w:lineRule="auto"/>
              <w:rPr>
                <w:rFonts w:ascii="Times New Roman" w:hAnsi="Times New Roman" w:cs="Times New Roman"/>
                <w:b/>
                <w:bCs/>
              </w:rPr>
            </w:pPr>
            <w:r w:rsidRPr="00B3369E">
              <w:rPr>
                <w:rFonts w:ascii="Times New Roman" w:hAnsi="Times New Roman" w:cs="Times New Roman"/>
                <w:b/>
                <w:bCs/>
              </w:rPr>
              <w:t>Clean Credit lines Loan</w:t>
            </w:r>
          </w:p>
          <w:p w:rsidR="00B3369E" w:rsidRPr="00B3369E" w:rsidRDefault="00B3369E" w:rsidP="004838D2">
            <w:pPr>
              <w:pStyle w:val="HTMLPreformatted"/>
              <w:spacing w:line="276" w:lineRule="auto"/>
              <w:rPr>
                <w:rFonts w:ascii="Times New Roman" w:hAnsi="Times New Roman" w:cs="Times New Roman"/>
                <w:b/>
                <w:bCs/>
                <w:u w:val="single"/>
              </w:rPr>
            </w:pPr>
            <w:r w:rsidRPr="00B3369E">
              <w:rPr>
                <w:rFonts w:ascii="Times New Roman" w:hAnsi="Times New Roman" w:cs="Times New Roman"/>
                <w:b/>
                <w:bCs/>
              </w:rPr>
              <w:t>Secured Credit Lines</w:t>
            </w:r>
          </w:p>
        </w:tc>
      </w:tr>
    </w:tbl>
    <w:p w:rsidR="00B3369E" w:rsidRPr="00B3369E" w:rsidRDefault="00B3369E" w:rsidP="00B3369E">
      <w:pPr>
        <w:pStyle w:val="Default"/>
        <w:spacing w:line="276" w:lineRule="auto"/>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bookmarkStart w:id="84" w:name="_Toc6610601"/>
      <w:bookmarkStart w:id="85" w:name="_Toc6614027"/>
      <w:r w:rsidRPr="00B3369E">
        <w:rPr>
          <w:rStyle w:val="Heading3Char"/>
          <w:rFonts w:ascii="Times New Roman" w:hAnsi="Times New Roman" w:cs="Times New Roman"/>
          <w:color w:val="943634" w:themeColor="accent2" w:themeShade="BF"/>
          <w:sz w:val="24"/>
          <w:szCs w:val="24"/>
        </w:rPr>
        <w:t>3.13.1 Deposit plus Scheme (DPS):</w:t>
      </w:r>
      <w:bookmarkEnd w:id="84"/>
      <w:bookmarkEnd w:id="85"/>
      <w:r w:rsidRPr="00B3369E">
        <w:rPr>
          <w:rStyle w:val="Heading3Char"/>
          <w:rFonts w:ascii="Times New Roman" w:hAnsi="Times New Roman" w:cs="Times New Roman"/>
          <w:color w:val="943634" w:themeColor="accent2" w:themeShade="BF"/>
          <w:sz w:val="24"/>
          <w:szCs w:val="24"/>
        </w:rPr>
        <w:t xml:space="preserve"> </w:t>
      </w:r>
      <w:r w:rsidRPr="00B3369E">
        <w:rPr>
          <w:rFonts w:ascii="Times New Roman" w:hAnsi="Times New Roman" w:cs="Times New Roman"/>
          <w:color w:val="212121"/>
          <w:sz w:val="24"/>
          <w:szCs w:val="24"/>
        </w:rPr>
        <w:t>DBBL offers a DPS project for those who want to save money from their salary every month. Account can open only private subscribers (not institutions) of 18 years of age or older. A person can open multiple DPS in any branch of the bank, but most of the five DPs can open. The account holder can nominate a person for each account. Monthly deposit will be 500 Taka. The applicant will have the option of submitting a quantity of BDT 500 / - in the amount of maximum BDT 5,000. The Deposit plus Scheme (DPS) will be valid for 3/5/8/10 years depending on the applicant's consideration. In the expiry of regular DPS, the bank will make major payments with interest on the account of the maintainer with the DBBL.</w:t>
      </w:r>
    </w:p>
    <w:p w:rsidR="00B3369E" w:rsidRPr="00B3369E" w:rsidRDefault="00B3369E" w:rsidP="00B3369E">
      <w:pPr>
        <w:pStyle w:val="Default"/>
        <w:spacing w:line="276" w:lineRule="auto"/>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bookmarkStart w:id="86" w:name="_Toc6610602"/>
      <w:bookmarkStart w:id="87" w:name="_Toc6614028"/>
      <w:r w:rsidRPr="00B3369E">
        <w:rPr>
          <w:rStyle w:val="Heading3Char"/>
          <w:rFonts w:ascii="Times New Roman" w:hAnsi="Times New Roman" w:cs="Times New Roman"/>
          <w:color w:val="943634" w:themeColor="accent2" w:themeShade="BF"/>
          <w:sz w:val="24"/>
          <w:szCs w:val="24"/>
        </w:rPr>
        <w:t>3.13.2 Periodic Benefit Scheme (PBS):</w:t>
      </w:r>
      <w:bookmarkEnd w:id="86"/>
      <w:bookmarkEnd w:id="87"/>
      <w:r w:rsidRPr="00B3369E">
        <w:rPr>
          <w:rStyle w:val="Heading3Char"/>
          <w:rFonts w:ascii="Times New Roman" w:hAnsi="Times New Roman" w:cs="Times New Roman"/>
          <w:color w:val="943634" w:themeColor="accent2" w:themeShade="BF"/>
          <w:sz w:val="24"/>
          <w:szCs w:val="24"/>
        </w:rPr>
        <w:t xml:space="preserve">  </w:t>
      </w:r>
      <w:r w:rsidRPr="00B3369E">
        <w:rPr>
          <w:rFonts w:ascii="Times New Roman" w:hAnsi="Times New Roman" w:cs="Times New Roman"/>
          <w:color w:val="212121"/>
          <w:sz w:val="24"/>
          <w:szCs w:val="24"/>
        </w:rPr>
        <w:t>An individual can open multiple accounts in any branch of the bank with a maximum of BDT 5,000,000 / -. However, the minimum basic deposit is BDT 50,000 / -. The customer will have to open the Parallel Current Account / Savings Account through which the money / payment made during the monthly / quarterly period can be made and no need of the subscriber to accept / reduce the benefits. Periodic benefit scheme (PBS) will be 3/5 years, depending on the applicant's consideration. The applicant can enjoy monthly / quarterly benefits based on his consideration.</w:t>
      </w:r>
    </w:p>
    <w:p w:rsidR="00B3369E" w:rsidRPr="00B3369E" w:rsidRDefault="00B3369E" w:rsidP="00B3369E">
      <w:pPr>
        <w:pStyle w:val="Default"/>
        <w:jc w:val="both"/>
        <w:rPr>
          <w:sz w:val="28"/>
          <w:szCs w:val="28"/>
        </w:rPr>
      </w:pPr>
    </w:p>
    <w:p w:rsidR="00B3369E" w:rsidRPr="00B3369E" w:rsidRDefault="00B3369E" w:rsidP="00B3369E">
      <w:pPr>
        <w:pStyle w:val="Default"/>
        <w:spacing w:line="276" w:lineRule="auto"/>
        <w:jc w:val="both"/>
      </w:pPr>
      <w:bookmarkStart w:id="88" w:name="_Toc6610603"/>
      <w:bookmarkStart w:id="89" w:name="_Toc6614029"/>
      <w:r w:rsidRPr="00B3369E">
        <w:rPr>
          <w:rStyle w:val="Heading3Char"/>
          <w:rFonts w:ascii="Times New Roman" w:hAnsi="Times New Roman" w:cs="Times New Roman"/>
          <w:color w:val="943634" w:themeColor="accent2" w:themeShade="BF"/>
        </w:rPr>
        <w:t>3.13.3 Children Education Savings Scheme (CHESS):</w:t>
      </w:r>
      <w:bookmarkEnd w:id="88"/>
      <w:bookmarkEnd w:id="89"/>
      <w:r w:rsidRPr="00B3369E">
        <w:rPr>
          <w:rStyle w:val="Heading3Char"/>
          <w:rFonts w:ascii="Times New Roman" w:hAnsi="Times New Roman" w:cs="Times New Roman"/>
          <w:color w:val="943634" w:themeColor="accent2" w:themeShade="BF"/>
        </w:rPr>
        <w:t xml:space="preserve">   </w:t>
      </w:r>
      <w:r w:rsidRPr="00B3369E">
        <w:rPr>
          <w:color w:val="212121"/>
          <w:shd w:val="clear" w:color="auto" w:fill="FFFFFF"/>
        </w:rPr>
        <w:t>Only a separate customer can open this account while having a child. In this project, children of the account holder can be nominated. The minimum monthly deposit will be BDT 500 / -. The applicant will have an option of submitting a quantity of more than BDT 500 / - in excess of the maximum amount of BDT 50,000 / -. If three continuous installments continue, the account will be considered inactive.</w:t>
      </w:r>
    </w:p>
    <w:p w:rsidR="00B3369E" w:rsidRPr="00B3369E" w:rsidRDefault="00B3369E" w:rsidP="00B3369E">
      <w:pPr>
        <w:pStyle w:val="HTMLPreformatted"/>
        <w:shd w:val="clear" w:color="auto" w:fill="FFFFFF"/>
        <w:spacing w:line="276" w:lineRule="auto"/>
        <w:jc w:val="both"/>
        <w:rPr>
          <w:rFonts w:ascii="Times New Roman" w:eastAsiaTheme="minorHAnsi" w:hAnsi="Times New Roman" w:cs="Times New Roman"/>
          <w:color w:val="000000"/>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bookmarkStart w:id="90" w:name="_Toc6610604"/>
      <w:bookmarkStart w:id="91" w:name="_Toc6614030"/>
      <w:r w:rsidRPr="00B3369E">
        <w:rPr>
          <w:rStyle w:val="Heading3Char"/>
          <w:rFonts w:ascii="Times New Roman" w:hAnsi="Times New Roman" w:cs="Times New Roman"/>
          <w:color w:val="943634" w:themeColor="accent2" w:themeShade="BF"/>
          <w:sz w:val="24"/>
          <w:szCs w:val="24"/>
        </w:rPr>
        <w:t>3.13.4 Millionaire Deposit Scheme (MDS):</w:t>
      </w:r>
      <w:bookmarkEnd w:id="90"/>
      <w:bookmarkEnd w:id="91"/>
      <w:r w:rsidRPr="00B3369E">
        <w:rPr>
          <w:rStyle w:val="Heading3Char"/>
          <w:rFonts w:ascii="Times New Roman" w:hAnsi="Times New Roman" w:cs="Times New Roman"/>
          <w:color w:val="943634" w:themeColor="accent2" w:themeShade="BF"/>
          <w:sz w:val="24"/>
          <w:szCs w:val="24"/>
        </w:rPr>
        <w:t xml:space="preserve">  </w:t>
      </w:r>
      <w:r w:rsidRPr="00B3369E">
        <w:rPr>
          <w:rFonts w:ascii="Times New Roman" w:hAnsi="Times New Roman" w:cs="Times New Roman"/>
          <w:color w:val="212121"/>
          <w:sz w:val="24"/>
          <w:szCs w:val="24"/>
        </w:rPr>
        <w:t>Minimum monthly deposit will be BDT 6,092 in this plan - there will be an option to deposit the maximum amount of BDT 25,410 under the applicant's deadline. Millionaire Deposit Scheme (DPS) validity will be on the basis of the applicant's 3/4/5/6/7/8/9/10 year applicant. After the regular DPS expires, the bank will make a major payment with the interest in the account of the maintainer with the DBBL next month.</w:t>
      </w:r>
    </w:p>
    <w:p w:rsidR="00B3369E" w:rsidRPr="00B3369E" w:rsidRDefault="00B3369E" w:rsidP="00B3369E">
      <w:pPr>
        <w:pStyle w:val="Heading3"/>
        <w:rPr>
          <w:rFonts w:ascii="Times New Roman" w:hAnsi="Times New Roman" w:cs="Times New Roman"/>
          <w:color w:val="943634" w:themeColor="accent2" w:themeShade="BF"/>
          <w:sz w:val="24"/>
          <w:szCs w:val="24"/>
        </w:rPr>
      </w:pPr>
      <w:bookmarkStart w:id="92" w:name="_Toc6610605"/>
      <w:bookmarkStart w:id="93" w:name="_Toc6614031"/>
      <w:r w:rsidRPr="00B3369E">
        <w:rPr>
          <w:rFonts w:ascii="Times New Roman" w:hAnsi="Times New Roman" w:cs="Times New Roman"/>
          <w:color w:val="943634" w:themeColor="accent2" w:themeShade="BF"/>
          <w:sz w:val="24"/>
          <w:szCs w:val="24"/>
        </w:rPr>
        <w:t>3.13.5 Such as other loans and advances Retail loan product:</w:t>
      </w:r>
      <w:bookmarkEnd w:id="92"/>
      <w:bookmarkEnd w:id="93"/>
    </w:p>
    <w:p w:rsidR="00B3369E" w:rsidRPr="00B3369E" w:rsidRDefault="00B3369E" w:rsidP="00B3369E">
      <w:pPr>
        <w:pStyle w:val="Heading4"/>
        <w:spacing w:before="0" w:line="240" w:lineRule="auto"/>
        <w:jc w:val="both"/>
        <w:rPr>
          <w:rFonts w:ascii="Times New Roman" w:hAnsi="Times New Roman" w:cs="Times New Roman"/>
          <w:i w:val="0"/>
          <w:iCs w:val="0"/>
          <w:sz w:val="24"/>
          <w:szCs w:val="24"/>
        </w:rPr>
      </w:pPr>
    </w:p>
    <w:p w:rsidR="00B3369E" w:rsidRPr="00B3369E" w:rsidRDefault="00B3369E" w:rsidP="001B0E2C">
      <w:pPr>
        <w:pStyle w:val="HTMLPreformatted"/>
        <w:numPr>
          <w:ilvl w:val="0"/>
          <w:numId w:val="17"/>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Personal Loan: </w:t>
      </w:r>
      <w:r w:rsidRPr="00B3369E">
        <w:rPr>
          <w:rFonts w:ascii="Times New Roman" w:hAnsi="Times New Roman" w:cs="Times New Roman"/>
          <w:color w:val="212121"/>
          <w:sz w:val="24"/>
          <w:szCs w:val="24"/>
        </w:rPr>
        <w:t>Dutch-Bangla Bank offers a personal loan offer for “</w:t>
      </w:r>
      <w:proofErr w:type="spellStart"/>
      <w:r w:rsidRPr="00B3369E">
        <w:rPr>
          <w:rFonts w:ascii="Times New Roman" w:hAnsi="Times New Roman" w:cs="Times New Roman"/>
          <w:color w:val="212121"/>
          <w:sz w:val="24"/>
          <w:szCs w:val="24"/>
        </w:rPr>
        <w:t>Jokhon</w:t>
      </w:r>
      <w:proofErr w:type="spellEnd"/>
      <w:r w:rsidRPr="00B3369E">
        <w:rPr>
          <w:rFonts w:ascii="Times New Roman" w:hAnsi="Times New Roman" w:cs="Times New Roman"/>
          <w:color w:val="212121"/>
          <w:sz w:val="24"/>
          <w:szCs w:val="24"/>
        </w:rPr>
        <w:t xml:space="preserve"> Taking" clients for the purpose of buying and selling office offers, customer durable and lifestyle products for the treatment, education, marriage, travel, festivals, and professionals. The amount will be in the amount of money: between 50,000 to BDT 2,000,000 BDT in five years.</w:t>
      </w:r>
    </w:p>
    <w:p w:rsidR="00B3369E" w:rsidRPr="00B3369E" w:rsidRDefault="00B3369E" w:rsidP="001B0E2C">
      <w:pPr>
        <w:pStyle w:val="HTMLPreformatted"/>
        <w:numPr>
          <w:ilvl w:val="0"/>
          <w:numId w:val="17"/>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Car Loan: </w:t>
      </w:r>
      <w:r w:rsidRPr="00B3369E">
        <w:rPr>
          <w:rFonts w:ascii="Times New Roman" w:hAnsi="Times New Roman" w:cs="Times New Roman"/>
          <w:color w:val="212121"/>
          <w:sz w:val="24"/>
          <w:szCs w:val="24"/>
        </w:rPr>
        <w:t>"</w:t>
      </w:r>
      <w:proofErr w:type="spellStart"/>
      <w:r w:rsidRPr="00B3369E">
        <w:rPr>
          <w:rFonts w:ascii="Times New Roman" w:hAnsi="Times New Roman" w:cs="Times New Roman"/>
          <w:color w:val="212121"/>
          <w:sz w:val="24"/>
          <w:szCs w:val="24"/>
        </w:rPr>
        <w:t>ProttaSha</w:t>
      </w:r>
      <w:proofErr w:type="spellEnd"/>
      <w:r w:rsidRPr="00B3369E">
        <w:rPr>
          <w:rFonts w:ascii="Times New Roman" w:hAnsi="Times New Roman" w:cs="Times New Roman"/>
          <w:color w:val="212121"/>
          <w:sz w:val="24"/>
          <w:szCs w:val="24"/>
        </w:rPr>
        <w:t>" car loan is provided for the purchase of a new or rebuilt car, which provides interest of 100,000 BDT to 4,000,000 BDT for a 5 year maturity with interest.</w:t>
      </w:r>
    </w:p>
    <w:p w:rsidR="00B3369E" w:rsidRPr="00B3369E" w:rsidRDefault="00B3369E" w:rsidP="001B0E2C">
      <w:pPr>
        <w:pStyle w:val="HTMLPreformatted"/>
        <w:numPr>
          <w:ilvl w:val="0"/>
          <w:numId w:val="17"/>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Home Loan:</w:t>
      </w:r>
      <w:r w:rsidRPr="00B3369E">
        <w:rPr>
          <w:rFonts w:ascii="Times New Roman" w:hAnsi="Times New Roman" w:cs="Times New Roman"/>
          <w:color w:val="212121"/>
          <w:sz w:val="24"/>
          <w:szCs w:val="24"/>
        </w:rPr>
        <w:t xml:space="preserve"> The bank also raises a home loan called "Thana" to buy a new or rebuilt adult home. The amount of loan starts from BDT 200,000/- to BDT 12,000,000/-. For the purpose of renewal, maximum period of BDT 7,500,000/- for a period of 25 years.</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bookmarkStart w:id="94" w:name="_Toc6610606"/>
      <w:bookmarkStart w:id="95" w:name="_Toc6614032"/>
      <w:r w:rsidRPr="00B3369E">
        <w:rPr>
          <w:rStyle w:val="Heading3Char"/>
          <w:rFonts w:ascii="Times New Roman" w:hAnsi="Times New Roman" w:cs="Times New Roman"/>
          <w:color w:val="943634" w:themeColor="accent2" w:themeShade="BF"/>
          <w:sz w:val="24"/>
          <w:szCs w:val="24"/>
        </w:rPr>
        <w:t>3.13.6 Personal Banking:</w:t>
      </w:r>
      <w:bookmarkEnd w:id="94"/>
      <w:bookmarkEnd w:id="95"/>
      <w:r w:rsidRPr="00B3369E">
        <w:rPr>
          <w:rStyle w:val="Heading3Char"/>
          <w:rFonts w:ascii="Times New Roman" w:hAnsi="Times New Roman" w:cs="Times New Roman"/>
          <w:color w:val="943634" w:themeColor="accent2" w:themeShade="BF"/>
          <w:sz w:val="24"/>
          <w:szCs w:val="24"/>
        </w:rPr>
        <w:t xml:space="preserve"> </w:t>
      </w:r>
      <w:r w:rsidRPr="00B3369E">
        <w:rPr>
          <w:rFonts w:ascii="Times New Roman" w:hAnsi="Times New Roman" w:cs="Times New Roman"/>
          <w:color w:val="212121"/>
          <w:sz w:val="24"/>
          <w:szCs w:val="24"/>
        </w:rPr>
        <w:t xml:space="preserve">DBBL personal banking in offers a lot of different types of financial products and services to bring the best comfort in different ways and to increase the lifestyle of different categories of different categories like personal loans, auto loan, home loan, credit card facilities and so on. . The line a-personal appreciation of DBBL products has started as a complete of merchandise such as </w:t>
      </w:r>
      <w:proofErr w:type="spellStart"/>
      <w:r w:rsidRPr="00B3369E">
        <w:rPr>
          <w:rFonts w:ascii="Times New Roman" w:hAnsi="Times New Roman" w:cs="Times New Roman"/>
          <w:color w:val="212121"/>
          <w:sz w:val="24"/>
          <w:szCs w:val="24"/>
        </w:rPr>
        <w:t>a”life</w:t>
      </w:r>
      <w:proofErr w:type="spellEnd"/>
      <w:r w:rsidRPr="00B3369E">
        <w:rPr>
          <w:rFonts w:ascii="Times New Roman" w:hAnsi="Times New Roman" w:cs="Times New Roman"/>
          <w:color w:val="212121"/>
          <w:sz w:val="24"/>
          <w:szCs w:val="24"/>
        </w:rPr>
        <w:t xml:space="preserve"> Line” below the September 26, 2007 retail-lending products. No cash security and personal commitment are required from this client's line client. Personal Banking Product is: Health line, Education Line, Professional Line, Marriage Line, Travel Line, Festival Line, Dreams Come True Line, Care Line, and General Line etc.</w:t>
      </w:r>
    </w:p>
    <w:p w:rsidR="00B3369E" w:rsidRPr="00B3369E" w:rsidRDefault="00B3369E" w:rsidP="00B3369E">
      <w:pPr>
        <w:pStyle w:val="Heading3"/>
        <w:rPr>
          <w:rFonts w:ascii="Times New Roman" w:hAnsi="Times New Roman" w:cs="Times New Roman"/>
          <w:color w:val="943634" w:themeColor="accent2" w:themeShade="BF"/>
          <w:sz w:val="24"/>
          <w:szCs w:val="24"/>
        </w:rPr>
      </w:pPr>
      <w:bookmarkStart w:id="96" w:name="_Toc6610607"/>
      <w:bookmarkStart w:id="97" w:name="_Toc6614033"/>
      <w:r w:rsidRPr="00B3369E">
        <w:rPr>
          <w:rFonts w:ascii="Times New Roman" w:hAnsi="Times New Roman" w:cs="Times New Roman"/>
          <w:color w:val="943634" w:themeColor="accent2" w:themeShade="BF"/>
          <w:sz w:val="24"/>
          <w:szCs w:val="24"/>
        </w:rPr>
        <w:t>3.13.7 Corporate Banking:</w:t>
      </w:r>
      <w:bookmarkEnd w:id="96"/>
      <w:bookmarkEnd w:id="97"/>
      <w:r w:rsidRPr="00B3369E">
        <w:rPr>
          <w:rFonts w:ascii="Times New Roman" w:hAnsi="Times New Roman" w:cs="Times New Roman"/>
          <w:color w:val="943634" w:themeColor="accent2" w:themeShade="BF"/>
          <w:sz w:val="24"/>
          <w:szCs w:val="24"/>
        </w:rPr>
        <w:t xml:space="preserve"> </w:t>
      </w:r>
    </w:p>
    <w:p w:rsidR="00B3369E" w:rsidRPr="00B3369E" w:rsidRDefault="00B3369E" w:rsidP="00B3369E">
      <w:pPr>
        <w:spacing w:after="0"/>
        <w:rPr>
          <w:rFonts w:ascii="Times New Roman" w:hAnsi="Times New Roman" w:cs="Times New Roman"/>
        </w:rPr>
      </w:pPr>
    </w:p>
    <w:p w:rsidR="00B3369E" w:rsidRPr="00B3369E" w:rsidRDefault="00B3369E" w:rsidP="001B0E2C">
      <w:pPr>
        <w:pStyle w:val="HTMLPreformatted"/>
        <w:numPr>
          <w:ilvl w:val="0"/>
          <w:numId w:val="18"/>
        </w:numPr>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Corporate Banking Services: </w:t>
      </w:r>
      <w:r w:rsidRPr="00B3369E">
        <w:rPr>
          <w:rFonts w:ascii="Times New Roman" w:hAnsi="Times New Roman" w:cs="Times New Roman"/>
          <w:color w:val="212121"/>
          <w:sz w:val="24"/>
          <w:szCs w:val="24"/>
        </w:rPr>
        <w:t>Dutch-Bangla Bank offers a broad range of corporate banking services. According to the buyer's document, Dutch-Bangla Bank includes:</w:t>
      </w:r>
    </w:p>
    <w:p w:rsidR="00B3369E" w:rsidRPr="00B3369E" w:rsidRDefault="00B3369E" w:rsidP="001B0E2C">
      <w:pPr>
        <w:pStyle w:val="HTMLPreformatted"/>
        <w:numPr>
          <w:ilvl w:val="0"/>
          <w:numId w:val="19"/>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Project Finance: </w:t>
      </w:r>
      <w:r w:rsidRPr="00B3369E">
        <w:rPr>
          <w:rFonts w:ascii="Times New Roman" w:hAnsi="Times New Roman" w:cs="Times New Roman"/>
          <w:color w:val="212121"/>
          <w:sz w:val="24"/>
          <w:szCs w:val="24"/>
        </w:rPr>
        <w:t>Bank is a new place to set up a competitive place for economic growth and a better place to live by the lonely path of the capital, the strongest project in the capital, the booming project of the capital or the BMRE (balancing, modernization, rehabilitation and expansion of an existing project). The objective or project is to accept the development fund.</w:t>
      </w:r>
    </w:p>
    <w:p w:rsidR="00B3369E" w:rsidRPr="00B3369E" w:rsidRDefault="00B3369E" w:rsidP="001B0E2C">
      <w:pPr>
        <w:pStyle w:val="HTMLPreformatted"/>
        <w:numPr>
          <w:ilvl w:val="0"/>
          <w:numId w:val="19"/>
        </w:numPr>
        <w:shd w:val="clear" w:color="auto" w:fill="FFFFFF"/>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Working Capital Finance: </w:t>
      </w:r>
      <w:r w:rsidRPr="00B3369E">
        <w:rPr>
          <w:rFonts w:ascii="Times New Roman" w:hAnsi="Times New Roman" w:cs="Times New Roman"/>
          <w:color w:val="212121"/>
          <w:sz w:val="24"/>
          <w:szCs w:val="24"/>
        </w:rPr>
        <w:t>The bank lends a small a term to the capital market for the domestic consumption or export market in the company of the company to employ, create, process, re-packaging the goods. Regardless, the unsafe lending collateralized working capital is not considered for the sake of work or the purpose.</w:t>
      </w:r>
    </w:p>
    <w:p w:rsidR="00B3369E" w:rsidRPr="00B3369E" w:rsidRDefault="00B3369E" w:rsidP="001B0E2C">
      <w:pPr>
        <w:pStyle w:val="HTMLPreformatted"/>
        <w:numPr>
          <w:ilvl w:val="0"/>
          <w:numId w:val="19"/>
        </w:numPr>
        <w:shd w:val="clear" w:color="auto" w:fill="FFFFFF"/>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Syndication &amp; Structured Finance: </w:t>
      </w:r>
      <w:r w:rsidRPr="00B3369E">
        <w:rPr>
          <w:rFonts w:ascii="Times New Roman" w:hAnsi="Times New Roman" w:cs="Times New Roman"/>
          <w:color w:val="212121"/>
          <w:sz w:val="24"/>
          <w:szCs w:val="24"/>
        </w:rPr>
        <w:t xml:space="preserve">The banks, on the basis of the case basis, publish borrowed syndications or allow participants to display similar participants in different syllogism, such as the lane-separated parameters. Bank always maintains minimum </w:t>
      </w:r>
      <w:proofErr w:type="spellStart"/>
      <w:r w:rsidRPr="00B3369E">
        <w:rPr>
          <w:rFonts w:ascii="Times New Roman" w:hAnsi="Times New Roman" w:cs="Times New Roman"/>
          <w:color w:val="212121"/>
          <w:sz w:val="24"/>
          <w:szCs w:val="24"/>
        </w:rPr>
        <w:t>pari-passu</w:t>
      </w:r>
      <w:proofErr w:type="spellEnd"/>
      <w:r w:rsidRPr="00B3369E">
        <w:rPr>
          <w:rFonts w:ascii="Times New Roman" w:hAnsi="Times New Roman" w:cs="Times New Roman"/>
          <w:color w:val="212121"/>
          <w:sz w:val="24"/>
          <w:szCs w:val="24"/>
        </w:rPr>
        <w:t xml:space="preserve"> status in other banks about all lending. Second mortgage or higher will not be accepted as a lower primary deposit.</w:t>
      </w:r>
    </w:p>
    <w:p w:rsidR="00B3369E" w:rsidRPr="00B3369E" w:rsidRDefault="00B3369E" w:rsidP="001B0E2C">
      <w:pPr>
        <w:pStyle w:val="HTMLPreformatted"/>
        <w:numPr>
          <w:ilvl w:val="0"/>
          <w:numId w:val="19"/>
        </w:numPr>
        <w:shd w:val="clear" w:color="auto" w:fill="FFFFFF"/>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Trade Finance: </w:t>
      </w:r>
      <w:r w:rsidRPr="00B3369E">
        <w:rPr>
          <w:rFonts w:ascii="Times New Roman" w:hAnsi="Times New Roman" w:cs="Times New Roman"/>
          <w:color w:val="212121"/>
          <w:sz w:val="24"/>
          <w:szCs w:val="24"/>
        </w:rPr>
        <w:t>Dutch Bangla Bank thinks the financing of short-term (above12 months) form of finance is superior, self-liquidating or cash-flow collateralized trade lien-giving good support * Work order Finance in capital life. Bank financing will be considered by the construction contractor (work order money). However, these transaction instructions must be met. The bank asked in exchange for receiving bills with the co-operative authorities for collecting the bills issued to Dutch-Bangla Bank.</w:t>
      </w:r>
    </w:p>
    <w:p w:rsidR="00B3369E" w:rsidRPr="00B3369E" w:rsidRDefault="00B3369E" w:rsidP="001B0E2C">
      <w:pPr>
        <w:pStyle w:val="HTMLPreformatted"/>
        <w:numPr>
          <w:ilvl w:val="0"/>
          <w:numId w:val="19"/>
        </w:numPr>
        <w:shd w:val="clear" w:color="auto" w:fill="FFFFFF"/>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Equity Finance: </w:t>
      </w:r>
      <w:r w:rsidRPr="00B3369E">
        <w:rPr>
          <w:rFonts w:ascii="Times New Roman" w:hAnsi="Times New Roman" w:cs="Times New Roman"/>
          <w:color w:val="212121"/>
          <w:sz w:val="24"/>
          <w:szCs w:val="24"/>
        </w:rPr>
        <w:t>Regarding regulatory restrictions, joining the Dutch-Bangla Bank for partnership with high credit standing and excellent track record entrepreneurs. However, loans are not permitted for the purpose of providing equity in the business and the funding is not funded.</w:t>
      </w:r>
    </w:p>
    <w:p w:rsidR="00B3369E" w:rsidRPr="00B3369E" w:rsidRDefault="00B3369E" w:rsidP="001B0E2C">
      <w:pPr>
        <w:pStyle w:val="HTMLPreformatted"/>
        <w:numPr>
          <w:ilvl w:val="0"/>
          <w:numId w:val="19"/>
        </w:numPr>
        <w:shd w:val="clear" w:color="auto" w:fill="FFFFFF"/>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Social and Environmental Infrastructure Finance: </w:t>
      </w:r>
      <w:r w:rsidRPr="00B3369E">
        <w:rPr>
          <w:rFonts w:ascii="Times New Roman" w:hAnsi="Times New Roman" w:cs="Times New Roman"/>
          <w:color w:val="212121"/>
          <w:sz w:val="24"/>
          <w:szCs w:val="24"/>
        </w:rPr>
        <w:t>In order to improve the environment and to maintain social benefits, eco-efficient and sustainable projects, to receive credit lines from time to time, country and abroad.</w:t>
      </w:r>
    </w:p>
    <w:p w:rsidR="00B3369E" w:rsidRPr="00B3369E" w:rsidRDefault="00B3369E" w:rsidP="001B0E2C">
      <w:pPr>
        <w:pStyle w:val="HTMLPreformatted"/>
        <w:numPr>
          <w:ilvl w:val="0"/>
          <w:numId w:val="18"/>
        </w:numPr>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Letter of Credit-Trade Business: </w:t>
      </w:r>
      <w:r w:rsidRPr="00B3369E">
        <w:rPr>
          <w:rFonts w:ascii="Times New Roman" w:hAnsi="Times New Roman" w:cs="Times New Roman"/>
          <w:color w:val="212121"/>
          <w:sz w:val="24"/>
          <w:szCs w:val="24"/>
        </w:rPr>
        <w:t>Import Finance, Export Finance, Foreign Remittance, Treasury.</w:t>
      </w:r>
    </w:p>
    <w:p w:rsidR="00B3369E" w:rsidRPr="00B3369E" w:rsidRDefault="00B3369E" w:rsidP="001B0E2C">
      <w:pPr>
        <w:pStyle w:val="HTMLPreformatted"/>
        <w:numPr>
          <w:ilvl w:val="0"/>
          <w:numId w:val="18"/>
        </w:numPr>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SME Banking:</w:t>
      </w:r>
    </w:p>
    <w:p w:rsidR="00B3369E" w:rsidRPr="00B3369E" w:rsidRDefault="00276A72" w:rsidP="001B0E2C">
      <w:pPr>
        <w:pStyle w:val="HTMLPreformatted"/>
        <w:numPr>
          <w:ilvl w:val="0"/>
          <w:numId w:val="20"/>
        </w:numPr>
        <w:shd w:val="clear" w:color="auto" w:fill="FFFFFF"/>
        <w:jc w:val="both"/>
        <w:rPr>
          <w:rFonts w:ascii="Times New Roman" w:hAnsi="Times New Roman" w:cs="Times New Roman"/>
          <w:sz w:val="24"/>
          <w:szCs w:val="24"/>
        </w:rPr>
      </w:pPr>
      <w:hyperlink r:id="rId13" w:history="1">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DBBL Cash Credit – “Len-</w:t>
        </w:r>
        <w:proofErr w:type="spellStart"/>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Den”</w:t>
        </w:r>
      </w:hyperlink>
      <w:hyperlink r:id="rId14" w:history="1">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DBBL</w:t>
        </w:r>
        <w:proofErr w:type="spellEnd"/>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 xml:space="preserve"> Term Loan – “</w:t>
        </w:r>
        <w:proofErr w:type="spellStart"/>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Somridhi</w:t>
        </w:r>
        <w:proofErr w:type="spellEnd"/>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w:t>
        </w:r>
      </w:hyperlink>
    </w:p>
    <w:p w:rsidR="00B3369E" w:rsidRPr="00B3369E" w:rsidRDefault="00276A72" w:rsidP="001B0E2C">
      <w:pPr>
        <w:pStyle w:val="HTMLPreformatted"/>
        <w:numPr>
          <w:ilvl w:val="0"/>
          <w:numId w:val="20"/>
        </w:numPr>
        <w:shd w:val="clear" w:color="auto" w:fill="FFFFFF"/>
        <w:jc w:val="both"/>
        <w:rPr>
          <w:rFonts w:ascii="Times New Roman" w:hAnsi="Times New Roman" w:cs="Times New Roman"/>
          <w:sz w:val="24"/>
          <w:szCs w:val="24"/>
        </w:rPr>
      </w:pPr>
      <w:hyperlink r:id="rId15" w:history="1">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DBBL Property Loan – “</w:t>
        </w:r>
        <w:proofErr w:type="spellStart"/>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Janala</w:t>
        </w:r>
        <w:proofErr w:type="spellEnd"/>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w:t>
        </w:r>
      </w:hyperlink>
    </w:p>
    <w:p w:rsidR="00B3369E" w:rsidRPr="00B3369E" w:rsidRDefault="00276A72" w:rsidP="001B0E2C">
      <w:pPr>
        <w:pStyle w:val="HTMLPreformatted"/>
        <w:numPr>
          <w:ilvl w:val="0"/>
          <w:numId w:val="20"/>
        </w:numPr>
        <w:shd w:val="clear" w:color="auto" w:fill="FFFFFF"/>
        <w:jc w:val="both"/>
        <w:rPr>
          <w:rFonts w:ascii="Times New Roman" w:hAnsi="Times New Roman" w:cs="Times New Roman"/>
          <w:sz w:val="24"/>
          <w:szCs w:val="24"/>
        </w:rPr>
      </w:pPr>
      <w:hyperlink r:id="rId16" w:history="1">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DBBL Festival Loan – “</w:t>
        </w:r>
        <w:proofErr w:type="spellStart"/>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Utshab</w:t>
        </w:r>
        <w:proofErr w:type="spellEnd"/>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w:t>
        </w:r>
      </w:hyperlink>
    </w:p>
    <w:p w:rsidR="00B3369E" w:rsidRPr="00B3369E" w:rsidRDefault="00276A72" w:rsidP="001B0E2C">
      <w:pPr>
        <w:pStyle w:val="HTMLPreformatted"/>
        <w:numPr>
          <w:ilvl w:val="0"/>
          <w:numId w:val="20"/>
        </w:numPr>
        <w:shd w:val="clear" w:color="auto" w:fill="FFFFFF"/>
        <w:jc w:val="both"/>
        <w:rPr>
          <w:rFonts w:ascii="Times New Roman" w:hAnsi="Times New Roman" w:cs="Times New Roman"/>
          <w:sz w:val="24"/>
          <w:szCs w:val="24"/>
        </w:rPr>
      </w:pPr>
      <w:hyperlink r:id="rId17" w:history="1">
        <w:r w:rsidR="00B3369E" w:rsidRPr="00B3369E">
          <w:rPr>
            <w:rStyle w:val="Hyperlink"/>
            <w:rFonts w:ascii="Times New Roman" w:eastAsiaTheme="majorEastAsia" w:hAnsi="Times New Roman" w:cs="Times New Roman"/>
            <w:color w:val="auto"/>
            <w:sz w:val="24"/>
            <w:szCs w:val="24"/>
            <w:u w:val="none"/>
            <w:bdr w:val="none" w:sz="0" w:space="0" w:color="auto" w:frame="1"/>
          </w:rPr>
          <w:t>DBBL Women Entrepreneurs Financing (Term Loan) – “</w:t>
        </w:r>
        <w:proofErr w:type="spellStart"/>
        <w:r w:rsidR="00B3369E" w:rsidRPr="00B3369E">
          <w:rPr>
            <w:rStyle w:val="Hyperlink"/>
            <w:rFonts w:ascii="Times New Roman" w:eastAsiaTheme="majorEastAsia" w:hAnsi="Times New Roman" w:cs="Times New Roman"/>
            <w:color w:val="auto"/>
            <w:sz w:val="24"/>
            <w:szCs w:val="24"/>
            <w:u w:val="none"/>
            <w:bdr w:val="none" w:sz="0" w:space="0" w:color="auto" w:frame="1"/>
          </w:rPr>
          <w:t>Uthsaho</w:t>
        </w:r>
        <w:proofErr w:type="spellEnd"/>
        <w:r w:rsidR="00B3369E" w:rsidRPr="00B3369E">
          <w:rPr>
            <w:rStyle w:val="Hyperlink"/>
            <w:rFonts w:ascii="Times New Roman" w:eastAsiaTheme="majorEastAsia" w:hAnsi="Times New Roman" w:cs="Times New Roman"/>
            <w:color w:val="auto"/>
            <w:sz w:val="24"/>
            <w:szCs w:val="24"/>
            <w:u w:val="none"/>
            <w:bdr w:val="none" w:sz="0" w:space="0" w:color="auto" w:frame="1"/>
          </w:rPr>
          <w:t>”</w:t>
        </w:r>
      </w:hyperlink>
    </w:p>
    <w:p w:rsidR="00B3369E" w:rsidRPr="00B3369E" w:rsidRDefault="00276A72" w:rsidP="001B0E2C">
      <w:pPr>
        <w:pStyle w:val="HTMLPreformatted"/>
        <w:numPr>
          <w:ilvl w:val="0"/>
          <w:numId w:val="20"/>
        </w:numPr>
        <w:shd w:val="clear" w:color="auto" w:fill="FFFFFF"/>
        <w:jc w:val="both"/>
        <w:rPr>
          <w:rFonts w:ascii="Times New Roman" w:hAnsi="Times New Roman" w:cs="Times New Roman"/>
          <w:sz w:val="24"/>
          <w:szCs w:val="24"/>
        </w:rPr>
      </w:pPr>
      <w:hyperlink r:id="rId18" w:history="1">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DBBL Women Financing (Cash Credit) – “</w:t>
        </w:r>
        <w:proofErr w:type="spellStart"/>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Shofolota</w:t>
        </w:r>
        <w:proofErr w:type="spellEnd"/>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w:t>
        </w:r>
      </w:hyperlink>
    </w:p>
    <w:p w:rsidR="00B3369E" w:rsidRPr="00B3369E" w:rsidRDefault="00276A72" w:rsidP="001B0E2C">
      <w:pPr>
        <w:pStyle w:val="HTMLPreformatted"/>
        <w:numPr>
          <w:ilvl w:val="0"/>
          <w:numId w:val="20"/>
        </w:numPr>
        <w:shd w:val="clear" w:color="auto" w:fill="FFFFFF"/>
        <w:jc w:val="both"/>
        <w:rPr>
          <w:rFonts w:ascii="Times New Roman" w:hAnsi="Times New Roman" w:cs="Times New Roman"/>
          <w:sz w:val="24"/>
          <w:szCs w:val="24"/>
        </w:rPr>
      </w:pPr>
      <w:hyperlink r:id="rId19" w:history="1">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DBBL Distributor Financing (Cash Credit) – “</w:t>
        </w:r>
        <w:proofErr w:type="spellStart"/>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Prosher</w:t>
        </w:r>
        <w:proofErr w:type="spellEnd"/>
        <w:r w:rsidR="00B3369E" w:rsidRPr="00B3369E">
          <w:rPr>
            <w:rStyle w:val="Hyperlink"/>
            <w:rFonts w:ascii="Times New Roman" w:eastAsiaTheme="majorEastAsia" w:hAnsi="Times New Roman" w:cs="Times New Roman"/>
            <w:color w:val="auto"/>
            <w:sz w:val="24"/>
            <w:szCs w:val="24"/>
            <w:u w:val="none"/>
            <w:bdr w:val="none" w:sz="0" w:space="0" w:color="auto" w:frame="1"/>
            <w:shd w:val="clear" w:color="auto" w:fill="FFFFFF"/>
          </w:rPr>
          <w:t>”</w:t>
        </w:r>
      </w:hyperlink>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both"/>
        <w:rPr>
          <w:rFonts w:ascii="Times New Roman" w:hAnsi="Times New Roman" w:cs="Times New Roman"/>
          <w:b/>
          <w:bCs/>
          <w:color w:val="212121"/>
          <w:sz w:val="24"/>
          <w:szCs w:val="24"/>
          <w:u w:val="single"/>
        </w:rPr>
      </w:pPr>
      <w:bookmarkStart w:id="98" w:name="_Toc6610608"/>
      <w:bookmarkStart w:id="99" w:name="_Toc6614034"/>
      <w:r w:rsidRPr="00B3369E">
        <w:rPr>
          <w:rStyle w:val="Heading3Char"/>
          <w:rFonts w:ascii="Times New Roman" w:hAnsi="Times New Roman" w:cs="Times New Roman"/>
          <w:color w:val="943634" w:themeColor="accent2" w:themeShade="BF"/>
          <w:sz w:val="24"/>
          <w:szCs w:val="24"/>
        </w:rPr>
        <w:t>3.13.8 DBBL Mobile Banking Service:</w:t>
      </w:r>
      <w:bookmarkEnd w:id="98"/>
      <w:bookmarkEnd w:id="99"/>
      <w:r w:rsidRPr="00B3369E">
        <w:rPr>
          <w:rStyle w:val="Heading3Char"/>
          <w:rFonts w:ascii="Times New Roman" w:hAnsi="Times New Roman" w:cs="Times New Roman"/>
          <w:color w:val="943634" w:themeColor="accent2" w:themeShade="BF"/>
          <w:sz w:val="24"/>
          <w:szCs w:val="24"/>
        </w:rPr>
        <w:t xml:space="preserve"> </w:t>
      </w:r>
      <w:r w:rsidRPr="00B3369E">
        <w:rPr>
          <w:rFonts w:ascii="Times New Roman" w:hAnsi="Times New Roman" w:cs="Times New Roman"/>
          <w:color w:val="212121"/>
          <w:sz w:val="24"/>
          <w:szCs w:val="24"/>
        </w:rPr>
        <w:t>The bank has accepted the permission to provide mobile banking services under reference number of reference DCMPS / PDP / 37 (H) / 2010-408 dated 28 April 2010 of Bangladesh Bank. The bank started the activities of mobile banking services on 31 March 2011. The main activities of mobile banking services are providing banking services to customers through mobile phones Bangladesh Bank's applicable rules and regulations and guidelines. The main operation of the bank their services are Mobile Banking.</w:t>
      </w:r>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both"/>
        <w:rPr>
          <w:rFonts w:ascii="Times New Roman" w:hAnsi="Times New Roman" w:cs="Times New Roman"/>
          <w:b/>
          <w:bCs/>
          <w:color w:val="212121"/>
          <w:sz w:val="24"/>
          <w:szCs w:val="24"/>
          <w:u w:val="single"/>
        </w:rPr>
      </w:pPr>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both"/>
        <w:rPr>
          <w:rFonts w:ascii="Times New Roman" w:hAnsi="Times New Roman" w:cs="Times New Roman"/>
          <w:b/>
          <w:bCs/>
          <w:color w:val="212121"/>
          <w:sz w:val="24"/>
          <w:szCs w:val="24"/>
        </w:rPr>
      </w:pPr>
      <w:bookmarkStart w:id="100" w:name="_Toc6610609"/>
      <w:bookmarkStart w:id="101" w:name="_Toc6614035"/>
      <w:r w:rsidRPr="00B3369E">
        <w:rPr>
          <w:rStyle w:val="Heading3Char"/>
          <w:rFonts w:ascii="Times New Roman" w:hAnsi="Times New Roman" w:cs="Times New Roman"/>
          <w:color w:val="943634" w:themeColor="accent2" w:themeShade="BF"/>
          <w:sz w:val="24"/>
          <w:szCs w:val="24"/>
        </w:rPr>
        <w:t>3.13.9 DBBL Agent Banking Service:</w:t>
      </w:r>
      <w:bookmarkEnd w:id="100"/>
      <w:bookmarkEnd w:id="101"/>
      <w:r w:rsidRPr="00B3369E">
        <w:rPr>
          <w:rFonts w:ascii="Times New Roman" w:hAnsi="Times New Roman" w:cs="Times New Roman"/>
          <w:b/>
          <w:bCs/>
          <w:color w:val="212121"/>
          <w:sz w:val="24"/>
          <w:szCs w:val="24"/>
        </w:rPr>
        <w:t xml:space="preserve">  </w:t>
      </w:r>
      <w:r w:rsidRPr="00B3369E">
        <w:rPr>
          <w:rFonts w:ascii="Times New Roman" w:hAnsi="Times New Roman" w:cs="Times New Roman"/>
          <w:color w:val="212121"/>
          <w:sz w:val="24"/>
          <w:szCs w:val="24"/>
          <w:shd w:val="clear" w:color="auto" w:fill="FFFFFF"/>
        </w:rPr>
        <w:t>The banks accept permission to manage agent banking Bangladesh Bank services on July 27, 2014. The bank starts Agent Banking Services Management in January 19, 2015.</w:t>
      </w:r>
      <w:r w:rsidRPr="00B3369E">
        <w:rPr>
          <w:rFonts w:ascii="Times New Roman" w:hAnsi="Times New Roman" w:cs="Times New Roman"/>
          <w:b/>
          <w:bCs/>
          <w:color w:val="212121"/>
          <w:sz w:val="24"/>
          <w:szCs w:val="24"/>
        </w:rPr>
        <w:t xml:space="preserve"> </w:t>
      </w:r>
      <w:r w:rsidRPr="00B3369E">
        <w:rPr>
          <w:rFonts w:ascii="Times New Roman" w:hAnsi="Times New Roman" w:cs="Times New Roman"/>
          <w:color w:val="212121"/>
          <w:sz w:val="24"/>
          <w:szCs w:val="24"/>
        </w:rPr>
        <w:t xml:space="preserve">The main activities of Agent Banking Services are provided to the bank customers with banking agents on behalf of the banks, instead of supplying the bank's own Tellers/ Cashier to the bank services between applicable rules and regulations and guidelines Bangladesh Bank. So agent banking services of DBBL main operation. </w:t>
      </w: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102" w:name="_Toc6610610"/>
      <w:bookmarkStart w:id="103" w:name="_Toc6614036"/>
      <w:r w:rsidRPr="00B3369E">
        <w:rPr>
          <w:rFonts w:ascii="Times New Roman" w:hAnsi="Times New Roman" w:cs="Times New Roman"/>
          <w:color w:val="632423" w:themeColor="accent2" w:themeShade="80"/>
          <w:sz w:val="28"/>
          <w:szCs w:val="28"/>
        </w:rPr>
        <w:t>3.14 Last Three (2014-17) Years for Dutch-Bangla Bank Limited Financial Highlights:</w:t>
      </w:r>
      <w:bookmarkEnd w:id="102"/>
      <w:bookmarkEnd w:id="103"/>
      <w:r w:rsidRPr="00B3369E">
        <w:rPr>
          <w:rFonts w:ascii="Times New Roman" w:hAnsi="Times New Roman" w:cs="Times New Roman"/>
          <w:color w:val="632423" w:themeColor="accent2" w:themeShade="80"/>
          <w:sz w:val="28"/>
          <w:szCs w:val="28"/>
        </w:rPr>
        <w:t xml:space="preserve">                                          </w:t>
      </w:r>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both"/>
        <w:rPr>
          <w:rFonts w:ascii="Times New Roman" w:hAnsi="Times New Roman" w:cs="Times New Roman"/>
          <w:b/>
          <w:bCs/>
          <w:color w:val="212121"/>
          <w:sz w:val="24"/>
          <w:szCs w:val="24"/>
          <w:u w:val="single"/>
        </w:rPr>
      </w:pPr>
      <w:r w:rsidRPr="00B3369E">
        <w:rPr>
          <w:rFonts w:ascii="Times New Roman" w:hAnsi="Times New Roman" w:cs="Times New Roman"/>
          <w:b/>
          <w:bCs/>
          <w:color w:val="212121"/>
          <w:sz w:val="24"/>
          <w:szCs w:val="24"/>
        </w:rPr>
        <w:t xml:space="preserve">                        </w:t>
      </w:r>
    </w:p>
    <w:p w:rsidR="00B3369E" w:rsidRPr="00B3369E" w:rsidRDefault="00B3369E" w:rsidP="00B3369E">
      <w:pPr>
        <w:pStyle w:val="Tables"/>
      </w:pPr>
      <w:bookmarkStart w:id="104" w:name="_Toc6620244"/>
      <w:r w:rsidRPr="00B3369E">
        <w:t xml:space="preserve">Table 3: </w:t>
      </w:r>
      <w:r w:rsidR="00276A72">
        <w:fldChar w:fldCharType="begin"/>
      </w:r>
      <w:r w:rsidR="002324C7">
        <w:instrText xml:space="preserve"> SEQ Table_2: \* ARABIC </w:instrText>
      </w:r>
      <w:r w:rsidR="00276A72">
        <w:fldChar w:fldCharType="separate"/>
      </w:r>
      <w:r w:rsidRPr="00B3369E">
        <w:rPr>
          <w:noProof/>
        </w:rPr>
        <w:t>3</w:t>
      </w:r>
      <w:r w:rsidR="00276A72">
        <w:rPr>
          <w:noProof/>
        </w:rPr>
        <w:fldChar w:fldCharType="end"/>
      </w:r>
      <w:r w:rsidRPr="00B3369E">
        <w:t xml:space="preserve"> DBBL All Shareholder List (2014-2017)</w:t>
      </w:r>
      <w:bookmarkEnd w:id="104"/>
    </w:p>
    <w:tbl>
      <w:tblPr>
        <w:tblStyle w:val="TableGrid"/>
        <w:tblW w:w="5000" w:type="pct"/>
        <w:jc w:val="center"/>
        <w:tblLook w:val="04A0"/>
      </w:tblPr>
      <w:tblGrid>
        <w:gridCol w:w="1313"/>
        <w:gridCol w:w="1116"/>
        <w:gridCol w:w="1116"/>
        <w:gridCol w:w="1116"/>
        <w:gridCol w:w="1117"/>
        <w:gridCol w:w="866"/>
        <w:gridCol w:w="866"/>
        <w:gridCol w:w="866"/>
        <w:gridCol w:w="867"/>
      </w:tblGrid>
      <w:tr w:rsidR="00B3369E" w:rsidRPr="00B3369E" w:rsidTr="004838D2">
        <w:trPr>
          <w:trHeight w:val="314"/>
          <w:jc w:val="center"/>
        </w:trPr>
        <w:tc>
          <w:tcPr>
            <w:tcW w:w="711" w:type="pct"/>
            <w:vMerge w:val="restar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Particular</w:t>
            </w:r>
          </w:p>
        </w:tc>
        <w:tc>
          <w:tcPr>
            <w:tcW w:w="2415" w:type="pct"/>
            <w:gridSpan w:val="4"/>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Number of shares as of 31 December</w:t>
            </w:r>
          </w:p>
        </w:tc>
        <w:tc>
          <w:tcPr>
            <w:tcW w:w="1874" w:type="pct"/>
            <w:gridSpan w:val="4"/>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Percentage (%) of shares held as of 31 December</w:t>
            </w:r>
          </w:p>
        </w:tc>
      </w:tr>
      <w:tr w:rsidR="00B3369E" w:rsidRPr="00B3369E" w:rsidTr="004838D2">
        <w:trPr>
          <w:trHeight w:val="314"/>
          <w:jc w:val="center"/>
        </w:trPr>
        <w:tc>
          <w:tcPr>
            <w:tcW w:w="711" w:type="pct"/>
            <w:vMerge/>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p>
        </w:tc>
        <w:tc>
          <w:tcPr>
            <w:tcW w:w="2415" w:type="pct"/>
            <w:gridSpan w:val="4"/>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Sponsors</w:t>
            </w:r>
          </w:p>
        </w:tc>
        <w:tc>
          <w:tcPr>
            <w:tcW w:w="1874" w:type="pct"/>
            <w:gridSpan w:val="4"/>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Sponsors</w:t>
            </w:r>
          </w:p>
        </w:tc>
      </w:tr>
      <w:tr w:rsidR="00B3369E" w:rsidRPr="00B3369E" w:rsidTr="004838D2">
        <w:trPr>
          <w:trHeight w:val="316"/>
          <w:jc w:val="center"/>
        </w:trPr>
        <w:tc>
          <w:tcPr>
            <w:tcW w:w="71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Year</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2017</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2016</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2015</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2014</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2017</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2016</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2015</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2014</w:t>
            </w:r>
          </w:p>
        </w:tc>
      </w:tr>
      <w:tr w:rsidR="00B3369E" w:rsidRPr="00B3369E" w:rsidTr="004838D2">
        <w:trPr>
          <w:trHeight w:val="299"/>
          <w:jc w:val="center"/>
        </w:trPr>
        <w:tc>
          <w:tcPr>
            <w:tcW w:w="71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Local</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122634240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122634240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122634240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122634240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61.3%</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61.3%</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61.3%</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61.3%</w:t>
            </w:r>
          </w:p>
        </w:tc>
      </w:tr>
      <w:tr w:rsidR="00B3369E" w:rsidRPr="00B3369E" w:rsidTr="004838D2">
        <w:trPr>
          <w:trHeight w:val="316"/>
          <w:jc w:val="center"/>
        </w:trPr>
        <w:tc>
          <w:tcPr>
            <w:tcW w:w="71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Foreign</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51348900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51348900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51348900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51348900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25.7%</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25.7%</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25.7%</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25.7%</w:t>
            </w:r>
          </w:p>
        </w:tc>
      </w:tr>
      <w:tr w:rsidR="00B3369E" w:rsidRPr="00B3369E" w:rsidTr="004838D2">
        <w:trPr>
          <w:trHeight w:val="278"/>
          <w:jc w:val="center"/>
        </w:trPr>
        <w:tc>
          <w:tcPr>
            <w:tcW w:w="71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Total Sponsors</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173983140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173983140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173983140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173983140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87.0%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87.0%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87.0%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87.0%</w:t>
            </w:r>
          </w:p>
        </w:tc>
      </w:tr>
      <w:tr w:rsidR="00B3369E" w:rsidRPr="00B3369E" w:rsidTr="004838D2">
        <w:trPr>
          <w:trHeight w:val="197"/>
          <w:jc w:val="center"/>
        </w:trPr>
        <w:tc>
          <w:tcPr>
            <w:tcW w:w="5000" w:type="pct"/>
            <w:gridSpan w:val="9"/>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General Public</w:t>
            </w:r>
          </w:p>
        </w:tc>
      </w:tr>
      <w:tr w:rsidR="00B3369E" w:rsidRPr="00B3369E" w:rsidTr="004838D2">
        <w:trPr>
          <w:trHeight w:val="316"/>
          <w:jc w:val="center"/>
        </w:trPr>
        <w:tc>
          <w:tcPr>
            <w:tcW w:w="71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Institutions</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9359281</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14081595</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12826328</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5678881</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4.7%</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7.0%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6.4%</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2.8%</w:t>
            </w:r>
          </w:p>
        </w:tc>
      </w:tr>
      <w:tr w:rsidR="00B3369E" w:rsidRPr="00B3369E" w:rsidTr="004838D2">
        <w:trPr>
          <w:trHeight w:val="299"/>
          <w:jc w:val="center"/>
        </w:trPr>
        <w:tc>
          <w:tcPr>
            <w:tcW w:w="71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Individuals</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16657579</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11935265</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13190532</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20337979</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8.3%</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13.0%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6.6%</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10.2%</w:t>
            </w:r>
          </w:p>
        </w:tc>
      </w:tr>
      <w:tr w:rsidR="00B3369E" w:rsidRPr="00B3369E" w:rsidTr="004838D2">
        <w:trPr>
          <w:trHeight w:val="584"/>
          <w:jc w:val="center"/>
        </w:trPr>
        <w:tc>
          <w:tcPr>
            <w:tcW w:w="71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rPr>
                <w:rFonts w:ascii="Times New Roman" w:hAnsi="Times New Roman" w:cs="Times New Roman"/>
                <w:b/>
                <w:bCs/>
              </w:rPr>
            </w:pPr>
            <w:r w:rsidRPr="00B3369E">
              <w:rPr>
                <w:rFonts w:ascii="Times New Roman" w:hAnsi="Times New Roman" w:cs="Times New Roman"/>
                <w:b/>
                <w:bCs/>
              </w:rPr>
              <w:t>Total General Public</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26016860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26016860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26016860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26016860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13.0%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13.0%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13.0%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13.0%</w:t>
            </w:r>
          </w:p>
        </w:tc>
      </w:tr>
      <w:tr w:rsidR="00B3369E" w:rsidRPr="00B3369E" w:rsidTr="004838D2">
        <w:trPr>
          <w:trHeight w:val="368"/>
          <w:jc w:val="center"/>
        </w:trPr>
        <w:tc>
          <w:tcPr>
            <w:tcW w:w="71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rPr>
                <w:rFonts w:ascii="Times New Roman" w:hAnsi="Times New Roman" w:cs="Times New Roman"/>
                <w:b/>
                <w:bCs/>
              </w:rPr>
            </w:pPr>
            <w:r w:rsidRPr="00B3369E">
              <w:rPr>
                <w:rFonts w:ascii="Times New Roman" w:hAnsi="Times New Roman" w:cs="Times New Roman"/>
                <w:b/>
                <w:bCs/>
              </w:rPr>
              <w:t>Grand Total</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200000000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200000000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200000000</w:t>
            </w:r>
          </w:p>
        </w:tc>
        <w:tc>
          <w:tcPr>
            <w:tcW w:w="604"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200000000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100.0%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100.0%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100.0%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100.0%</w:t>
            </w:r>
          </w:p>
        </w:tc>
      </w:tr>
    </w:tbl>
    <w:p w:rsidR="00B3369E" w:rsidRPr="00B3369E" w:rsidRDefault="00B3369E" w:rsidP="00B3369E">
      <w:pPr>
        <w:pStyle w:val="NoSpacing"/>
        <w:spacing w:line="276" w:lineRule="auto"/>
        <w:rPr>
          <w:rFonts w:ascii="Times New Roman" w:hAnsi="Times New Roman" w:cs="Times New Roman"/>
          <w:b/>
          <w:bCs/>
          <w:sz w:val="20"/>
          <w:szCs w:val="20"/>
        </w:rPr>
      </w:pPr>
    </w:p>
    <w:p w:rsidR="00B3369E" w:rsidRPr="00B3369E" w:rsidRDefault="00B3369E" w:rsidP="00B3369E">
      <w:pPr>
        <w:pStyle w:val="NoSpacing"/>
        <w:spacing w:line="276" w:lineRule="auto"/>
        <w:rPr>
          <w:rFonts w:ascii="Times New Roman" w:hAnsi="Times New Roman" w:cs="Times New Roman"/>
          <w:b/>
          <w:bCs/>
          <w:sz w:val="20"/>
          <w:szCs w:val="20"/>
        </w:rPr>
      </w:pPr>
    </w:p>
    <w:p w:rsidR="00B3369E" w:rsidRPr="00B3369E" w:rsidRDefault="00B3369E" w:rsidP="00B3369E">
      <w:pPr>
        <w:pStyle w:val="NoSpacing"/>
        <w:spacing w:line="276" w:lineRule="auto"/>
        <w:rPr>
          <w:rFonts w:ascii="Times New Roman" w:hAnsi="Times New Roman" w:cs="Times New Roman"/>
          <w:b/>
          <w:bCs/>
          <w:sz w:val="20"/>
          <w:szCs w:val="20"/>
        </w:rPr>
      </w:pPr>
    </w:p>
    <w:p w:rsidR="00B3369E" w:rsidRPr="00B3369E" w:rsidRDefault="00B3369E" w:rsidP="00B3369E">
      <w:pPr>
        <w:pStyle w:val="NoSpacing"/>
        <w:spacing w:line="276" w:lineRule="auto"/>
        <w:rPr>
          <w:rFonts w:ascii="Times New Roman" w:hAnsi="Times New Roman" w:cs="Times New Roman"/>
          <w:b/>
          <w:bCs/>
          <w:sz w:val="20"/>
          <w:szCs w:val="20"/>
        </w:rPr>
      </w:pPr>
    </w:p>
    <w:p w:rsidR="00B3369E" w:rsidRPr="00B3369E" w:rsidRDefault="00B3369E" w:rsidP="00B3369E">
      <w:pPr>
        <w:pStyle w:val="NoSpacing"/>
        <w:spacing w:line="276" w:lineRule="auto"/>
        <w:rPr>
          <w:rFonts w:ascii="Times New Roman" w:hAnsi="Times New Roman" w:cs="Times New Roman"/>
          <w:b/>
          <w:bCs/>
          <w:sz w:val="20"/>
          <w:szCs w:val="20"/>
        </w:rPr>
      </w:pPr>
    </w:p>
    <w:p w:rsidR="00B3369E" w:rsidRPr="00B3369E" w:rsidRDefault="00B3369E" w:rsidP="00B3369E">
      <w:pPr>
        <w:pStyle w:val="NoSpacing"/>
        <w:spacing w:line="276" w:lineRule="auto"/>
        <w:rPr>
          <w:rFonts w:ascii="Times New Roman" w:hAnsi="Times New Roman" w:cs="Times New Roman"/>
          <w:b/>
          <w:bCs/>
          <w:sz w:val="20"/>
          <w:szCs w:val="20"/>
        </w:rPr>
      </w:pPr>
    </w:p>
    <w:p w:rsidR="00B3369E" w:rsidRPr="00B3369E" w:rsidRDefault="00B3369E" w:rsidP="00B3369E">
      <w:pPr>
        <w:pStyle w:val="NoSpacing"/>
        <w:spacing w:line="276" w:lineRule="auto"/>
        <w:rPr>
          <w:rFonts w:ascii="Times New Roman" w:hAnsi="Times New Roman" w:cs="Times New Roman"/>
          <w:b/>
          <w:bCs/>
          <w:sz w:val="20"/>
          <w:szCs w:val="20"/>
        </w:rPr>
      </w:pPr>
    </w:p>
    <w:p w:rsidR="00B3369E" w:rsidRPr="00B3369E" w:rsidRDefault="00B3369E" w:rsidP="00B3369E">
      <w:pPr>
        <w:pStyle w:val="NoSpacing"/>
        <w:spacing w:line="276" w:lineRule="auto"/>
        <w:rPr>
          <w:rFonts w:ascii="Times New Roman" w:hAnsi="Times New Roman" w:cs="Times New Roman"/>
          <w:b/>
          <w:bCs/>
          <w:sz w:val="20"/>
          <w:szCs w:val="20"/>
        </w:rPr>
      </w:pPr>
    </w:p>
    <w:p w:rsidR="00B3369E" w:rsidRPr="00B3369E" w:rsidRDefault="00B3369E" w:rsidP="00B3369E">
      <w:pPr>
        <w:pStyle w:val="Tables"/>
      </w:pPr>
      <w:bookmarkStart w:id="105" w:name="_Toc6620245"/>
      <w:r w:rsidRPr="00B3369E">
        <w:t xml:space="preserve">Table 3: </w:t>
      </w:r>
      <w:r w:rsidR="00276A72">
        <w:fldChar w:fldCharType="begin"/>
      </w:r>
      <w:r w:rsidR="002324C7">
        <w:instrText xml:space="preserve"> SEQ Table_2: \* ARABIC </w:instrText>
      </w:r>
      <w:r w:rsidR="00276A72">
        <w:fldChar w:fldCharType="separate"/>
      </w:r>
      <w:r w:rsidRPr="00B3369E">
        <w:rPr>
          <w:noProof/>
        </w:rPr>
        <w:t>4</w:t>
      </w:r>
      <w:r w:rsidR="00276A72">
        <w:rPr>
          <w:noProof/>
        </w:rPr>
        <w:fldChar w:fldCharType="end"/>
      </w:r>
      <w:r w:rsidRPr="00B3369E">
        <w:t xml:space="preserve"> Total shareholders’ equity                                                                                            </w:t>
      </w:r>
      <w:proofErr w:type="gramStart"/>
      <w:r w:rsidRPr="00B3369E">
        <w:t>in million taka</w:t>
      </w:r>
      <w:bookmarkEnd w:id="105"/>
      <w:proofErr w:type="gramEnd"/>
    </w:p>
    <w:tbl>
      <w:tblPr>
        <w:tblStyle w:val="TableGrid"/>
        <w:tblW w:w="5000" w:type="pct"/>
        <w:jc w:val="center"/>
        <w:tblLook w:val="04A0"/>
      </w:tblPr>
      <w:tblGrid>
        <w:gridCol w:w="3051"/>
        <w:gridCol w:w="917"/>
        <w:gridCol w:w="866"/>
        <w:gridCol w:w="1287"/>
        <w:gridCol w:w="917"/>
        <w:gridCol w:w="917"/>
        <w:gridCol w:w="1288"/>
      </w:tblGrid>
      <w:tr w:rsidR="00B3369E" w:rsidRPr="00B3369E" w:rsidTr="004838D2">
        <w:trPr>
          <w:jc w:val="center"/>
        </w:trPr>
        <w:tc>
          <w:tcPr>
            <w:tcW w:w="1651" w:type="pct"/>
            <w:vMerge w:val="restar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rPr>
                <w:rFonts w:ascii="Times New Roman" w:hAnsi="Times New Roman" w:cs="Times New Roman"/>
                <w:b/>
                <w:bCs/>
              </w:rPr>
            </w:pPr>
            <w:r w:rsidRPr="00B3369E">
              <w:rPr>
                <w:rFonts w:ascii="Times New Roman" w:hAnsi="Times New Roman" w:cs="Times New Roman"/>
                <w:b/>
                <w:bCs/>
              </w:rPr>
              <w:t>Particulars</w:t>
            </w:r>
          </w:p>
        </w:tc>
        <w:tc>
          <w:tcPr>
            <w:tcW w:w="3349" w:type="pct"/>
            <w:gridSpan w:val="6"/>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Position as of 31</w:t>
            </w:r>
            <w:r w:rsidRPr="00B3369E">
              <w:rPr>
                <w:rFonts w:ascii="Times New Roman" w:hAnsi="Times New Roman" w:cs="Times New Roman"/>
                <w:b/>
                <w:bCs/>
                <w:vertAlign w:val="superscript"/>
              </w:rPr>
              <w:t>st</w:t>
            </w:r>
            <w:r w:rsidRPr="00B3369E">
              <w:rPr>
                <w:rFonts w:ascii="Times New Roman" w:hAnsi="Times New Roman" w:cs="Times New Roman"/>
                <w:b/>
                <w:bCs/>
              </w:rPr>
              <w:t xml:space="preserve"> December</w:t>
            </w:r>
          </w:p>
        </w:tc>
      </w:tr>
      <w:tr w:rsidR="00B3369E" w:rsidRPr="00B3369E" w:rsidTr="004838D2">
        <w:trPr>
          <w:jc w:val="center"/>
        </w:trPr>
        <w:tc>
          <w:tcPr>
            <w:tcW w:w="1651" w:type="pct"/>
            <w:vMerge/>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rPr>
                <w:rFonts w:ascii="Times New Roman" w:hAnsi="Times New Roman" w:cs="Times New Roman"/>
                <w:b/>
                <w:bCs/>
              </w:rPr>
            </w:pP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2017</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2016</w:t>
            </w:r>
          </w:p>
        </w:tc>
        <w:tc>
          <w:tcPr>
            <w:tcW w:w="6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Variance (%)</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2015</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2014</w:t>
            </w:r>
          </w:p>
        </w:tc>
        <w:tc>
          <w:tcPr>
            <w:tcW w:w="69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Variance (%)</w:t>
            </w:r>
          </w:p>
        </w:tc>
      </w:tr>
      <w:tr w:rsidR="00B3369E" w:rsidRPr="00B3369E" w:rsidTr="004838D2">
        <w:trPr>
          <w:jc w:val="center"/>
        </w:trPr>
        <w:tc>
          <w:tcPr>
            <w:tcW w:w="165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rPr>
                <w:rFonts w:ascii="Times New Roman" w:hAnsi="Times New Roman" w:cs="Times New Roman"/>
                <w:b/>
                <w:bCs/>
              </w:rPr>
            </w:pPr>
            <w:r w:rsidRPr="00B3369E">
              <w:rPr>
                <w:rFonts w:ascii="Times New Roman" w:hAnsi="Times New Roman" w:cs="Times New Roman"/>
                <w:b/>
                <w:bCs/>
              </w:rPr>
              <w:t>Shareholder’s Equity</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2,000.0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2000.0</w:t>
            </w:r>
          </w:p>
        </w:tc>
        <w:tc>
          <w:tcPr>
            <w:tcW w:w="6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0.0%</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2000.0</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2000.0</w:t>
            </w:r>
          </w:p>
        </w:tc>
        <w:tc>
          <w:tcPr>
            <w:tcW w:w="69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0.0%</w:t>
            </w:r>
          </w:p>
        </w:tc>
      </w:tr>
      <w:tr w:rsidR="00B3369E" w:rsidRPr="00B3369E" w:rsidTr="004838D2">
        <w:trPr>
          <w:jc w:val="center"/>
        </w:trPr>
        <w:tc>
          <w:tcPr>
            <w:tcW w:w="165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rPr>
                <w:rFonts w:ascii="Times New Roman" w:hAnsi="Times New Roman" w:cs="Times New Roman"/>
                <w:b/>
                <w:bCs/>
              </w:rPr>
            </w:pPr>
            <w:r w:rsidRPr="00B3369E">
              <w:rPr>
                <w:rFonts w:ascii="Times New Roman" w:eastAsia="Klavika-Regular" w:hAnsi="Times New Roman" w:cs="Times New Roman"/>
                <w:b/>
                <w:bCs/>
              </w:rPr>
              <w:t>Statutory reserve</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9,193.0</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8134.4</w:t>
            </w:r>
          </w:p>
        </w:tc>
        <w:tc>
          <w:tcPr>
            <w:tcW w:w="6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13.0%</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7,487.6</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6,234.1</w:t>
            </w:r>
          </w:p>
        </w:tc>
        <w:tc>
          <w:tcPr>
            <w:tcW w:w="69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20.1%</w:t>
            </w:r>
          </w:p>
        </w:tc>
      </w:tr>
      <w:tr w:rsidR="00B3369E" w:rsidRPr="00B3369E" w:rsidTr="004838D2">
        <w:trPr>
          <w:jc w:val="center"/>
        </w:trPr>
        <w:tc>
          <w:tcPr>
            <w:tcW w:w="165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rPr>
                <w:rFonts w:ascii="Times New Roman" w:hAnsi="Times New Roman" w:cs="Times New Roman"/>
                <w:b/>
                <w:bCs/>
              </w:rPr>
            </w:pPr>
            <w:r w:rsidRPr="00B3369E">
              <w:rPr>
                <w:rFonts w:ascii="Times New Roman" w:eastAsia="Klavika-Regular" w:hAnsi="Times New Roman" w:cs="Times New Roman"/>
                <w:b/>
                <w:bCs/>
              </w:rPr>
              <w:t>Other reserves and share premium</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2,442.3</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2288.1</w:t>
            </w:r>
          </w:p>
        </w:tc>
        <w:tc>
          <w:tcPr>
            <w:tcW w:w="6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6.7%</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3,144.9</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2,728.2</w:t>
            </w:r>
          </w:p>
        </w:tc>
        <w:tc>
          <w:tcPr>
            <w:tcW w:w="69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15.3%</w:t>
            </w:r>
          </w:p>
        </w:tc>
      </w:tr>
      <w:tr w:rsidR="00B3369E" w:rsidRPr="00B3369E" w:rsidTr="004838D2">
        <w:trPr>
          <w:jc w:val="center"/>
        </w:trPr>
        <w:tc>
          <w:tcPr>
            <w:tcW w:w="165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rPr>
                <w:rFonts w:ascii="Times New Roman" w:hAnsi="Times New Roman" w:cs="Times New Roman"/>
                <w:b/>
                <w:bCs/>
              </w:rPr>
            </w:pPr>
            <w:r w:rsidRPr="00B3369E">
              <w:rPr>
                <w:rFonts w:ascii="Times New Roman" w:eastAsia="Klavika-Regular" w:hAnsi="Times New Roman" w:cs="Times New Roman"/>
                <w:b/>
                <w:bCs/>
              </w:rPr>
              <w:t>Retained earning</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5,846.8</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5250.2</w:t>
            </w:r>
          </w:p>
        </w:tc>
        <w:tc>
          <w:tcPr>
            <w:tcW w:w="6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11.4%</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4,121.9</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3,555.1</w:t>
            </w:r>
          </w:p>
        </w:tc>
        <w:tc>
          <w:tcPr>
            <w:tcW w:w="69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15.9%</w:t>
            </w:r>
          </w:p>
        </w:tc>
      </w:tr>
      <w:tr w:rsidR="00B3369E" w:rsidRPr="00B3369E" w:rsidTr="004838D2">
        <w:trPr>
          <w:jc w:val="center"/>
        </w:trPr>
        <w:tc>
          <w:tcPr>
            <w:tcW w:w="1651"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rPr>
                <w:rFonts w:ascii="Times New Roman" w:hAnsi="Times New Roman" w:cs="Times New Roman"/>
                <w:b/>
                <w:bCs/>
              </w:rPr>
            </w:pPr>
            <w:r w:rsidRPr="00B3369E">
              <w:rPr>
                <w:rFonts w:ascii="Times New Roman" w:eastAsia="Klavika-Bold" w:hAnsi="Times New Roman" w:cs="Times New Roman"/>
                <w:b/>
                <w:bCs/>
              </w:rPr>
              <w:t>Total shareholders’ equity</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Bold" w:hAnsi="Times New Roman" w:cs="Times New Roman"/>
                <w:b/>
                <w:bCs/>
              </w:rPr>
              <w:t>19,482.2</w:t>
            </w:r>
          </w:p>
        </w:tc>
        <w:tc>
          <w:tcPr>
            <w:tcW w:w="46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17672.7</w:t>
            </w:r>
          </w:p>
        </w:tc>
        <w:tc>
          <w:tcPr>
            <w:tcW w:w="6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hAnsi="Times New Roman" w:cs="Times New Roman"/>
                <w:b/>
                <w:bCs/>
              </w:rPr>
              <w:t>10.2%</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16,754.3</w:t>
            </w:r>
          </w:p>
        </w:tc>
        <w:tc>
          <w:tcPr>
            <w:tcW w:w="496"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14,517.4</w:t>
            </w:r>
          </w:p>
        </w:tc>
        <w:tc>
          <w:tcPr>
            <w:tcW w:w="698" w:type="pct"/>
            <w:shd w:val="clear" w:color="auto" w:fill="auto"/>
            <w:vAlign w:val="center"/>
          </w:tcPr>
          <w:p w:rsidR="00B3369E" w:rsidRPr="00B3369E" w:rsidRDefault="00B3369E" w:rsidP="004838D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center"/>
              <w:rPr>
                <w:rFonts w:ascii="Times New Roman" w:hAnsi="Times New Roman" w:cs="Times New Roman"/>
                <w:b/>
                <w:bCs/>
              </w:rPr>
            </w:pPr>
            <w:r w:rsidRPr="00B3369E">
              <w:rPr>
                <w:rFonts w:ascii="Times New Roman" w:eastAsia="Klavika-Regular" w:hAnsi="Times New Roman" w:cs="Times New Roman"/>
                <w:b/>
                <w:bCs/>
              </w:rPr>
              <w:t>15.4%</w:t>
            </w:r>
          </w:p>
        </w:tc>
      </w:tr>
    </w:tbl>
    <w:p w:rsidR="00B3369E" w:rsidRPr="00B3369E" w:rsidRDefault="00B3369E" w:rsidP="00B3369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 xml:space="preserve">     </w:t>
      </w:r>
    </w:p>
    <w:p w:rsidR="00B3369E" w:rsidRPr="00B3369E" w:rsidRDefault="00B3369E" w:rsidP="00B3369E">
      <w:pPr>
        <w:pStyle w:val="Tables"/>
      </w:pPr>
      <w:bookmarkStart w:id="106" w:name="_Toc6620246"/>
      <w:r w:rsidRPr="00B3369E">
        <w:t xml:space="preserve">Table 3: </w:t>
      </w:r>
      <w:r w:rsidR="00276A72">
        <w:fldChar w:fldCharType="begin"/>
      </w:r>
      <w:r w:rsidR="002324C7">
        <w:instrText xml:space="preserve"> SEQ Table_2: \* ARABIC </w:instrText>
      </w:r>
      <w:r w:rsidR="00276A72">
        <w:fldChar w:fldCharType="separate"/>
      </w:r>
      <w:r w:rsidRPr="00B3369E">
        <w:rPr>
          <w:noProof/>
        </w:rPr>
        <w:t>5</w:t>
      </w:r>
      <w:r w:rsidR="00276A72">
        <w:rPr>
          <w:noProof/>
        </w:rPr>
        <w:fldChar w:fldCharType="end"/>
      </w:r>
      <w:r w:rsidRPr="00B3369E">
        <w:t xml:space="preserve"> Shareholders holding ten percent more shares</w:t>
      </w:r>
      <w:bookmarkEnd w:id="106"/>
    </w:p>
    <w:tbl>
      <w:tblPr>
        <w:tblStyle w:val="TableGrid"/>
        <w:tblW w:w="5000" w:type="pct"/>
        <w:tblLook w:val="04A0"/>
      </w:tblPr>
      <w:tblGrid>
        <w:gridCol w:w="1007"/>
        <w:gridCol w:w="4141"/>
        <w:gridCol w:w="4095"/>
      </w:tblGrid>
      <w:tr w:rsidR="00B3369E" w:rsidRPr="00B3369E" w:rsidTr="004838D2">
        <w:tc>
          <w:tcPr>
            <w:tcW w:w="545"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Sl. No.</w:t>
            </w:r>
          </w:p>
        </w:tc>
        <w:tc>
          <w:tcPr>
            <w:tcW w:w="2240"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Name of the Shareholders</w:t>
            </w:r>
          </w:p>
        </w:tc>
        <w:tc>
          <w:tcPr>
            <w:tcW w:w="2215"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eastAsia="Klavika-Bold" w:hAnsi="Times New Roman" w:cs="Times New Roman"/>
                <w:b/>
                <w:bCs/>
                <w:sz w:val="24"/>
                <w:szCs w:val="24"/>
              </w:rPr>
              <w:t>No. of shares as of 31 December 2017</w:t>
            </w:r>
          </w:p>
        </w:tc>
      </w:tr>
      <w:tr w:rsidR="00B3369E" w:rsidRPr="00B3369E" w:rsidTr="004838D2">
        <w:tc>
          <w:tcPr>
            <w:tcW w:w="545"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01.</w:t>
            </w:r>
          </w:p>
        </w:tc>
        <w:tc>
          <w:tcPr>
            <w:tcW w:w="2240"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eastAsia="Klavika-Light" w:hAnsi="Times New Roman" w:cs="Times New Roman"/>
                <w:b/>
                <w:bCs/>
                <w:sz w:val="24"/>
                <w:szCs w:val="24"/>
              </w:rPr>
              <w:t xml:space="preserve">Mr. Mohammed </w:t>
            </w:r>
            <w:proofErr w:type="spellStart"/>
            <w:r w:rsidRPr="00B3369E">
              <w:rPr>
                <w:rFonts w:ascii="Times New Roman" w:eastAsia="Klavika-Light" w:hAnsi="Times New Roman" w:cs="Times New Roman"/>
                <w:b/>
                <w:bCs/>
                <w:sz w:val="24"/>
                <w:szCs w:val="24"/>
              </w:rPr>
              <w:t>Sahabuddin</w:t>
            </w:r>
            <w:proofErr w:type="spellEnd"/>
            <w:r w:rsidRPr="00B3369E">
              <w:rPr>
                <w:rFonts w:ascii="Times New Roman" w:eastAsia="Klavika-Light" w:hAnsi="Times New Roman" w:cs="Times New Roman"/>
                <w:b/>
                <w:bCs/>
                <w:sz w:val="24"/>
                <w:szCs w:val="24"/>
              </w:rPr>
              <w:t xml:space="preserve"> Ahmed</w:t>
            </w:r>
          </w:p>
        </w:tc>
        <w:tc>
          <w:tcPr>
            <w:tcW w:w="2215"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eastAsia="Klavika-Light" w:hAnsi="Times New Roman" w:cs="Times New Roman"/>
                <w:b/>
                <w:bCs/>
                <w:sz w:val="24"/>
                <w:szCs w:val="24"/>
              </w:rPr>
              <w:t>44,424,650 shares = 22.21%</w:t>
            </w:r>
          </w:p>
        </w:tc>
      </w:tr>
      <w:tr w:rsidR="00B3369E" w:rsidRPr="00B3369E" w:rsidTr="004838D2">
        <w:tc>
          <w:tcPr>
            <w:tcW w:w="545"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02.</w:t>
            </w:r>
          </w:p>
        </w:tc>
        <w:tc>
          <w:tcPr>
            <w:tcW w:w="2240"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eastAsia="Klavika-Light" w:hAnsi="Times New Roman" w:cs="Times New Roman"/>
                <w:b/>
                <w:bCs/>
                <w:sz w:val="24"/>
                <w:szCs w:val="24"/>
              </w:rPr>
              <w:t xml:space="preserve">Mr. Md. </w:t>
            </w:r>
            <w:proofErr w:type="spellStart"/>
            <w:r w:rsidRPr="00B3369E">
              <w:rPr>
                <w:rFonts w:ascii="Times New Roman" w:eastAsia="Klavika-Light" w:hAnsi="Times New Roman" w:cs="Times New Roman"/>
                <w:b/>
                <w:bCs/>
                <w:sz w:val="24"/>
                <w:szCs w:val="24"/>
              </w:rPr>
              <w:t>Abdus</w:t>
            </w:r>
            <w:proofErr w:type="spellEnd"/>
            <w:r w:rsidRPr="00B3369E">
              <w:rPr>
                <w:rFonts w:ascii="Times New Roman" w:eastAsia="Klavika-Light" w:hAnsi="Times New Roman" w:cs="Times New Roman"/>
                <w:b/>
                <w:bCs/>
                <w:sz w:val="24"/>
                <w:szCs w:val="24"/>
              </w:rPr>
              <w:t xml:space="preserve"> Salam*</w:t>
            </w:r>
          </w:p>
        </w:tc>
        <w:tc>
          <w:tcPr>
            <w:tcW w:w="2215"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eastAsia="Klavika-Light" w:hAnsi="Times New Roman" w:cs="Times New Roman"/>
                <w:b/>
                <w:bCs/>
                <w:sz w:val="24"/>
                <w:szCs w:val="24"/>
              </w:rPr>
              <w:t>29,763,330 shares = 14.88%</w:t>
            </w:r>
          </w:p>
        </w:tc>
      </w:tr>
      <w:tr w:rsidR="00B3369E" w:rsidRPr="00B3369E" w:rsidTr="004838D2">
        <w:tc>
          <w:tcPr>
            <w:tcW w:w="545"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03.</w:t>
            </w:r>
          </w:p>
        </w:tc>
        <w:tc>
          <w:tcPr>
            <w:tcW w:w="2240"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eastAsia="Klavika-Light" w:hAnsi="Times New Roman" w:cs="Times New Roman"/>
                <w:b/>
                <w:bCs/>
                <w:sz w:val="24"/>
                <w:szCs w:val="24"/>
              </w:rPr>
              <w:t xml:space="preserve">M/s. </w:t>
            </w:r>
            <w:proofErr w:type="spellStart"/>
            <w:r w:rsidRPr="00B3369E">
              <w:rPr>
                <w:rFonts w:ascii="Times New Roman" w:eastAsia="Klavika-Light" w:hAnsi="Times New Roman" w:cs="Times New Roman"/>
                <w:b/>
                <w:bCs/>
                <w:sz w:val="24"/>
                <w:szCs w:val="24"/>
              </w:rPr>
              <w:t>Ecotrim</w:t>
            </w:r>
            <w:proofErr w:type="spellEnd"/>
            <w:r w:rsidRPr="00B3369E">
              <w:rPr>
                <w:rFonts w:ascii="Times New Roman" w:eastAsia="Klavika-Light" w:hAnsi="Times New Roman" w:cs="Times New Roman"/>
                <w:b/>
                <w:bCs/>
                <w:sz w:val="24"/>
                <w:szCs w:val="24"/>
              </w:rPr>
              <w:t xml:space="preserve"> Hong Kong Limited</w:t>
            </w:r>
          </w:p>
        </w:tc>
        <w:tc>
          <w:tcPr>
            <w:tcW w:w="2215" w:type="pct"/>
            <w:shd w:val="clear" w:color="auto" w:fill="auto"/>
          </w:tcPr>
          <w:p w:rsidR="00B3369E" w:rsidRPr="00B3369E" w:rsidRDefault="00B3369E" w:rsidP="004838D2">
            <w:pPr>
              <w:pStyle w:val="NoSpacing"/>
              <w:rPr>
                <w:rFonts w:ascii="Times New Roman" w:hAnsi="Times New Roman" w:cs="Times New Roman"/>
                <w:b/>
                <w:bCs/>
                <w:sz w:val="24"/>
                <w:szCs w:val="24"/>
              </w:rPr>
            </w:pPr>
            <w:r w:rsidRPr="00B3369E">
              <w:rPr>
                <w:rFonts w:ascii="Times New Roman" w:eastAsia="Klavika-Light" w:hAnsi="Times New Roman" w:cs="Times New Roman"/>
                <w:b/>
                <w:bCs/>
                <w:sz w:val="24"/>
                <w:szCs w:val="24"/>
              </w:rPr>
              <w:t>49,471,880 shares = 24.74%</w:t>
            </w:r>
          </w:p>
        </w:tc>
      </w:tr>
    </w:tbl>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both"/>
        <w:rPr>
          <w:rFonts w:ascii="Times New Roman" w:hAnsi="Times New Roman" w:cs="Times New Roman"/>
          <w:b/>
          <w:bCs/>
          <w:color w:val="212121"/>
          <w:sz w:val="24"/>
          <w:szCs w:val="24"/>
          <w:u w:val="single"/>
        </w:rPr>
      </w:pPr>
    </w:p>
    <w:p w:rsidR="00B3369E" w:rsidRPr="00B3369E" w:rsidRDefault="00B3369E" w:rsidP="00B3369E">
      <w:pPr>
        <w:pStyle w:val="Tables"/>
      </w:pPr>
      <w:bookmarkStart w:id="107" w:name="_Toc6620247"/>
      <w:r w:rsidRPr="00B3369E">
        <w:t xml:space="preserve">Table 3: </w:t>
      </w:r>
      <w:r w:rsidR="00276A72">
        <w:fldChar w:fldCharType="begin"/>
      </w:r>
      <w:r w:rsidR="002324C7">
        <w:instrText xml:space="preserve"> SEQ Table_2: \* ARABIC </w:instrText>
      </w:r>
      <w:r w:rsidR="00276A72">
        <w:fldChar w:fldCharType="separate"/>
      </w:r>
      <w:r w:rsidRPr="00B3369E">
        <w:rPr>
          <w:noProof/>
        </w:rPr>
        <w:t>6</w:t>
      </w:r>
      <w:r w:rsidR="00276A72">
        <w:rPr>
          <w:noProof/>
        </w:rPr>
        <w:fldChar w:fldCharType="end"/>
      </w:r>
      <w:r w:rsidRPr="00B3369E">
        <w:t xml:space="preserve"> Result of Operation</w:t>
      </w:r>
      <w:bookmarkEnd w:id="107"/>
    </w:p>
    <w:tbl>
      <w:tblPr>
        <w:tblStyle w:val="TableGrid"/>
        <w:tblW w:w="5000" w:type="pct"/>
        <w:jc w:val="center"/>
        <w:tblLook w:val="04A0"/>
      </w:tblPr>
      <w:tblGrid>
        <w:gridCol w:w="1472"/>
        <w:gridCol w:w="866"/>
        <w:gridCol w:w="866"/>
        <w:gridCol w:w="1435"/>
        <w:gridCol w:w="866"/>
        <w:gridCol w:w="1436"/>
        <w:gridCol w:w="866"/>
        <w:gridCol w:w="1436"/>
      </w:tblGrid>
      <w:tr w:rsidR="00B3369E" w:rsidRPr="00B3369E" w:rsidTr="004838D2">
        <w:trPr>
          <w:trHeight w:val="566"/>
          <w:jc w:val="center"/>
        </w:trPr>
        <w:tc>
          <w:tcPr>
            <w:tcW w:w="796"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Particular</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2017</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2016</w:t>
            </w:r>
          </w:p>
        </w:tc>
        <w:tc>
          <w:tcPr>
            <w:tcW w:w="776"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2017-2016 Growth%</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2015</w:t>
            </w:r>
          </w:p>
        </w:tc>
        <w:tc>
          <w:tcPr>
            <w:tcW w:w="777"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2016-2015 Growth%</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2014</w:t>
            </w:r>
          </w:p>
        </w:tc>
        <w:tc>
          <w:tcPr>
            <w:tcW w:w="777"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2015-2014 Growth%</w:t>
            </w:r>
          </w:p>
        </w:tc>
      </w:tr>
      <w:tr w:rsidR="00B3369E" w:rsidRPr="00B3369E" w:rsidTr="004838D2">
        <w:trPr>
          <w:trHeight w:val="228"/>
          <w:jc w:val="center"/>
        </w:trPr>
        <w:tc>
          <w:tcPr>
            <w:tcW w:w="79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revenue</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23550.5</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21613.3</w:t>
            </w:r>
          </w:p>
        </w:tc>
        <w:tc>
          <w:tcPr>
            <w:tcW w:w="776"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10.4%</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21849.0</w:t>
            </w:r>
          </w:p>
        </w:tc>
        <w:tc>
          <w:tcPr>
            <w:tcW w:w="777"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-1.1%</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20741.8</w:t>
            </w:r>
          </w:p>
        </w:tc>
        <w:tc>
          <w:tcPr>
            <w:tcW w:w="777" w:type="pct"/>
            <w:shd w:val="clear" w:color="auto" w:fill="auto"/>
          </w:tcPr>
          <w:p w:rsidR="00B3369E" w:rsidRPr="00B3369E" w:rsidRDefault="00B3369E" w:rsidP="004838D2">
            <w:pPr>
              <w:tabs>
                <w:tab w:val="left" w:pos="1260"/>
              </w:tabs>
              <w:spacing w:line="276" w:lineRule="auto"/>
              <w:jc w:val="center"/>
              <w:rPr>
                <w:rFonts w:ascii="Times New Roman" w:eastAsia="Klavika-Regular" w:hAnsi="Times New Roman" w:cs="Times New Roman"/>
                <w:b/>
                <w:bCs/>
                <w:sz w:val="20"/>
                <w:szCs w:val="20"/>
              </w:rPr>
            </w:pPr>
            <w:r w:rsidRPr="00B3369E">
              <w:rPr>
                <w:rFonts w:ascii="Times New Roman" w:eastAsia="Klavika-Regular" w:hAnsi="Times New Roman" w:cs="Times New Roman"/>
                <w:b/>
                <w:bCs/>
                <w:sz w:val="20"/>
                <w:szCs w:val="20"/>
              </w:rPr>
              <w:t>5.3%</w:t>
            </w:r>
          </w:p>
        </w:tc>
      </w:tr>
      <w:tr w:rsidR="00B3369E" w:rsidRPr="00B3369E" w:rsidTr="004838D2">
        <w:trPr>
          <w:trHeight w:val="242"/>
          <w:jc w:val="center"/>
        </w:trPr>
        <w:tc>
          <w:tcPr>
            <w:tcW w:w="79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Operating profit</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5683.5</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5521.8</w:t>
            </w:r>
          </w:p>
        </w:tc>
        <w:tc>
          <w:tcPr>
            <w:tcW w:w="776" w:type="pct"/>
            <w:shd w:val="clear" w:color="auto" w:fill="auto"/>
          </w:tcPr>
          <w:p w:rsidR="00B3369E" w:rsidRPr="00B3369E" w:rsidRDefault="00B3369E" w:rsidP="004838D2">
            <w:pPr>
              <w:tabs>
                <w:tab w:val="left" w:pos="208"/>
                <w:tab w:val="center" w:pos="927"/>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2.9%</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6433.9</w:t>
            </w:r>
          </w:p>
        </w:tc>
        <w:tc>
          <w:tcPr>
            <w:tcW w:w="777"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-14.2%</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5324.4</w:t>
            </w:r>
          </w:p>
        </w:tc>
        <w:tc>
          <w:tcPr>
            <w:tcW w:w="777" w:type="pct"/>
            <w:shd w:val="clear" w:color="auto" w:fill="auto"/>
          </w:tcPr>
          <w:p w:rsidR="00B3369E" w:rsidRPr="00B3369E" w:rsidRDefault="00B3369E" w:rsidP="004838D2">
            <w:pPr>
              <w:tabs>
                <w:tab w:val="left" w:pos="1260"/>
              </w:tabs>
              <w:spacing w:line="276" w:lineRule="auto"/>
              <w:jc w:val="center"/>
              <w:rPr>
                <w:rFonts w:ascii="Times New Roman" w:eastAsia="Klavika-Regular" w:hAnsi="Times New Roman" w:cs="Times New Roman"/>
                <w:b/>
                <w:bCs/>
                <w:sz w:val="20"/>
                <w:szCs w:val="20"/>
              </w:rPr>
            </w:pPr>
            <w:r w:rsidRPr="00B3369E">
              <w:rPr>
                <w:rFonts w:ascii="Times New Roman" w:eastAsia="Klavika-Regular" w:hAnsi="Times New Roman" w:cs="Times New Roman"/>
                <w:b/>
                <w:bCs/>
                <w:sz w:val="20"/>
                <w:szCs w:val="20"/>
              </w:rPr>
              <w:t>20.8%</w:t>
            </w:r>
          </w:p>
        </w:tc>
      </w:tr>
      <w:tr w:rsidR="00B3369E" w:rsidRPr="00B3369E" w:rsidTr="004838D2">
        <w:trPr>
          <w:trHeight w:val="470"/>
          <w:jc w:val="center"/>
        </w:trPr>
        <w:tc>
          <w:tcPr>
            <w:tcW w:w="79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Profit before taxation</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5293.3</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3234.0</w:t>
            </w:r>
          </w:p>
        </w:tc>
        <w:tc>
          <w:tcPr>
            <w:tcW w:w="776"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63.7%</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6267.3</w:t>
            </w:r>
          </w:p>
        </w:tc>
        <w:tc>
          <w:tcPr>
            <w:tcW w:w="777"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-48.4%</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4518.8</w:t>
            </w:r>
          </w:p>
        </w:tc>
        <w:tc>
          <w:tcPr>
            <w:tcW w:w="777" w:type="pct"/>
            <w:shd w:val="clear" w:color="auto" w:fill="auto"/>
          </w:tcPr>
          <w:p w:rsidR="00B3369E" w:rsidRPr="00B3369E" w:rsidRDefault="00B3369E" w:rsidP="004838D2">
            <w:pPr>
              <w:tabs>
                <w:tab w:val="left" w:pos="1260"/>
              </w:tabs>
              <w:spacing w:line="276" w:lineRule="auto"/>
              <w:jc w:val="center"/>
              <w:rPr>
                <w:rFonts w:ascii="Times New Roman" w:eastAsia="Klavika-Regular" w:hAnsi="Times New Roman" w:cs="Times New Roman"/>
                <w:b/>
                <w:bCs/>
                <w:sz w:val="20"/>
                <w:szCs w:val="20"/>
              </w:rPr>
            </w:pPr>
            <w:r w:rsidRPr="00B3369E">
              <w:rPr>
                <w:rFonts w:ascii="Times New Roman" w:eastAsia="Klavika-Regular" w:hAnsi="Times New Roman" w:cs="Times New Roman"/>
                <w:b/>
                <w:bCs/>
                <w:sz w:val="20"/>
                <w:szCs w:val="20"/>
              </w:rPr>
              <w:t>38.7%</w:t>
            </w:r>
          </w:p>
        </w:tc>
      </w:tr>
      <w:tr w:rsidR="00B3369E" w:rsidRPr="00B3369E" w:rsidTr="004838D2">
        <w:trPr>
          <w:trHeight w:val="484"/>
          <w:jc w:val="center"/>
        </w:trPr>
        <w:tc>
          <w:tcPr>
            <w:tcW w:w="796" w:type="pct"/>
            <w:shd w:val="clear" w:color="auto" w:fill="auto"/>
          </w:tcPr>
          <w:p w:rsidR="00B3369E" w:rsidRPr="00B3369E" w:rsidRDefault="00B3369E" w:rsidP="004838D2">
            <w:pPr>
              <w:tabs>
                <w:tab w:val="left" w:pos="90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Profit after taxation</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2455.2</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1762.6</w:t>
            </w:r>
          </w:p>
        </w:tc>
        <w:tc>
          <w:tcPr>
            <w:tcW w:w="776"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38.3%</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3020.3</w:t>
            </w:r>
          </w:p>
        </w:tc>
        <w:tc>
          <w:tcPr>
            <w:tcW w:w="777"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-41.6%</w:t>
            </w:r>
          </w:p>
        </w:tc>
        <w:tc>
          <w:tcPr>
            <w:tcW w:w="468"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2206.6</w:t>
            </w:r>
          </w:p>
        </w:tc>
        <w:tc>
          <w:tcPr>
            <w:tcW w:w="777" w:type="pct"/>
            <w:shd w:val="clear" w:color="auto" w:fill="auto"/>
          </w:tcPr>
          <w:p w:rsidR="00B3369E" w:rsidRPr="00B3369E" w:rsidRDefault="00B3369E" w:rsidP="004838D2">
            <w:pPr>
              <w:tabs>
                <w:tab w:val="left" w:pos="1260"/>
              </w:tabs>
              <w:spacing w:line="276" w:lineRule="auto"/>
              <w:jc w:val="center"/>
              <w:rPr>
                <w:rFonts w:ascii="Times New Roman" w:eastAsia="Klavika-Regular" w:hAnsi="Times New Roman" w:cs="Times New Roman"/>
                <w:b/>
                <w:bCs/>
                <w:sz w:val="20"/>
                <w:szCs w:val="20"/>
              </w:rPr>
            </w:pPr>
            <w:r w:rsidRPr="00B3369E">
              <w:rPr>
                <w:rFonts w:ascii="Times New Roman" w:eastAsia="Klavika-Regular" w:hAnsi="Times New Roman" w:cs="Times New Roman"/>
                <w:b/>
                <w:bCs/>
                <w:sz w:val="20"/>
                <w:szCs w:val="20"/>
              </w:rPr>
              <w:t>36.9%</w:t>
            </w:r>
          </w:p>
        </w:tc>
      </w:tr>
    </w:tbl>
    <w:p w:rsidR="00B3369E" w:rsidRPr="00B3369E" w:rsidRDefault="00B3369E" w:rsidP="00B3369E">
      <w:pPr>
        <w:pStyle w:val="NoSpacing"/>
        <w:spacing w:line="276" w:lineRule="auto"/>
        <w:rPr>
          <w:rFonts w:ascii="Times New Roman" w:hAnsi="Times New Roman" w:cs="Times New Roman"/>
        </w:rPr>
      </w:pPr>
    </w:p>
    <w:p w:rsidR="00B3369E" w:rsidRPr="00B3369E" w:rsidRDefault="00B3369E" w:rsidP="00B3369E">
      <w:pPr>
        <w:pStyle w:val="Tables"/>
      </w:pPr>
      <w:bookmarkStart w:id="108" w:name="_Toc6620248"/>
      <w:r w:rsidRPr="00B3369E">
        <w:t xml:space="preserve">Table 3: </w:t>
      </w:r>
      <w:r w:rsidR="00276A72">
        <w:fldChar w:fldCharType="begin"/>
      </w:r>
      <w:r w:rsidR="002324C7">
        <w:instrText xml:space="preserve"> SEQ Table_2: \* ARABIC </w:instrText>
      </w:r>
      <w:r w:rsidR="00276A72">
        <w:fldChar w:fldCharType="separate"/>
      </w:r>
      <w:r w:rsidRPr="00B3369E">
        <w:rPr>
          <w:noProof/>
        </w:rPr>
        <w:t>7</w:t>
      </w:r>
      <w:r w:rsidR="00276A72">
        <w:rPr>
          <w:noProof/>
        </w:rPr>
        <w:fldChar w:fldCharType="end"/>
      </w:r>
      <w:r w:rsidRPr="00B3369E">
        <w:t xml:space="preserve"> Financial Positions</w:t>
      </w:r>
      <w:bookmarkEnd w:id="108"/>
    </w:p>
    <w:tbl>
      <w:tblPr>
        <w:tblStyle w:val="TableGrid"/>
        <w:tblW w:w="5000" w:type="pct"/>
        <w:jc w:val="center"/>
        <w:tblLook w:val="04A0"/>
      </w:tblPr>
      <w:tblGrid>
        <w:gridCol w:w="1583"/>
        <w:gridCol w:w="967"/>
        <w:gridCol w:w="967"/>
        <w:gridCol w:w="1264"/>
        <w:gridCol w:w="967"/>
        <w:gridCol w:w="1264"/>
        <w:gridCol w:w="967"/>
        <w:gridCol w:w="1264"/>
      </w:tblGrid>
      <w:tr w:rsidR="00B3369E" w:rsidRPr="00B3369E" w:rsidTr="004838D2">
        <w:trPr>
          <w:trHeight w:val="458"/>
          <w:jc w:val="center"/>
        </w:trPr>
        <w:tc>
          <w:tcPr>
            <w:tcW w:w="85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Bold" w:hAnsi="Times New Roman" w:cs="Times New Roman"/>
                <w:b/>
                <w:bCs/>
                <w:sz w:val="20"/>
                <w:szCs w:val="20"/>
              </w:rPr>
              <w:t>Particulars</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2017</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2016</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2017-2016 Growth%</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2015</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2016-2015 Growth%</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2014</w:t>
            </w:r>
          </w:p>
        </w:tc>
        <w:tc>
          <w:tcPr>
            <w:tcW w:w="685"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2015-2014 Growth%</w:t>
            </w:r>
          </w:p>
        </w:tc>
      </w:tr>
      <w:tr w:rsidR="00B3369E" w:rsidRPr="00B3369E" w:rsidTr="004838D2">
        <w:trPr>
          <w:trHeight w:val="235"/>
          <w:jc w:val="center"/>
        </w:trPr>
        <w:tc>
          <w:tcPr>
            <w:tcW w:w="85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assets</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311906.8</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264797.4</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17.8%</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244057.6</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13.4%</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215993.5</w:t>
            </w:r>
          </w:p>
        </w:tc>
        <w:tc>
          <w:tcPr>
            <w:tcW w:w="685"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13.0%</w:t>
            </w:r>
          </w:p>
        </w:tc>
      </w:tr>
      <w:tr w:rsidR="00B3369E" w:rsidRPr="00B3369E" w:rsidTr="004838D2">
        <w:trPr>
          <w:trHeight w:val="258"/>
          <w:jc w:val="center"/>
        </w:trPr>
        <w:tc>
          <w:tcPr>
            <w:tcW w:w="85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risk weighted assets</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180130.6</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162165.3</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11.1%</w:t>
            </w:r>
          </w:p>
        </w:tc>
        <w:tc>
          <w:tcPr>
            <w:tcW w:w="523" w:type="pct"/>
            <w:shd w:val="clear" w:color="auto" w:fill="auto"/>
          </w:tcPr>
          <w:p w:rsidR="00B3369E" w:rsidRPr="00B3369E" w:rsidRDefault="00B3369E" w:rsidP="004838D2">
            <w:pPr>
              <w:tabs>
                <w:tab w:val="left" w:pos="678"/>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154548.6</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4.9%</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130709.5</w:t>
            </w:r>
          </w:p>
        </w:tc>
        <w:tc>
          <w:tcPr>
            <w:tcW w:w="685"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18.2%</w:t>
            </w:r>
          </w:p>
        </w:tc>
      </w:tr>
      <w:tr w:rsidR="00B3369E" w:rsidRPr="00B3369E" w:rsidTr="004838D2">
        <w:trPr>
          <w:trHeight w:val="258"/>
          <w:jc w:val="center"/>
        </w:trPr>
        <w:tc>
          <w:tcPr>
            <w:tcW w:w="856" w:type="pct"/>
            <w:shd w:val="clear" w:color="auto" w:fill="auto"/>
          </w:tcPr>
          <w:p w:rsidR="00B3369E" w:rsidRPr="00B3369E" w:rsidRDefault="00B3369E" w:rsidP="004838D2">
            <w:pPr>
              <w:tabs>
                <w:tab w:val="left" w:pos="72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loans and advances</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207257.4</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173397.8</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19.5%</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152270.0</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13.9%</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124423.0</w:t>
            </w:r>
          </w:p>
        </w:tc>
        <w:tc>
          <w:tcPr>
            <w:tcW w:w="685"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22.4%</w:t>
            </w:r>
          </w:p>
        </w:tc>
      </w:tr>
      <w:tr w:rsidR="00B3369E" w:rsidRPr="00B3369E" w:rsidTr="004838D2">
        <w:trPr>
          <w:trHeight w:val="69"/>
          <w:jc w:val="center"/>
        </w:trPr>
        <w:tc>
          <w:tcPr>
            <w:tcW w:w="85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deposits</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233796.4</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207234.0</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12.8%</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186765.0</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11.0%</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166762.3</w:t>
            </w:r>
          </w:p>
        </w:tc>
        <w:tc>
          <w:tcPr>
            <w:tcW w:w="685"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12.0%</w:t>
            </w:r>
          </w:p>
        </w:tc>
      </w:tr>
      <w:tr w:rsidR="00B3369E" w:rsidRPr="00B3369E" w:rsidTr="004838D2">
        <w:trPr>
          <w:trHeight w:val="196"/>
          <w:jc w:val="center"/>
        </w:trPr>
        <w:tc>
          <w:tcPr>
            <w:tcW w:w="85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import business</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151979.3</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135113.4</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12.5%</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135047.1</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-0.2%</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123391.9</w:t>
            </w:r>
          </w:p>
        </w:tc>
        <w:tc>
          <w:tcPr>
            <w:tcW w:w="685"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9.4%</w:t>
            </w:r>
          </w:p>
        </w:tc>
      </w:tr>
      <w:tr w:rsidR="00B3369E" w:rsidRPr="00B3369E" w:rsidTr="004838D2">
        <w:trPr>
          <w:trHeight w:val="142"/>
          <w:jc w:val="center"/>
        </w:trPr>
        <w:tc>
          <w:tcPr>
            <w:tcW w:w="85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export business</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144931.8</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132505.5</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9.4%</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135047.1</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3.2%</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117777.3</w:t>
            </w:r>
          </w:p>
        </w:tc>
        <w:tc>
          <w:tcPr>
            <w:tcW w:w="685"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10.3%</w:t>
            </w:r>
          </w:p>
        </w:tc>
      </w:tr>
      <w:tr w:rsidR="00B3369E" w:rsidRPr="00B3369E" w:rsidTr="004838D2">
        <w:trPr>
          <w:trHeight w:val="258"/>
          <w:jc w:val="center"/>
        </w:trPr>
        <w:tc>
          <w:tcPr>
            <w:tcW w:w="85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shareholders’ fund</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19482.2</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17672.7</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10.2%</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16754.3</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5.4%</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14517.4</w:t>
            </w:r>
          </w:p>
        </w:tc>
        <w:tc>
          <w:tcPr>
            <w:tcW w:w="685"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15.4%</w:t>
            </w:r>
          </w:p>
        </w:tc>
      </w:tr>
      <w:tr w:rsidR="00B3369E" w:rsidRPr="00B3369E" w:rsidTr="004838D2">
        <w:trPr>
          <w:trHeight w:val="222"/>
          <w:jc w:val="center"/>
        </w:trPr>
        <w:tc>
          <w:tcPr>
            <w:tcW w:w="85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capital</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26106.7</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21178.8</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23.3%</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21137.6</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0.5%</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18077.9</w:t>
            </w:r>
          </w:p>
        </w:tc>
        <w:tc>
          <w:tcPr>
            <w:tcW w:w="685"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16.9%</w:t>
            </w:r>
          </w:p>
        </w:tc>
      </w:tr>
      <w:tr w:rsidR="00B3369E" w:rsidRPr="00B3369E" w:rsidTr="004838D2">
        <w:trPr>
          <w:trHeight w:val="196"/>
          <w:jc w:val="center"/>
        </w:trPr>
        <w:tc>
          <w:tcPr>
            <w:tcW w:w="856" w:type="pc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Market capitalization</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30620.0</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23340.0</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31.2%</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21520.0</w:t>
            </w:r>
          </w:p>
        </w:tc>
        <w:tc>
          <w:tcPr>
            <w:tcW w:w="68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8.5%</w:t>
            </w:r>
          </w:p>
        </w:tc>
        <w:tc>
          <w:tcPr>
            <w:tcW w:w="523"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21160.0</w:t>
            </w:r>
          </w:p>
        </w:tc>
        <w:tc>
          <w:tcPr>
            <w:tcW w:w="685"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16"/>
                <w:szCs w:val="16"/>
              </w:rPr>
              <w:t>1.7%</w:t>
            </w:r>
          </w:p>
        </w:tc>
      </w:tr>
    </w:tbl>
    <w:p w:rsidR="00B3369E" w:rsidRPr="00B3369E" w:rsidRDefault="00B3369E" w:rsidP="00B3369E">
      <w:pPr>
        <w:pStyle w:val="NoSpacing"/>
        <w:spacing w:line="276" w:lineRule="auto"/>
        <w:rPr>
          <w:rFonts w:ascii="Times New Roman" w:hAnsi="Times New Roman" w:cs="Times New Roman"/>
          <w:sz w:val="28"/>
        </w:rPr>
      </w:pPr>
    </w:p>
    <w:p w:rsidR="00B3369E" w:rsidRPr="00B3369E" w:rsidRDefault="00B3369E" w:rsidP="00B3369E">
      <w:pPr>
        <w:pStyle w:val="NoSpacing"/>
        <w:spacing w:line="276" w:lineRule="auto"/>
        <w:rPr>
          <w:rFonts w:ascii="Times New Roman" w:hAnsi="Times New Roman" w:cs="Times New Roman"/>
          <w:b/>
          <w:bCs/>
          <w:sz w:val="20"/>
          <w:szCs w:val="20"/>
        </w:rPr>
      </w:pPr>
    </w:p>
    <w:p w:rsidR="00B3369E" w:rsidRPr="00B3369E" w:rsidRDefault="00B3369E" w:rsidP="00B3369E">
      <w:pPr>
        <w:pStyle w:val="NoSpacing"/>
        <w:spacing w:line="276" w:lineRule="auto"/>
        <w:rPr>
          <w:rFonts w:ascii="Times New Roman" w:hAnsi="Times New Roman" w:cs="Times New Roman"/>
          <w:b/>
          <w:bCs/>
          <w:sz w:val="20"/>
          <w:szCs w:val="20"/>
        </w:rPr>
      </w:pPr>
    </w:p>
    <w:p w:rsidR="00B3369E" w:rsidRPr="00B3369E" w:rsidRDefault="00B3369E" w:rsidP="00B3369E">
      <w:pPr>
        <w:pStyle w:val="Tables"/>
      </w:pPr>
      <w:bookmarkStart w:id="109" w:name="_Toc6620249"/>
      <w:r w:rsidRPr="00B3369E">
        <w:t xml:space="preserve">Table 3: </w:t>
      </w:r>
      <w:r w:rsidR="00276A72">
        <w:fldChar w:fldCharType="begin"/>
      </w:r>
      <w:r w:rsidR="002324C7">
        <w:instrText xml:space="preserve"> SEQ Table_2: \* ARABIC </w:instrText>
      </w:r>
      <w:r w:rsidR="00276A72">
        <w:fldChar w:fldCharType="separate"/>
      </w:r>
      <w:r w:rsidRPr="00B3369E">
        <w:rPr>
          <w:noProof/>
        </w:rPr>
        <w:t>8</w:t>
      </w:r>
      <w:r w:rsidR="00276A72">
        <w:rPr>
          <w:noProof/>
        </w:rPr>
        <w:fldChar w:fldCharType="end"/>
      </w:r>
      <w:r w:rsidRPr="00B3369E">
        <w:t xml:space="preserve"> Four Years Highlights of DBBL Shares</w:t>
      </w:r>
      <w:bookmarkEnd w:id="109"/>
    </w:p>
    <w:tbl>
      <w:tblPr>
        <w:tblStyle w:val="TableGrid"/>
        <w:tblW w:w="0" w:type="auto"/>
        <w:jc w:val="center"/>
        <w:tblLook w:val="04A0"/>
      </w:tblPr>
      <w:tblGrid>
        <w:gridCol w:w="985"/>
        <w:gridCol w:w="744"/>
        <w:gridCol w:w="1106"/>
        <w:gridCol w:w="1106"/>
        <w:gridCol w:w="1030"/>
        <w:gridCol w:w="1106"/>
        <w:gridCol w:w="1030"/>
        <w:gridCol w:w="1106"/>
        <w:gridCol w:w="1030"/>
      </w:tblGrid>
      <w:tr w:rsidR="00B3369E" w:rsidRPr="00B3369E" w:rsidTr="004838D2">
        <w:trPr>
          <w:trHeight w:val="167"/>
          <w:jc w:val="center"/>
        </w:trPr>
        <w:tc>
          <w:tcPr>
            <w:tcW w:w="1638" w:type="dxa"/>
            <w:gridSpan w:val="2"/>
            <w:vMerge w:val="restart"/>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Particulars</w:t>
            </w:r>
          </w:p>
        </w:tc>
        <w:tc>
          <w:tcPr>
            <w:tcW w:w="7605" w:type="dxa"/>
            <w:gridSpan w:val="7"/>
            <w:shd w:val="clear" w:color="auto" w:fill="auto"/>
          </w:tcPr>
          <w:p w:rsidR="00B3369E" w:rsidRPr="00B3369E" w:rsidRDefault="00B3369E" w:rsidP="004838D2">
            <w:pPr>
              <w:tabs>
                <w:tab w:val="left" w:pos="1260"/>
              </w:tabs>
              <w:spacing w:line="276" w:lineRule="auto"/>
              <w:jc w:val="center"/>
              <w:rPr>
                <w:rFonts w:ascii="Times New Roman" w:eastAsia="Klavika-Bold" w:hAnsi="Times New Roman" w:cs="Times New Roman"/>
                <w:b/>
                <w:bCs/>
                <w:sz w:val="20"/>
                <w:szCs w:val="20"/>
              </w:rPr>
            </w:pPr>
            <w:r w:rsidRPr="00B3369E">
              <w:rPr>
                <w:rFonts w:ascii="Times New Roman" w:eastAsia="Klavika-Bold" w:hAnsi="Times New Roman" w:cs="Times New Roman"/>
                <w:b/>
                <w:bCs/>
                <w:sz w:val="20"/>
                <w:szCs w:val="20"/>
              </w:rPr>
              <w:t>Period (For the year ended 31 December)ended 31 December)</w:t>
            </w:r>
          </w:p>
        </w:tc>
      </w:tr>
      <w:tr w:rsidR="00B3369E" w:rsidRPr="00B3369E" w:rsidTr="004838D2">
        <w:trPr>
          <w:trHeight w:val="110"/>
          <w:jc w:val="center"/>
        </w:trPr>
        <w:tc>
          <w:tcPr>
            <w:tcW w:w="1638" w:type="dxa"/>
            <w:gridSpan w:val="2"/>
            <w:vMerge/>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p>
        </w:tc>
        <w:tc>
          <w:tcPr>
            <w:tcW w:w="1197" w:type="dxa"/>
            <w:shd w:val="clear" w:color="auto" w:fill="auto"/>
          </w:tcPr>
          <w:p w:rsidR="00B3369E" w:rsidRPr="00B3369E" w:rsidRDefault="00B3369E" w:rsidP="004838D2">
            <w:pPr>
              <w:tabs>
                <w:tab w:val="left" w:pos="1260"/>
              </w:tabs>
              <w:spacing w:line="276" w:lineRule="auto"/>
              <w:jc w:val="center"/>
              <w:rPr>
                <w:rFonts w:ascii="Times New Roman" w:eastAsia="Klavika-Bold" w:hAnsi="Times New Roman" w:cs="Times New Roman"/>
                <w:b/>
                <w:bCs/>
                <w:sz w:val="20"/>
                <w:szCs w:val="20"/>
              </w:rPr>
            </w:pPr>
            <w:r w:rsidRPr="00B3369E">
              <w:rPr>
                <w:rFonts w:ascii="Times New Roman" w:eastAsia="Klavika-Bold" w:hAnsi="Times New Roman" w:cs="Times New Roman"/>
                <w:b/>
                <w:bCs/>
                <w:sz w:val="20"/>
                <w:szCs w:val="20"/>
              </w:rPr>
              <w:t>2017</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eastAsia="Klavika-Bold" w:hAnsi="Times New Roman" w:cs="Times New Roman"/>
                <w:b/>
                <w:bCs/>
                <w:sz w:val="20"/>
                <w:szCs w:val="20"/>
              </w:rPr>
            </w:pPr>
            <w:r w:rsidRPr="00B3369E">
              <w:rPr>
                <w:rFonts w:ascii="Times New Roman" w:eastAsia="Klavika-Bold" w:hAnsi="Times New Roman" w:cs="Times New Roman"/>
                <w:b/>
                <w:bCs/>
                <w:sz w:val="20"/>
                <w:szCs w:val="20"/>
              </w:rPr>
              <w:t>2016</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Bold" w:hAnsi="Times New Roman" w:cs="Times New Roman"/>
                <w:b/>
                <w:bCs/>
                <w:sz w:val="20"/>
                <w:szCs w:val="20"/>
              </w:rPr>
            </w:pPr>
            <w:r w:rsidRPr="00B3369E">
              <w:rPr>
                <w:rFonts w:ascii="Times New Roman" w:eastAsia="Klavika-Bold" w:hAnsi="Times New Roman" w:cs="Times New Roman"/>
                <w:b/>
                <w:bCs/>
                <w:sz w:val="20"/>
                <w:szCs w:val="20"/>
              </w:rPr>
              <w:t>Deviation</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Bold" w:hAnsi="Times New Roman" w:cs="Times New Roman"/>
                <w:b/>
                <w:bCs/>
                <w:sz w:val="20"/>
                <w:szCs w:val="20"/>
              </w:rPr>
            </w:pPr>
            <w:r w:rsidRPr="00B3369E">
              <w:rPr>
                <w:rFonts w:ascii="Times New Roman" w:eastAsia="Klavika-Bold" w:hAnsi="Times New Roman" w:cs="Times New Roman"/>
                <w:b/>
                <w:bCs/>
                <w:sz w:val="20"/>
                <w:szCs w:val="20"/>
              </w:rPr>
              <w:t>2015</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Bold" w:hAnsi="Times New Roman" w:cs="Times New Roman"/>
                <w:b/>
                <w:bCs/>
                <w:sz w:val="20"/>
                <w:szCs w:val="20"/>
              </w:rPr>
            </w:pPr>
            <w:r w:rsidRPr="00B3369E">
              <w:rPr>
                <w:rFonts w:ascii="Times New Roman" w:eastAsia="Klavika-Bold" w:hAnsi="Times New Roman" w:cs="Times New Roman"/>
                <w:b/>
                <w:bCs/>
                <w:sz w:val="20"/>
                <w:szCs w:val="20"/>
              </w:rPr>
              <w:t>Deviation</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Bold" w:hAnsi="Times New Roman" w:cs="Times New Roman"/>
                <w:b/>
                <w:bCs/>
                <w:sz w:val="20"/>
                <w:szCs w:val="20"/>
              </w:rPr>
            </w:pPr>
            <w:r w:rsidRPr="00B3369E">
              <w:rPr>
                <w:rFonts w:ascii="Times New Roman" w:eastAsia="Klavika-Bold" w:hAnsi="Times New Roman" w:cs="Times New Roman"/>
                <w:b/>
                <w:bCs/>
                <w:sz w:val="20"/>
                <w:szCs w:val="20"/>
              </w:rPr>
              <w:t>2014</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Bold" w:hAnsi="Times New Roman" w:cs="Times New Roman"/>
                <w:b/>
                <w:bCs/>
                <w:sz w:val="20"/>
                <w:szCs w:val="20"/>
              </w:rPr>
            </w:pPr>
            <w:r w:rsidRPr="00B3369E">
              <w:rPr>
                <w:rFonts w:ascii="Times New Roman" w:eastAsia="Klavika-Bold" w:hAnsi="Times New Roman" w:cs="Times New Roman"/>
                <w:b/>
                <w:bCs/>
                <w:sz w:val="20"/>
                <w:szCs w:val="20"/>
              </w:rPr>
              <w:t>Deviation</w:t>
            </w:r>
          </w:p>
        </w:tc>
      </w:tr>
      <w:tr w:rsidR="00B3369E" w:rsidRPr="00B3369E" w:rsidTr="004838D2">
        <w:trPr>
          <w:trHeight w:val="146"/>
          <w:jc w:val="center"/>
        </w:trPr>
        <w:tc>
          <w:tcPr>
            <w:tcW w:w="1638" w:type="dxa"/>
            <w:gridSpan w:val="2"/>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Shares outstanding (Numbers)</w:t>
            </w:r>
          </w:p>
        </w:tc>
        <w:tc>
          <w:tcPr>
            <w:tcW w:w="1197"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200000000</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200000000</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200000000</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200000000</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r>
      <w:tr w:rsidR="00B3369E" w:rsidRPr="00B3369E" w:rsidTr="004838D2">
        <w:trPr>
          <w:trHeight w:val="167"/>
          <w:jc w:val="center"/>
        </w:trPr>
        <w:tc>
          <w:tcPr>
            <w:tcW w:w="1638" w:type="dxa"/>
            <w:gridSpan w:val="2"/>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DSE closing price (Taka)</w:t>
            </w:r>
          </w:p>
        </w:tc>
        <w:tc>
          <w:tcPr>
            <w:tcW w:w="1197"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153.1</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116.7</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36.4</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107.6</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Regular" w:hAnsi="Times New Roman" w:cs="Times New Roman"/>
                <w:b/>
                <w:bCs/>
                <w:sz w:val="20"/>
                <w:szCs w:val="20"/>
              </w:rPr>
              <w:t>9.1</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105.8</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Regular" w:hAnsi="Times New Roman" w:cs="Times New Roman"/>
                <w:b/>
                <w:bCs/>
                <w:sz w:val="20"/>
                <w:szCs w:val="20"/>
              </w:rPr>
              <w:t>1.8</w:t>
            </w:r>
          </w:p>
        </w:tc>
      </w:tr>
      <w:tr w:rsidR="00B3369E" w:rsidRPr="00B3369E" w:rsidTr="004838D2">
        <w:trPr>
          <w:trHeight w:val="125"/>
          <w:jc w:val="center"/>
        </w:trPr>
        <w:tc>
          <w:tcPr>
            <w:tcW w:w="1638" w:type="dxa"/>
            <w:gridSpan w:val="2"/>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Earnings per share (Taka)</w:t>
            </w:r>
          </w:p>
        </w:tc>
        <w:tc>
          <w:tcPr>
            <w:tcW w:w="1197"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12.3</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8.9</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3.4</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15.1</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Regular" w:hAnsi="Times New Roman" w:cs="Times New Roman"/>
                <w:b/>
                <w:bCs/>
                <w:sz w:val="20"/>
                <w:szCs w:val="20"/>
              </w:rPr>
              <w:t>(6.3</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11.0</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Regular" w:hAnsi="Times New Roman" w:cs="Times New Roman"/>
                <w:b/>
                <w:bCs/>
                <w:sz w:val="20"/>
                <w:szCs w:val="20"/>
              </w:rPr>
              <w:t>4.1</w:t>
            </w:r>
          </w:p>
        </w:tc>
      </w:tr>
      <w:tr w:rsidR="00B3369E" w:rsidRPr="00B3369E" w:rsidTr="004838D2">
        <w:trPr>
          <w:trHeight w:val="81"/>
          <w:jc w:val="center"/>
        </w:trPr>
        <w:tc>
          <w:tcPr>
            <w:tcW w:w="0" w:type="auto"/>
            <w:vMerge w:val="restart"/>
            <w:shd w:val="clear" w:color="auto" w:fill="auto"/>
          </w:tcPr>
          <w:p w:rsidR="00B3369E" w:rsidRPr="00B3369E" w:rsidRDefault="00B3369E" w:rsidP="004838D2">
            <w:pPr>
              <w:tabs>
                <w:tab w:val="left" w:pos="1260"/>
              </w:tabs>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Dividend per share</w:t>
            </w:r>
          </w:p>
        </w:tc>
        <w:tc>
          <w:tcPr>
            <w:tcW w:w="653" w:type="dxa"/>
            <w:shd w:val="clear" w:color="auto" w:fill="auto"/>
          </w:tcPr>
          <w:p w:rsidR="00B3369E" w:rsidRPr="00B3369E" w:rsidRDefault="00B3369E" w:rsidP="004838D2">
            <w:pPr>
              <w:tabs>
                <w:tab w:val="left" w:pos="1260"/>
              </w:tabs>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Cash</w:t>
            </w:r>
          </w:p>
        </w:tc>
        <w:tc>
          <w:tcPr>
            <w:tcW w:w="1197"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3.0</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3.0</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Regular" w:hAnsi="Times New Roman" w:cs="Times New Roman"/>
                <w:b/>
                <w:bCs/>
                <w:sz w:val="20"/>
                <w:szCs w:val="20"/>
              </w:rPr>
              <w:t>4.0</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Regular" w:hAnsi="Times New Roman" w:cs="Times New Roman"/>
                <w:b/>
                <w:bCs/>
                <w:sz w:val="20"/>
                <w:szCs w:val="20"/>
              </w:rPr>
              <w:t>(1.0)</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Regular" w:hAnsi="Times New Roman" w:cs="Times New Roman"/>
                <w:b/>
                <w:bCs/>
                <w:sz w:val="20"/>
                <w:szCs w:val="20"/>
              </w:rPr>
              <w:t>4.0</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Regular" w:hAnsi="Times New Roman" w:cs="Times New Roman"/>
                <w:b/>
                <w:bCs/>
                <w:sz w:val="20"/>
                <w:szCs w:val="20"/>
              </w:rPr>
              <w:t>0.0</w:t>
            </w:r>
          </w:p>
        </w:tc>
      </w:tr>
      <w:tr w:rsidR="00B3369E" w:rsidRPr="00B3369E" w:rsidTr="004838D2">
        <w:trPr>
          <w:trHeight w:val="81"/>
          <w:jc w:val="center"/>
        </w:trPr>
        <w:tc>
          <w:tcPr>
            <w:tcW w:w="0" w:type="auto"/>
            <w:vMerge/>
            <w:shd w:val="clear" w:color="auto" w:fill="auto"/>
          </w:tcPr>
          <w:p w:rsidR="00B3369E" w:rsidRPr="00B3369E" w:rsidRDefault="00B3369E" w:rsidP="004838D2">
            <w:pPr>
              <w:tabs>
                <w:tab w:val="left" w:pos="1260"/>
              </w:tabs>
              <w:spacing w:line="276" w:lineRule="auto"/>
              <w:rPr>
                <w:rFonts w:ascii="Times New Roman" w:eastAsia="Klavika-Light" w:hAnsi="Times New Roman" w:cs="Times New Roman"/>
                <w:b/>
                <w:bCs/>
                <w:sz w:val="20"/>
                <w:szCs w:val="20"/>
              </w:rPr>
            </w:pPr>
          </w:p>
        </w:tc>
        <w:tc>
          <w:tcPr>
            <w:tcW w:w="653" w:type="dxa"/>
            <w:shd w:val="clear" w:color="auto" w:fill="auto"/>
          </w:tcPr>
          <w:p w:rsidR="00B3369E" w:rsidRPr="00B3369E" w:rsidRDefault="00B3369E" w:rsidP="004838D2">
            <w:pPr>
              <w:tabs>
                <w:tab w:val="left" w:pos="1260"/>
              </w:tabs>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Bonus</w:t>
            </w:r>
          </w:p>
        </w:tc>
        <w:tc>
          <w:tcPr>
            <w:tcW w:w="1197"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r>
      <w:tr w:rsidR="00B3369E" w:rsidRPr="00B3369E" w:rsidTr="004838D2">
        <w:trPr>
          <w:trHeight w:val="286"/>
          <w:jc w:val="center"/>
        </w:trPr>
        <w:tc>
          <w:tcPr>
            <w:tcW w:w="1638" w:type="dxa"/>
            <w:gridSpan w:val="2"/>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Net asset value (NAV) per share (Taka)</w:t>
            </w:r>
          </w:p>
        </w:tc>
        <w:tc>
          <w:tcPr>
            <w:tcW w:w="1197"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97.4</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88.4</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9.0</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83.8</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Regular" w:hAnsi="Times New Roman" w:cs="Times New Roman"/>
                <w:b/>
                <w:bCs/>
                <w:sz w:val="20"/>
                <w:szCs w:val="20"/>
              </w:rPr>
              <w:t>4.5</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72.6</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Regular" w:hAnsi="Times New Roman" w:cs="Times New Roman"/>
                <w:b/>
                <w:bCs/>
                <w:sz w:val="20"/>
                <w:szCs w:val="20"/>
              </w:rPr>
              <w:t>11.2</w:t>
            </w:r>
          </w:p>
        </w:tc>
      </w:tr>
      <w:tr w:rsidR="00B3369E" w:rsidRPr="00B3369E" w:rsidTr="004838D2">
        <w:trPr>
          <w:trHeight w:val="202"/>
          <w:jc w:val="center"/>
        </w:trPr>
        <w:tc>
          <w:tcPr>
            <w:tcW w:w="1638" w:type="dxa"/>
            <w:gridSpan w:val="2"/>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Market price / net asset value (Times)</w:t>
            </w:r>
          </w:p>
        </w:tc>
        <w:tc>
          <w:tcPr>
            <w:tcW w:w="1197"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r>
      <w:tr w:rsidR="00B3369E" w:rsidRPr="00B3369E" w:rsidTr="004838D2">
        <w:trPr>
          <w:trHeight w:val="202"/>
          <w:jc w:val="center"/>
        </w:trPr>
        <w:tc>
          <w:tcPr>
            <w:tcW w:w="1638" w:type="dxa"/>
            <w:gridSpan w:val="2"/>
            <w:shd w:val="clear" w:color="auto" w:fill="auto"/>
          </w:tcPr>
          <w:p w:rsidR="00B3369E" w:rsidRPr="00B3369E" w:rsidRDefault="00B3369E" w:rsidP="004838D2">
            <w:pPr>
              <w:tabs>
                <w:tab w:val="left" w:pos="1260"/>
              </w:tabs>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Price earning (P/E) ratio (Times)</w:t>
            </w:r>
          </w:p>
        </w:tc>
        <w:tc>
          <w:tcPr>
            <w:tcW w:w="1197"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12.5</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13.1</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7.1</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9.6</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p>
        </w:tc>
      </w:tr>
      <w:tr w:rsidR="00B3369E" w:rsidRPr="00B3369E" w:rsidTr="004838D2">
        <w:trPr>
          <w:trHeight w:val="202"/>
          <w:jc w:val="center"/>
        </w:trPr>
        <w:tc>
          <w:tcPr>
            <w:tcW w:w="1638" w:type="dxa"/>
            <w:gridSpan w:val="2"/>
            <w:shd w:val="clear" w:color="auto" w:fill="auto"/>
          </w:tcPr>
          <w:p w:rsidR="00B3369E" w:rsidRPr="00B3369E" w:rsidRDefault="00B3369E" w:rsidP="004838D2">
            <w:pPr>
              <w:tabs>
                <w:tab w:val="left" w:pos="1260"/>
              </w:tabs>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Market capitalization</w:t>
            </w:r>
          </w:p>
        </w:tc>
        <w:tc>
          <w:tcPr>
            <w:tcW w:w="1197"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30620.0</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23340.0</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21520.0</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21160.0</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p>
        </w:tc>
      </w:tr>
      <w:tr w:rsidR="00B3369E" w:rsidRPr="00B3369E" w:rsidTr="004838D2">
        <w:trPr>
          <w:trHeight w:val="202"/>
          <w:jc w:val="center"/>
        </w:trPr>
        <w:tc>
          <w:tcPr>
            <w:tcW w:w="1638" w:type="dxa"/>
            <w:gridSpan w:val="2"/>
            <w:shd w:val="clear" w:color="auto" w:fill="auto"/>
          </w:tcPr>
          <w:p w:rsidR="00B3369E" w:rsidRPr="00B3369E" w:rsidRDefault="00B3369E" w:rsidP="004838D2">
            <w:pPr>
              <w:tabs>
                <w:tab w:val="left" w:pos="1260"/>
              </w:tabs>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Number of shareholders</w:t>
            </w:r>
          </w:p>
        </w:tc>
        <w:tc>
          <w:tcPr>
            <w:tcW w:w="1197"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5045</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3959</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4711</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5951</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p>
        </w:tc>
      </w:tr>
      <w:tr w:rsidR="00B3369E" w:rsidRPr="00B3369E" w:rsidTr="004838D2">
        <w:trPr>
          <w:trHeight w:val="195"/>
          <w:jc w:val="center"/>
        </w:trPr>
        <w:tc>
          <w:tcPr>
            <w:tcW w:w="1638" w:type="dxa"/>
            <w:gridSpan w:val="2"/>
            <w:shd w:val="clear" w:color="auto" w:fill="auto"/>
          </w:tcPr>
          <w:p w:rsidR="00B3369E" w:rsidRPr="00B3369E" w:rsidRDefault="00B3369E" w:rsidP="004838D2">
            <w:pPr>
              <w:tabs>
                <w:tab w:val="left" w:pos="1260"/>
              </w:tabs>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Market capitalization (In million Taka)</w:t>
            </w:r>
          </w:p>
        </w:tc>
        <w:tc>
          <w:tcPr>
            <w:tcW w:w="1197"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30620.0</w:t>
            </w:r>
          </w:p>
        </w:tc>
        <w:tc>
          <w:tcPr>
            <w:tcW w:w="1106" w:type="dxa"/>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23340.0</w:t>
            </w:r>
          </w:p>
        </w:tc>
        <w:tc>
          <w:tcPr>
            <w:tcW w:w="1030" w:type="dxa"/>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21520.0</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c>
          <w:tcPr>
            <w:tcW w:w="0" w:type="auto"/>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21160.0</w:t>
            </w:r>
          </w:p>
        </w:tc>
        <w:tc>
          <w:tcPr>
            <w:tcW w:w="0" w:type="auto"/>
            <w:shd w:val="clear" w:color="auto" w:fill="auto"/>
          </w:tcPr>
          <w:p w:rsidR="00B3369E" w:rsidRPr="00B3369E" w:rsidRDefault="00B3369E" w:rsidP="004838D2">
            <w:pPr>
              <w:tabs>
                <w:tab w:val="left" w:pos="1260"/>
              </w:tabs>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w:t>
            </w:r>
          </w:p>
        </w:tc>
      </w:tr>
    </w:tbl>
    <w:p w:rsidR="00B3369E" w:rsidRPr="00B3369E" w:rsidRDefault="00B3369E" w:rsidP="00B3369E">
      <w:pPr>
        <w:pStyle w:val="NoSpacing"/>
        <w:spacing w:line="276" w:lineRule="auto"/>
        <w:rPr>
          <w:rFonts w:ascii="Times New Roman" w:eastAsia="Klavika-Bold" w:hAnsi="Times New Roman" w:cs="Times New Roman"/>
          <w:b/>
          <w:bCs/>
          <w:sz w:val="28"/>
        </w:rPr>
      </w:pPr>
    </w:p>
    <w:p w:rsidR="00B3369E" w:rsidRPr="00B3369E" w:rsidRDefault="00B3369E" w:rsidP="00B3369E">
      <w:pPr>
        <w:pStyle w:val="Tables"/>
      </w:pPr>
      <w:bookmarkStart w:id="110" w:name="_Toc6620250"/>
      <w:r w:rsidRPr="00B3369E">
        <w:t xml:space="preserve">Table 3: </w:t>
      </w:r>
      <w:r w:rsidR="00276A72">
        <w:fldChar w:fldCharType="begin"/>
      </w:r>
      <w:r w:rsidR="002324C7">
        <w:instrText xml:space="preserve"> SEQ Table_2: \* ARABIC </w:instrText>
      </w:r>
      <w:r w:rsidR="00276A72">
        <w:fldChar w:fldCharType="separate"/>
      </w:r>
      <w:r w:rsidRPr="00B3369E">
        <w:rPr>
          <w:noProof/>
        </w:rPr>
        <w:t>9</w:t>
      </w:r>
      <w:r w:rsidR="00276A72">
        <w:rPr>
          <w:noProof/>
        </w:rPr>
        <w:fldChar w:fldCharType="end"/>
      </w:r>
      <w:r w:rsidRPr="00B3369E">
        <w:t xml:space="preserve"> financial ratios (In Percentage)</w:t>
      </w:r>
      <w:bookmarkEnd w:id="110"/>
    </w:p>
    <w:tbl>
      <w:tblPr>
        <w:tblStyle w:val="TableGrid"/>
        <w:tblW w:w="5000" w:type="pct"/>
        <w:jc w:val="center"/>
        <w:tblLook w:val="04A0"/>
      </w:tblPr>
      <w:tblGrid>
        <w:gridCol w:w="3062"/>
        <w:gridCol w:w="766"/>
        <w:gridCol w:w="766"/>
        <w:gridCol w:w="1039"/>
        <w:gridCol w:w="766"/>
        <w:gridCol w:w="1039"/>
        <w:gridCol w:w="766"/>
        <w:gridCol w:w="1039"/>
      </w:tblGrid>
      <w:tr w:rsidR="00B3369E" w:rsidRPr="00B3369E" w:rsidTr="004838D2">
        <w:trPr>
          <w:trHeight w:val="228"/>
          <w:jc w:val="center"/>
        </w:trPr>
        <w:tc>
          <w:tcPr>
            <w:tcW w:w="1656"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Bold" w:hAnsi="Times New Roman" w:cs="Times New Roman"/>
                <w:b/>
                <w:bCs/>
                <w:sz w:val="20"/>
                <w:szCs w:val="20"/>
              </w:rPr>
              <w:t>Particulars</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2017</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2016</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Bold" w:hAnsi="Times New Roman" w:cs="Times New Roman"/>
                <w:b/>
                <w:bCs/>
                <w:sz w:val="20"/>
                <w:szCs w:val="20"/>
              </w:rPr>
              <w:t>Deviation</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2015</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Bold" w:hAnsi="Times New Roman" w:cs="Times New Roman"/>
                <w:b/>
                <w:bCs/>
                <w:sz w:val="20"/>
                <w:szCs w:val="20"/>
              </w:rPr>
              <w:t>Deviation</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2014</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Bold" w:hAnsi="Times New Roman" w:cs="Times New Roman"/>
                <w:b/>
                <w:bCs/>
                <w:sz w:val="20"/>
                <w:szCs w:val="20"/>
              </w:rPr>
              <w:t>Deviation</w:t>
            </w:r>
          </w:p>
        </w:tc>
      </w:tr>
      <w:tr w:rsidR="00B3369E" w:rsidRPr="00B3369E" w:rsidTr="004838D2">
        <w:trPr>
          <w:trHeight w:val="188"/>
          <w:jc w:val="center"/>
        </w:trPr>
        <w:tc>
          <w:tcPr>
            <w:tcW w:w="1656" w:type="pct"/>
            <w:shd w:val="clear" w:color="auto" w:fill="auto"/>
          </w:tcPr>
          <w:p w:rsidR="00B3369E" w:rsidRPr="00B3369E" w:rsidRDefault="00B3369E" w:rsidP="004838D2">
            <w:pPr>
              <w:tabs>
                <w:tab w:val="left" w:pos="1260"/>
              </w:tabs>
              <w:spacing w:line="276" w:lineRule="auto"/>
              <w:jc w:val="both"/>
              <w:rPr>
                <w:rFonts w:ascii="Times New Roman" w:hAnsi="Times New Roman" w:cs="Times New Roman"/>
                <w:b/>
                <w:bCs/>
                <w:sz w:val="20"/>
                <w:szCs w:val="20"/>
              </w:rPr>
            </w:pPr>
            <w:r w:rsidRPr="00B3369E">
              <w:rPr>
                <w:rFonts w:ascii="Times New Roman" w:eastAsia="Klavika-Light" w:hAnsi="Times New Roman" w:cs="Times New Roman"/>
                <w:b/>
                <w:bCs/>
                <w:sz w:val="20"/>
                <w:szCs w:val="20"/>
              </w:rPr>
              <w:t>Loan deposit ratio</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84.1%</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79.4%</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4.7%</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81.5%</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2.1%</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74.6%</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6.9%</w:t>
            </w:r>
          </w:p>
        </w:tc>
      </w:tr>
      <w:tr w:rsidR="00B3369E" w:rsidRPr="00B3369E" w:rsidTr="004838D2">
        <w:trPr>
          <w:trHeight w:val="70"/>
          <w:jc w:val="center"/>
        </w:trPr>
        <w:tc>
          <w:tcPr>
            <w:tcW w:w="1656" w:type="pct"/>
            <w:shd w:val="clear" w:color="auto" w:fill="auto"/>
          </w:tcPr>
          <w:p w:rsidR="00B3369E" w:rsidRPr="00B3369E" w:rsidRDefault="00B3369E" w:rsidP="004838D2">
            <w:pPr>
              <w:tabs>
                <w:tab w:val="left" w:pos="1260"/>
              </w:tabs>
              <w:spacing w:line="276" w:lineRule="auto"/>
              <w:jc w:val="both"/>
              <w:rPr>
                <w:rFonts w:ascii="Times New Roman" w:hAnsi="Times New Roman" w:cs="Times New Roman"/>
                <w:b/>
                <w:bCs/>
                <w:sz w:val="20"/>
                <w:szCs w:val="20"/>
              </w:rPr>
            </w:pPr>
            <w:r w:rsidRPr="00B3369E">
              <w:rPr>
                <w:rFonts w:ascii="Times New Roman" w:eastAsia="Klavika-Light" w:hAnsi="Times New Roman" w:cs="Times New Roman"/>
                <w:b/>
                <w:bCs/>
                <w:sz w:val="20"/>
                <w:szCs w:val="20"/>
              </w:rPr>
              <w:t>Return on average total assets</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0.9%</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0.7%</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0.2%</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-0.6%</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1.1%</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0.2%</w:t>
            </w:r>
          </w:p>
        </w:tc>
      </w:tr>
      <w:tr w:rsidR="00B3369E" w:rsidRPr="00B3369E" w:rsidTr="004838D2">
        <w:trPr>
          <w:trHeight w:val="278"/>
          <w:jc w:val="center"/>
        </w:trPr>
        <w:tc>
          <w:tcPr>
            <w:tcW w:w="1656" w:type="pct"/>
            <w:shd w:val="clear" w:color="auto" w:fill="auto"/>
          </w:tcPr>
          <w:p w:rsidR="00B3369E" w:rsidRPr="00B3369E" w:rsidRDefault="00B3369E" w:rsidP="004838D2">
            <w:pPr>
              <w:tabs>
                <w:tab w:val="left" w:pos="1260"/>
              </w:tabs>
              <w:spacing w:line="276" w:lineRule="auto"/>
              <w:jc w:val="both"/>
              <w:rPr>
                <w:rFonts w:ascii="Times New Roman" w:hAnsi="Times New Roman" w:cs="Times New Roman"/>
                <w:b/>
                <w:bCs/>
                <w:sz w:val="20"/>
                <w:szCs w:val="20"/>
              </w:rPr>
            </w:pPr>
            <w:r w:rsidRPr="00B3369E">
              <w:rPr>
                <w:rFonts w:ascii="Times New Roman" w:eastAsia="Klavika-Light" w:hAnsi="Times New Roman" w:cs="Times New Roman"/>
                <w:b/>
                <w:bCs/>
                <w:sz w:val="20"/>
                <w:szCs w:val="20"/>
              </w:rPr>
              <w:t>Return on average risk-weighted asset</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1.4%</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1.1%</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0.3%</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-1.0%</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1.8%</w:t>
            </w:r>
          </w:p>
          <w:p w:rsidR="00B3369E" w:rsidRPr="00B3369E" w:rsidRDefault="00B3369E" w:rsidP="004838D2">
            <w:pPr>
              <w:spacing w:line="276" w:lineRule="auto"/>
              <w:jc w:val="center"/>
              <w:rPr>
                <w:rFonts w:ascii="Times New Roman" w:hAnsi="Times New Roman" w:cs="Times New Roman"/>
                <w:b/>
                <w:bCs/>
                <w:sz w:val="20"/>
                <w:szCs w:val="20"/>
              </w:rPr>
            </w:pP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0.3%</w:t>
            </w:r>
          </w:p>
        </w:tc>
      </w:tr>
      <w:tr w:rsidR="00B3369E" w:rsidRPr="00B3369E" w:rsidTr="004838D2">
        <w:trPr>
          <w:trHeight w:val="125"/>
          <w:jc w:val="center"/>
        </w:trPr>
        <w:tc>
          <w:tcPr>
            <w:tcW w:w="1656" w:type="pct"/>
            <w:shd w:val="clear" w:color="auto" w:fill="auto"/>
          </w:tcPr>
          <w:p w:rsidR="00B3369E" w:rsidRPr="00B3369E" w:rsidRDefault="00B3369E" w:rsidP="004838D2">
            <w:pPr>
              <w:tabs>
                <w:tab w:val="left" w:pos="1260"/>
              </w:tabs>
              <w:spacing w:line="276" w:lineRule="auto"/>
              <w:jc w:val="both"/>
              <w:rPr>
                <w:rFonts w:ascii="Times New Roman" w:hAnsi="Times New Roman" w:cs="Times New Roman"/>
                <w:b/>
                <w:bCs/>
                <w:sz w:val="20"/>
                <w:szCs w:val="20"/>
              </w:rPr>
            </w:pPr>
            <w:r w:rsidRPr="00B3369E">
              <w:rPr>
                <w:rFonts w:ascii="Times New Roman" w:eastAsia="Klavika-Light" w:hAnsi="Times New Roman" w:cs="Times New Roman"/>
                <w:b/>
                <w:bCs/>
                <w:sz w:val="20"/>
                <w:szCs w:val="20"/>
              </w:rPr>
              <w:t>Return on average shareholders’ fund</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13.2%</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10.3%</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2.9%</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19.3%</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-9.1%</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16.2%</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3.1%</w:t>
            </w:r>
          </w:p>
        </w:tc>
      </w:tr>
      <w:tr w:rsidR="00B3369E" w:rsidRPr="00B3369E" w:rsidTr="004838D2">
        <w:trPr>
          <w:trHeight w:val="70"/>
          <w:jc w:val="center"/>
        </w:trPr>
        <w:tc>
          <w:tcPr>
            <w:tcW w:w="1656" w:type="pct"/>
            <w:shd w:val="clear" w:color="auto" w:fill="auto"/>
          </w:tcPr>
          <w:p w:rsidR="00B3369E" w:rsidRPr="00B3369E" w:rsidRDefault="00B3369E" w:rsidP="004838D2">
            <w:pPr>
              <w:tabs>
                <w:tab w:val="left" w:pos="1260"/>
              </w:tabs>
              <w:spacing w:line="276" w:lineRule="auto"/>
              <w:jc w:val="both"/>
              <w:rPr>
                <w:rFonts w:ascii="Times New Roman" w:hAnsi="Times New Roman" w:cs="Times New Roman"/>
                <w:b/>
                <w:bCs/>
                <w:sz w:val="20"/>
                <w:szCs w:val="20"/>
              </w:rPr>
            </w:pPr>
            <w:r w:rsidRPr="00B3369E">
              <w:rPr>
                <w:rFonts w:ascii="Times New Roman" w:eastAsia="Klavika-Light" w:hAnsi="Times New Roman" w:cs="Times New Roman"/>
                <w:b/>
                <w:bCs/>
                <w:sz w:val="20"/>
                <w:szCs w:val="20"/>
              </w:rPr>
              <w:t>Ratio of non-performing loan to total loan</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4.7%</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5.2%</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-0.5%</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3.7%</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1.5%</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4.4%</w:t>
            </w:r>
          </w:p>
          <w:p w:rsidR="00B3369E" w:rsidRPr="00B3369E" w:rsidRDefault="00B3369E" w:rsidP="004838D2">
            <w:pPr>
              <w:spacing w:line="276" w:lineRule="auto"/>
              <w:jc w:val="center"/>
              <w:rPr>
                <w:rFonts w:ascii="Times New Roman" w:hAnsi="Times New Roman" w:cs="Times New Roman"/>
                <w:b/>
                <w:bCs/>
                <w:sz w:val="20"/>
                <w:szCs w:val="20"/>
              </w:rPr>
            </w:pP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-0.7%</w:t>
            </w:r>
          </w:p>
        </w:tc>
      </w:tr>
      <w:tr w:rsidR="00B3369E" w:rsidRPr="00B3369E" w:rsidTr="004838D2">
        <w:trPr>
          <w:trHeight w:val="70"/>
          <w:jc w:val="center"/>
        </w:trPr>
        <w:tc>
          <w:tcPr>
            <w:tcW w:w="1656" w:type="pct"/>
            <w:shd w:val="clear" w:color="auto" w:fill="auto"/>
          </w:tcPr>
          <w:p w:rsidR="00B3369E" w:rsidRPr="00B3369E" w:rsidRDefault="00B3369E" w:rsidP="004838D2">
            <w:pPr>
              <w:tabs>
                <w:tab w:val="left" w:pos="1260"/>
              </w:tabs>
              <w:spacing w:line="276" w:lineRule="auto"/>
              <w:jc w:val="both"/>
              <w:rPr>
                <w:rFonts w:ascii="Times New Roman" w:hAnsi="Times New Roman" w:cs="Times New Roman"/>
                <w:b/>
                <w:bCs/>
                <w:sz w:val="20"/>
                <w:szCs w:val="20"/>
              </w:rPr>
            </w:pPr>
            <w:r w:rsidRPr="00B3369E">
              <w:rPr>
                <w:rFonts w:ascii="Times New Roman" w:eastAsia="Klavika-Light" w:hAnsi="Times New Roman" w:cs="Times New Roman"/>
                <w:b/>
                <w:bCs/>
                <w:sz w:val="20"/>
                <w:szCs w:val="20"/>
              </w:rPr>
              <w:t>capital to risk-weighted asset ratio</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14.5%</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13.1%</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1.4%</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13.7%</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-0.6%</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13.8%</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-0.1%</w:t>
            </w:r>
          </w:p>
        </w:tc>
      </w:tr>
      <w:tr w:rsidR="00B3369E" w:rsidRPr="00B3369E" w:rsidTr="004838D2">
        <w:trPr>
          <w:trHeight w:val="170"/>
          <w:jc w:val="center"/>
        </w:trPr>
        <w:tc>
          <w:tcPr>
            <w:tcW w:w="1656" w:type="pct"/>
            <w:shd w:val="clear" w:color="auto" w:fill="auto"/>
          </w:tcPr>
          <w:p w:rsidR="00B3369E" w:rsidRPr="00B3369E" w:rsidRDefault="00B3369E" w:rsidP="004838D2">
            <w:pPr>
              <w:tabs>
                <w:tab w:val="left" w:pos="1260"/>
              </w:tabs>
              <w:spacing w:line="276" w:lineRule="auto"/>
              <w:jc w:val="both"/>
              <w:rPr>
                <w:rFonts w:ascii="Times New Roman" w:hAnsi="Times New Roman" w:cs="Times New Roman"/>
                <w:b/>
                <w:bCs/>
                <w:sz w:val="20"/>
                <w:szCs w:val="20"/>
              </w:rPr>
            </w:pPr>
            <w:r w:rsidRPr="00B3369E">
              <w:rPr>
                <w:rFonts w:ascii="Times New Roman" w:eastAsia="Klavika-Light" w:hAnsi="Times New Roman" w:cs="Times New Roman"/>
                <w:b/>
                <w:bCs/>
                <w:sz w:val="20"/>
                <w:szCs w:val="20"/>
              </w:rPr>
              <w:t>Cost-income ratio</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69.3%</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65.3%</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4.0%</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58.8%</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6.6%</w:t>
            </w:r>
          </w:p>
        </w:tc>
        <w:tc>
          <w:tcPr>
            <w:tcW w:w="414"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61.6%</w:t>
            </w:r>
          </w:p>
        </w:tc>
        <w:tc>
          <w:tcPr>
            <w:tcW w:w="562" w:type="pct"/>
            <w:shd w:val="clear" w:color="auto" w:fill="auto"/>
          </w:tcPr>
          <w:p w:rsidR="00B3369E" w:rsidRPr="00B3369E" w:rsidRDefault="00B3369E" w:rsidP="004838D2">
            <w:pPr>
              <w:tabs>
                <w:tab w:val="left" w:pos="1260"/>
              </w:tabs>
              <w:spacing w:line="276" w:lineRule="auto"/>
              <w:jc w:val="center"/>
              <w:rPr>
                <w:rFonts w:ascii="Times New Roman" w:hAnsi="Times New Roman" w:cs="Times New Roman"/>
                <w:b/>
                <w:bCs/>
                <w:sz w:val="20"/>
                <w:szCs w:val="20"/>
              </w:rPr>
            </w:pPr>
            <w:r w:rsidRPr="00B3369E">
              <w:rPr>
                <w:rFonts w:ascii="Times New Roman" w:eastAsia="Klavika-Regular" w:hAnsi="Times New Roman" w:cs="Times New Roman"/>
                <w:b/>
                <w:bCs/>
                <w:sz w:val="20"/>
                <w:szCs w:val="20"/>
              </w:rPr>
              <w:t>-2.8%</w:t>
            </w:r>
          </w:p>
        </w:tc>
      </w:tr>
    </w:tbl>
    <w:p w:rsidR="00B3369E" w:rsidRPr="00B3369E" w:rsidRDefault="00B3369E" w:rsidP="00B3369E">
      <w:pPr>
        <w:pStyle w:val="NoSpacing"/>
        <w:spacing w:line="276" w:lineRule="auto"/>
        <w:rPr>
          <w:rFonts w:ascii="Times New Roman" w:hAnsi="Times New Roman" w:cs="Times New Roman"/>
          <w:sz w:val="28"/>
        </w:rPr>
      </w:pPr>
    </w:p>
    <w:p w:rsidR="00B3369E" w:rsidRPr="00B3369E" w:rsidRDefault="00B3369E" w:rsidP="00B3369E">
      <w:pPr>
        <w:pStyle w:val="NoSpacing"/>
        <w:spacing w:line="276" w:lineRule="auto"/>
        <w:rPr>
          <w:rFonts w:ascii="Times New Roman" w:hAnsi="Times New Roman" w:cs="Times New Roman"/>
          <w:sz w:val="28"/>
        </w:rPr>
      </w:pPr>
    </w:p>
    <w:p w:rsidR="00B3369E" w:rsidRPr="00B3369E" w:rsidRDefault="00B3369E" w:rsidP="00B3369E">
      <w:pPr>
        <w:pStyle w:val="NoSpacing"/>
        <w:spacing w:line="276" w:lineRule="auto"/>
        <w:rPr>
          <w:rFonts w:ascii="Times New Roman" w:hAnsi="Times New Roman" w:cs="Times New Roman"/>
          <w:sz w:val="28"/>
        </w:rPr>
      </w:pPr>
    </w:p>
    <w:p w:rsidR="00B3369E" w:rsidRPr="00B3369E" w:rsidRDefault="00B3369E" w:rsidP="00B3369E">
      <w:pPr>
        <w:pStyle w:val="NoSpacing"/>
        <w:spacing w:line="276" w:lineRule="auto"/>
        <w:rPr>
          <w:rFonts w:ascii="Times New Roman" w:hAnsi="Times New Roman" w:cs="Times New Roman"/>
          <w:sz w:val="28"/>
        </w:rPr>
      </w:pPr>
    </w:p>
    <w:p w:rsidR="00B3369E" w:rsidRPr="00B3369E" w:rsidRDefault="00B3369E" w:rsidP="00B3369E">
      <w:pPr>
        <w:pStyle w:val="NoSpacing"/>
        <w:spacing w:line="276" w:lineRule="auto"/>
        <w:rPr>
          <w:rFonts w:ascii="Times New Roman" w:hAnsi="Times New Roman" w:cs="Times New Roman"/>
          <w:sz w:val="28"/>
        </w:rPr>
      </w:pPr>
    </w:p>
    <w:p w:rsidR="00B3369E" w:rsidRPr="00B3369E" w:rsidRDefault="00B3369E" w:rsidP="00B3369E">
      <w:pPr>
        <w:pStyle w:val="Tables"/>
      </w:pPr>
      <w:bookmarkStart w:id="111" w:name="_Toc6620251"/>
      <w:r w:rsidRPr="00B3369E">
        <w:t xml:space="preserve">Table 3: </w:t>
      </w:r>
      <w:r w:rsidR="00276A72">
        <w:fldChar w:fldCharType="begin"/>
      </w:r>
      <w:r w:rsidR="002324C7">
        <w:instrText xml:space="preserve"> SEQ Table_2: \* ARABIC </w:instrText>
      </w:r>
      <w:r w:rsidR="00276A72">
        <w:fldChar w:fldCharType="separate"/>
      </w:r>
      <w:r w:rsidRPr="00B3369E">
        <w:rPr>
          <w:noProof/>
        </w:rPr>
        <w:t>10</w:t>
      </w:r>
      <w:r w:rsidR="00276A72">
        <w:rPr>
          <w:noProof/>
        </w:rPr>
        <w:fldChar w:fldCharType="end"/>
      </w:r>
      <w:r w:rsidRPr="00B3369E">
        <w:t xml:space="preserve"> operating performance (income statement)</w:t>
      </w:r>
      <w:bookmarkEnd w:id="111"/>
    </w:p>
    <w:tbl>
      <w:tblPr>
        <w:tblStyle w:val="TableGrid"/>
        <w:tblW w:w="5000" w:type="pct"/>
        <w:jc w:val="center"/>
        <w:tblLook w:val="04A0"/>
      </w:tblPr>
      <w:tblGrid>
        <w:gridCol w:w="3654"/>
        <w:gridCol w:w="1397"/>
        <w:gridCol w:w="1398"/>
        <w:gridCol w:w="1398"/>
        <w:gridCol w:w="1396"/>
      </w:tblGrid>
      <w:tr w:rsidR="00B3369E" w:rsidRPr="00B3369E" w:rsidTr="004838D2">
        <w:trPr>
          <w:jc w:val="center"/>
        </w:trPr>
        <w:tc>
          <w:tcPr>
            <w:tcW w:w="197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Particulars</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2017</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2016</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2015</w:t>
            </w:r>
          </w:p>
        </w:tc>
        <w:tc>
          <w:tcPr>
            <w:tcW w:w="755"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2014</w:t>
            </w:r>
          </w:p>
        </w:tc>
      </w:tr>
      <w:tr w:rsidR="00B3369E" w:rsidRPr="00B3369E" w:rsidTr="004838D2">
        <w:trPr>
          <w:jc w:val="center"/>
        </w:trPr>
        <w:tc>
          <w:tcPr>
            <w:tcW w:w="197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revenue</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23550.5</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21333.0</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21849.0</w:t>
            </w:r>
          </w:p>
        </w:tc>
        <w:tc>
          <w:tcPr>
            <w:tcW w:w="755"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20741.8</w:t>
            </w:r>
          </w:p>
        </w:tc>
      </w:tr>
      <w:tr w:rsidR="00B3369E" w:rsidRPr="00B3369E" w:rsidTr="004838D2">
        <w:trPr>
          <w:jc w:val="center"/>
        </w:trPr>
        <w:tc>
          <w:tcPr>
            <w:tcW w:w="197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expenses</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17867.0</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15811.2</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15415.0</w:t>
            </w:r>
          </w:p>
        </w:tc>
        <w:tc>
          <w:tcPr>
            <w:tcW w:w="755"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15417.4</w:t>
            </w:r>
          </w:p>
        </w:tc>
      </w:tr>
      <w:tr w:rsidR="00B3369E" w:rsidRPr="00B3369E" w:rsidTr="004838D2">
        <w:trPr>
          <w:jc w:val="center"/>
        </w:trPr>
        <w:tc>
          <w:tcPr>
            <w:tcW w:w="197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Profit before provisions</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5683.5</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5521.8</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6433.9</w:t>
            </w:r>
          </w:p>
        </w:tc>
        <w:tc>
          <w:tcPr>
            <w:tcW w:w="755"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5324.4</w:t>
            </w:r>
          </w:p>
        </w:tc>
      </w:tr>
      <w:tr w:rsidR="00B3369E" w:rsidRPr="00B3369E" w:rsidTr="004838D2">
        <w:trPr>
          <w:jc w:val="center"/>
        </w:trPr>
        <w:tc>
          <w:tcPr>
            <w:tcW w:w="197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provision</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390.2</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2287.8</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166.6</w:t>
            </w:r>
          </w:p>
        </w:tc>
        <w:tc>
          <w:tcPr>
            <w:tcW w:w="755"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805.6</w:t>
            </w:r>
          </w:p>
        </w:tc>
      </w:tr>
      <w:tr w:rsidR="00B3369E" w:rsidRPr="00B3369E" w:rsidTr="004838D2">
        <w:trPr>
          <w:jc w:val="center"/>
        </w:trPr>
        <w:tc>
          <w:tcPr>
            <w:tcW w:w="197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Profit before taxes</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5293.3</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3234.0</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6267.3</w:t>
            </w:r>
          </w:p>
        </w:tc>
        <w:tc>
          <w:tcPr>
            <w:tcW w:w="755"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4518.8</w:t>
            </w:r>
          </w:p>
        </w:tc>
      </w:tr>
      <w:tr w:rsidR="00B3369E" w:rsidRPr="00B3369E" w:rsidTr="004838D2">
        <w:trPr>
          <w:jc w:val="center"/>
        </w:trPr>
        <w:tc>
          <w:tcPr>
            <w:tcW w:w="197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Provision for taxation</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2838.0</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1458.9</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3247.1</w:t>
            </w:r>
          </w:p>
        </w:tc>
        <w:tc>
          <w:tcPr>
            <w:tcW w:w="755"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2312.1</w:t>
            </w:r>
          </w:p>
        </w:tc>
      </w:tr>
      <w:tr w:rsidR="00B3369E" w:rsidRPr="00B3369E" w:rsidTr="004838D2">
        <w:trPr>
          <w:jc w:val="center"/>
        </w:trPr>
        <w:tc>
          <w:tcPr>
            <w:tcW w:w="197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Net profit after taxation</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2455.2</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1775.2</w:t>
            </w:r>
          </w:p>
        </w:tc>
        <w:tc>
          <w:tcPr>
            <w:tcW w:w="75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3020.3</w:t>
            </w:r>
          </w:p>
        </w:tc>
        <w:tc>
          <w:tcPr>
            <w:tcW w:w="755" w:type="pct"/>
            <w:shd w:val="clear" w:color="auto" w:fill="auto"/>
          </w:tcPr>
          <w:p w:rsidR="00B3369E" w:rsidRPr="00B3369E" w:rsidRDefault="00B3369E" w:rsidP="004838D2">
            <w:pPr>
              <w:keepNext/>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2206.6</w:t>
            </w:r>
          </w:p>
        </w:tc>
      </w:tr>
    </w:tbl>
    <w:p w:rsidR="00B3369E" w:rsidRPr="00B3369E" w:rsidRDefault="00B3369E" w:rsidP="00B3369E">
      <w:pPr>
        <w:pStyle w:val="Caption"/>
        <w:spacing w:line="276" w:lineRule="auto"/>
        <w:rPr>
          <w:rFonts w:ascii="Times New Roman" w:hAnsi="Times New Roman" w:cs="Times New Roman"/>
          <w:b w:val="0"/>
          <w:bCs w:val="0"/>
          <w:sz w:val="20"/>
          <w:szCs w:val="20"/>
        </w:rPr>
      </w:pPr>
    </w:p>
    <w:p w:rsidR="00B3369E" w:rsidRPr="00B3369E" w:rsidRDefault="00B3369E" w:rsidP="00B3369E">
      <w:pPr>
        <w:pStyle w:val="Tables"/>
      </w:pPr>
      <w:bookmarkStart w:id="112" w:name="_Toc6620252"/>
      <w:r w:rsidRPr="00B3369E">
        <w:t xml:space="preserve">Table 3: </w:t>
      </w:r>
      <w:r w:rsidR="00276A72">
        <w:fldChar w:fldCharType="begin"/>
      </w:r>
      <w:r w:rsidR="002324C7">
        <w:instrText xml:space="preserve"> SEQ Table_2: \* ARABIC </w:instrText>
      </w:r>
      <w:r w:rsidR="00276A72">
        <w:fldChar w:fldCharType="separate"/>
      </w:r>
      <w:r w:rsidRPr="00B3369E">
        <w:rPr>
          <w:noProof/>
        </w:rPr>
        <w:t>11</w:t>
      </w:r>
      <w:r w:rsidR="00276A72">
        <w:rPr>
          <w:noProof/>
        </w:rPr>
        <w:fldChar w:fldCharType="end"/>
      </w:r>
      <w:r w:rsidRPr="00B3369E">
        <w:t xml:space="preserve"> Statement of financial position Balance Sheet, Trade Finance and Asset Quality</w:t>
      </w:r>
      <w:bookmarkEnd w:id="112"/>
    </w:p>
    <w:tbl>
      <w:tblPr>
        <w:tblStyle w:val="TableGrid"/>
        <w:tblW w:w="5000" w:type="pct"/>
        <w:jc w:val="center"/>
        <w:tblLook w:val="04A0"/>
      </w:tblPr>
      <w:tblGrid>
        <w:gridCol w:w="4339"/>
        <w:gridCol w:w="1226"/>
        <w:gridCol w:w="1226"/>
        <w:gridCol w:w="1226"/>
        <w:gridCol w:w="1226"/>
      </w:tblGrid>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Particulars</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2017</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2016</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2015</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2014</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Authorized capital</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4000.0</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4000.0</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4000.0</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4000.0</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Paid-up share capital</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2000.0</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2000.0</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2000.0</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2000.0</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shareholders’ fund</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19482.2</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17672.7</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16754.3</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14517.4</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Deposits</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233796.4</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207234.0</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186765.0</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166762.3</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Loans and advances</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207257.4</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173397.8</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152270.0</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124423.0</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Investments</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26197.9</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31778.5</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20210.3</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19261.2</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Property, plant and equipment (net)</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5433.1</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4871.9</w:t>
            </w:r>
          </w:p>
        </w:tc>
        <w:tc>
          <w:tcPr>
            <w:tcW w:w="663"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4519.3</w:t>
            </w:r>
          </w:p>
        </w:tc>
        <w:tc>
          <w:tcPr>
            <w:tcW w:w="663" w:type="pct"/>
            <w:shd w:val="clear" w:color="auto" w:fill="auto"/>
          </w:tcPr>
          <w:p w:rsidR="00B3369E" w:rsidRPr="00B3369E" w:rsidRDefault="00B3369E" w:rsidP="004838D2">
            <w:pPr>
              <w:keepNext/>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4141.7</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Total assets</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311906.8</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264797.4</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244057.6</w:t>
            </w:r>
          </w:p>
        </w:tc>
        <w:tc>
          <w:tcPr>
            <w:tcW w:w="663" w:type="pct"/>
            <w:shd w:val="clear" w:color="auto" w:fill="auto"/>
          </w:tcPr>
          <w:p w:rsidR="00B3369E" w:rsidRPr="00B3369E" w:rsidRDefault="00B3369E" w:rsidP="004838D2">
            <w:pPr>
              <w:keepNext/>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215993.5</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Total earning assets</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263838.6</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221617.7</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210882.3</w:t>
            </w:r>
          </w:p>
        </w:tc>
        <w:tc>
          <w:tcPr>
            <w:tcW w:w="663" w:type="pct"/>
            <w:shd w:val="clear" w:color="auto" w:fill="auto"/>
          </w:tcPr>
          <w:p w:rsidR="00B3369E" w:rsidRPr="00B3369E" w:rsidRDefault="00B3369E" w:rsidP="004838D2">
            <w:pPr>
              <w:keepNext/>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178435.7</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Total contingent liabilities</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70501.5</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60051.7</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55015.0</w:t>
            </w:r>
          </w:p>
        </w:tc>
        <w:tc>
          <w:tcPr>
            <w:tcW w:w="663" w:type="pct"/>
            <w:shd w:val="clear" w:color="auto" w:fill="auto"/>
          </w:tcPr>
          <w:p w:rsidR="00B3369E" w:rsidRPr="00B3369E" w:rsidRDefault="00B3369E" w:rsidP="004838D2">
            <w:pPr>
              <w:keepNext/>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47279.9</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Import business</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51979.3</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135113.4</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135047.1</w:t>
            </w:r>
          </w:p>
        </w:tc>
        <w:tc>
          <w:tcPr>
            <w:tcW w:w="663" w:type="pct"/>
            <w:shd w:val="clear" w:color="auto" w:fill="auto"/>
          </w:tcPr>
          <w:p w:rsidR="00B3369E" w:rsidRPr="00B3369E" w:rsidRDefault="00B3369E" w:rsidP="004838D2">
            <w:pPr>
              <w:keepNext/>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123391.9</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Export business</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144931.8</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132505.5</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129954.5</w:t>
            </w:r>
          </w:p>
        </w:tc>
        <w:tc>
          <w:tcPr>
            <w:tcW w:w="663" w:type="pct"/>
            <w:shd w:val="clear" w:color="auto" w:fill="auto"/>
          </w:tcPr>
          <w:p w:rsidR="00B3369E" w:rsidRPr="00B3369E" w:rsidRDefault="00B3369E" w:rsidP="004838D2">
            <w:pPr>
              <w:keepNext/>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117777.3</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Amount of classified advances (Taka)</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9644.5</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8999.0</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5624.9</w:t>
            </w:r>
          </w:p>
        </w:tc>
        <w:tc>
          <w:tcPr>
            <w:tcW w:w="663" w:type="pct"/>
            <w:shd w:val="clear" w:color="auto" w:fill="auto"/>
          </w:tcPr>
          <w:p w:rsidR="00B3369E" w:rsidRPr="00B3369E" w:rsidRDefault="00B3369E" w:rsidP="004838D2">
            <w:pPr>
              <w:keepNext/>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5475.3</w:t>
            </w:r>
          </w:p>
        </w:tc>
      </w:tr>
      <w:tr w:rsidR="00B3369E" w:rsidRPr="00B3369E" w:rsidTr="004838D2">
        <w:trPr>
          <w:jc w:val="center"/>
        </w:trPr>
        <w:tc>
          <w:tcPr>
            <w:tcW w:w="2347" w:type="pct"/>
            <w:shd w:val="clear" w:color="auto" w:fill="auto"/>
          </w:tcPr>
          <w:p w:rsidR="00B3369E" w:rsidRPr="00B3369E" w:rsidRDefault="00B3369E" w:rsidP="004838D2">
            <w:pPr>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Classified loans to total loans (%)</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4.7%</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5.2%</w:t>
            </w:r>
          </w:p>
        </w:tc>
        <w:tc>
          <w:tcPr>
            <w:tcW w:w="663" w:type="pct"/>
            <w:shd w:val="clear" w:color="auto" w:fill="auto"/>
          </w:tcPr>
          <w:p w:rsidR="00B3369E" w:rsidRPr="00B3369E" w:rsidRDefault="00B3369E" w:rsidP="004838D2">
            <w:pPr>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3.7%</w:t>
            </w:r>
          </w:p>
        </w:tc>
        <w:tc>
          <w:tcPr>
            <w:tcW w:w="663" w:type="pct"/>
            <w:shd w:val="clear" w:color="auto" w:fill="auto"/>
          </w:tcPr>
          <w:p w:rsidR="00B3369E" w:rsidRPr="00B3369E" w:rsidRDefault="00B3369E" w:rsidP="004838D2">
            <w:pPr>
              <w:keepNext/>
              <w:spacing w:line="276" w:lineRule="auto"/>
              <w:jc w:val="center"/>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4.4%</w:t>
            </w:r>
          </w:p>
        </w:tc>
      </w:tr>
    </w:tbl>
    <w:p w:rsidR="00B3369E" w:rsidRPr="00B3369E" w:rsidRDefault="00B3369E" w:rsidP="00B3369E">
      <w:pPr>
        <w:rPr>
          <w:rFonts w:ascii="Times New Roman" w:hAnsi="Times New Roman" w:cs="Times New Roman"/>
          <w:sz w:val="20"/>
          <w:szCs w:val="20"/>
        </w:rPr>
      </w:pPr>
    </w:p>
    <w:p w:rsidR="00B3369E" w:rsidRPr="00B3369E" w:rsidRDefault="00B3369E" w:rsidP="00B3369E">
      <w:pPr>
        <w:pStyle w:val="Tables"/>
      </w:pPr>
      <w:bookmarkStart w:id="113" w:name="_Toc6620253"/>
      <w:r w:rsidRPr="00B3369E">
        <w:t xml:space="preserve">Table 3: </w:t>
      </w:r>
      <w:r w:rsidR="00276A72">
        <w:fldChar w:fldCharType="begin"/>
      </w:r>
      <w:r w:rsidR="002324C7">
        <w:instrText xml:space="preserve"> SEQ Table_2: \* ARABIC </w:instrText>
      </w:r>
      <w:r w:rsidR="00276A72">
        <w:fldChar w:fldCharType="separate"/>
      </w:r>
      <w:r w:rsidRPr="00B3369E">
        <w:rPr>
          <w:noProof/>
        </w:rPr>
        <w:t>12</w:t>
      </w:r>
      <w:r w:rsidR="00276A72">
        <w:rPr>
          <w:noProof/>
        </w:rPr>
        <w:fldChar w:fldCharType="end"/>
      </w:r>
      <w:r w:rsidRPr="00B3369E">
        <w:t xml:space="preserve"> Capital measurement</w:t>
      </w:r>
      <w:bookmarkEnd w:id="113"/>
    </w:p>
    <w:tbl>
      <w:tblPr>
        <w:tblStyle w:val="TableGrid"/>
        <w:tblW w:w="5000" w:type="pct"/>
        <w:jc w:val="center"/>
        <w:tblLook w:val="04A0"/>
      </w:tblPr>
      <w:tblGrid>
        <w:gridCol w:w="4643"/>
        <w:gridCol w:w="1150"/>
        <w:gridCol w:w="1150"/>
        <w:gridCol w:w="1150"/>
        <w:gridCol w:w="1150"/>
      </w:tblGrid>
      <w:tr w:rsidR="00B3369E" w:rsidRPr="00B3369E" w:rsidTr="004838D2">
        <w:trPr>
          <w:jc w:val="center"/>
        </w:trPr>
        <w:tc>
          <w:tcPr>
            <w:tcW w:w="2512"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Particulars</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2017</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2016</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2015</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2014</w:t>
            </w:r>
          </w:p>
        </w:tc>
      </w:tr>
      <w:tr w:rsidR="00B3369E" w:rsidRPr="00B3369E" w:rsidTr="004838D2">
        <w:trPr>
          <w:jc w:val="center"/>
        </w:trPr>
        <w:tc>
          <w:tcPr>
            <w:tcW w:w="2512"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Core (Tier 1) capital</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16,593.3</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16,593.3</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14,729.8</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12,276.8</w:t>
            </w:r>
          </w:p>
        </w:tc>
      </w:tr>
      <w:tr w:rsidR="00B3369E" w:rsidRPr="00B3369E" w:rsidTr="004838D2">
        <w:trPr>
          <w:trHeight w:val="278"/>
          <w:jc w:val="center"/>
        </w:trPr>
        <w:tc>
          <w:tcPr>
            <w:tcW w:w="2512"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Supplementary (Tier 2) capital</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9,513.4</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6,311.8</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6,407.8</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5,801.2</w:t>
            </w:r>
          </w:p>
        </w:tc>
      </w:tr>
      <w:tr w:rsidR="00B3369E" w:rsidRPr="00B3369E" w:rsidTr="004838D2">
        <w:trPr>
          <w:jc w:val="center"/>
        </w:trPr>
        <w:tc>
          <w:tcPr>
            <w:tcW w:w="2512"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capital (Tier 1 and Tier 2)</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26,106.7</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21,178.8</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21,137.6</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18,077.9</w:t>
            </w:r>
          </w:p>
        </w:tc>
      </w:tr>
      <w:tr w:rsidR="00B3369E" w:rsidRPr="00B3369E" w:rsidTr="004838D2">
        <w:trPr>
          <w:jc w:val="center"/>
        </w:trPr>
        <w:tc>
          <w:tcPr>
            <w:tcW w:w="2512"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risk weighted assets</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180,130.6</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162,165.3</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154,548.6</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130,709.5</w:t>
            </w:r>
          </w:p>
        </w:tc>
      </w:tr>
      <w:tr w:rsidR="00B3369E" w:rsidRPr="00B3369E" w:rsidTr="004838D2">
        <w:trPr>
          <w:jc w:val="center"/>
        </w:trPr>
        <w:tc>
          <w:tcPr>
            <w:tcW w:w="2512"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Tier 1 capital to risk-weighted asset ratio (%)</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9.2%</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9.2%</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9.5%</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9.4%</w:t>
            </w:r>
          </w:p>
        </w:tc>
      </w:tr>
      <w:tr w:rsidR="00B3369E" w:rsidRPr="00B3369E" w:rsidTr="004838D2">
        <w:trPr>
          <w:jc w:val="center"/>
        </w:trPr>
        <w:tc>
          <w:tcPr>
            <w:tcW w:w="2512"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Tier 2 capital to risk-weighted asset ratio (%)</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5.3%</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3.9%</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4.2%</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4.4%</w:t>
            </w:r>
          </w:p>
        </w:tc>
      </w:tr>
      <w:tr w:rsidR="00B3369E" w:rsidRPr="00B3369E" w:rsidTr="004838D2">
        <w:trPr>
          <w:jc w:val="center"/>
        </w:trPr>
        <w:tc>
          <w:tcPr>
            <w:tcW w:w="2512"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Total capital to risk-weighted asset ratio</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14.5%</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13.1%</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13.7%</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13.8%</w:t>
            </w:r>
          </w:p>
        </w:tc>
      </w:tr>
      <w:tr w:rsidR="00B3369E" w:rsidRPr="00B3369E" w:rsidTr="004838D2">
        <w:trPr>
          <w:jc w:val="center"/>
        </w:trPr>
        <w:tc>
          <w:tcPr>
            <w:tcW w:w="2512"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Capital surplus</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5,842.0</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3,948.7</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5,682.7</w:t>
            </w:r>
          </w:p>
        </w:tc>
        <w:tc>
          <w:tcPr>
            <w:tcW w:w="622"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5,007.0</w:t>
            </w:r>
          </w:p>
        </w:tc>
      </w:tr>
    </w:tbl>
    <w:p w:rsidR="00B3369E" w:rsidRPr="00B3369E" w:rsidRDefault="00B3369E" w:rsidP="00B3369E">
      <w:pPr>
        <w:pStyle w:val="NoSpacing"/>
        <w:spacing w:line="276" w:lineRule="auto"/>
        <w:rPr>
          <w:rFonts w:ascii="Times New Roman" w:hAnsi="Times New Roman" w:cs="Times New Roman"/>
          <w:b/>
          <w:bCs/>
          <w:sz w:val="28"/>
        </w:rPr>
      </w:pPr>
    </w:p>
    <w:p w:rsidR="00B3369E" w:rsidRPr="00B3369E" w:rsidRDefault="00B3369E" w:rsidP="00B3369E">
      <w:pPr>
        <w:pStyle w:val="Tables"/>
      </w:pPr>
      <w:bookmarkStart w:id="114" w:name="_Toc6620254"/>
      <w:r w:rsidRPr="00B3369E">
        <w:t xml:space="preserve">Table 3: </w:t>
      </w:r>
      <w:r w:rsidR="00276A72">
        <w:fldChar w:fldCharType="begin"/>
      </w:r>
      <w:r w:rsidR="002324C7">
        <w:instrText xml:space="preserve"> SEQ Table_2: \* ARABIC </w:instrText>
      </w:r>
      <w:r w:rsidR="00276A72">
        <w:fldChar w:fldCharType="separate"/>
      </w:r>
      <w:r w:rsidRPr="00B3369E">
        <w:rPr>
          <w:noProof/>
        </w:rPr>
        <w:t>13</w:t>
      </w:r>
      <w:r w:rsidR="00276A72">
        <w:rPr>
          <w:noProof/>
        </w:rPr>
        <w:fldChar w:fldCharType="end"/>
      </w:r>
      <w:r w:rsidRPr="00B3369E">
        <w:t xml:space="preserve"> Financial Ratios (In Percentage)</w:t>
      </w:r>
      <w:bookmarkEnd w:id="114"/>
    </w:p>
    <w:tbl>
      <w:tblPr>
        <w:tblStyle w:val="TableGrid"/>
        <w:tblW w:w="5000" w:type="pct"/>
        <w:jc w:val="center"/>
        <w:tblLook w:val="04A0"/>
      </w:tblPr>
      <w:tblGrid>
        <w:gridCol w:w="5487"/>
        <w:gridCol w:w="939"/>
        <w:gridCol w:w="939"/>
        <w:gridCol w:w="939"/>
        <w:gridCol w:w="939"/>
      </w:tblGrid>
      <w:tr w:rsidR="00B3369E" w:rsidRPr="00B3369E" w:rsidTr="004838D2">
        <w:trPr>
          <w:jc w:val="center"/>
        </w:trPr>
        <w:tc>
          <w:tcPr>
            <w:tcW w:w="296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Particulars</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2017</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2016</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2015</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2014</w:t>
            </w:r>
          </w:p>
        </w:tc>
      </w:tr>
      <w:tr w:rsidR="00B3369E" w:rsidRPr="00B3369E" w:rsidTr="004838D2">
        <w:trPr>
          <w:jc w:val="center"/>
        </w:trPr>
        <w:tc>
          <w:tcPr>
            <w:tcW w:w="296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Gross profit ratio (%)</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24.1</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25.9</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29.4</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22.9</w:t>
            </w:r>
          </w:p>
        </w:tc>
      </w:tr>
      <w:tr w:rsidR="00B3369E" w:rsidRPr="00B3369E" w:rsidTr="004838D2">
        <w:trPr>
          <w:jc w:val="center"/>
        </w:trPr>
        <w:tc>
          <w:tcPr>
            <w:tcW w:w="296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Debt equity ratio (%)</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39.6</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20.9</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26.3</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23.6</w:t>
            </w:r>
          </w:p>
        </w:tc>
      </w:tr>
      <w:tr w:rsidR="00B3369E" w:rsidRPr="00B3369E" w:rsidTr="004838D2">
        <w:trPr>
          <w:jc w:val="center"/>
        </w:trPr>
        <w:tc>
          <w:tcPr>
            <w:tcW w:w="296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Loan deposit ratio (%)</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84.1</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79.4</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81.5</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73.3</w:t>
            </w:r>
          </w:p>
        </w:tc>
      </w:tr>
      <w:tr w:rsidR="00B3369E" w:rsidRPr="00B3369E" w:rsidTr="004838D2">
        <w:trPr>
          <w:jc w:val="center"/>
        </w:trPr>
        <w:tc>
          <w:tcPr>
            <w:tcW w:w="296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Return on average investment (ROI %)</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7.0</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8.0</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10.4</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10.8</w:t>
            </w:r>
          </w:p>
        </w:tc>
      </w:tr>
      <w:tr w:rsidR="00B3369E" w:rsidRPr="00B3369E" w:rsidTr="004838D2">
        <w:trPr>
          <w:jc w:val="center"/>
        </w:trPr>
        <w:tc>
          <w:tcPr>
            <w:tcW w:w="296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Yield on loans and advances (%)</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8.3</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9.4</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11.0</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13.5</w:t>
            </w:r>
          </w:p>
        </w:tc>
      </w:tr>
      <w:tr w:rsidR="00B3369E" w:rsidRPr="00B3369E" w:rsidTr="004838D2">
        <w:trPr>
          <w:jc w:val="center"/>
        </w:trPr>
        <w:tc>
          <w:tcPr>
            <w:tcW w:w="2968" w:type="pct"/>
            <w:shd w:val="clear" w:color="auto" w:fill="auto"/>
          </w:tcPr>
          <w:p w:rsidR="00B3369E" w:rsidRPr="00B3369E" w:rsidRDefault="00B3369E" w:rsidP="004838D2">
            <w:pPr>
              <w:autoSpaceDE w:val="0"/>
              <w:autoSpaceDN w:val="0"/>
              <w:adjustRightInd w:val="0"/>
              <w:spacing w:line="276" w:lineRule="auto"/>
              <w:rPr>
                <w:rFonts w:ascii="Times New Roman" w:eastAsia="Klavika-Light" w:hAnsi="Times New Roman" w:cs="Times New Roman"/>
                <w:b/>
                <w:bCs/>
                <w:sz w:val="20"/>
                <w:szCs w:val="20"/>
              </w:rPr>
            </w:pPr>
            <w:r w:rsidRPr="00B3369E">
              <w:rPr>
                <w:rFonts w:ascii="Times New Roman" w:eastAsia="Klavika-Light" w:hAnsi="Times New Roman" w:cs="Times New Roman"/>
                <w:b/>
                <w:bCs/>
                <w:sz w:val="20"/>
                <w:szCs w:val="20"/>
              </w:rPr>
              <w:t>Return on average equity (ROE %)</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13.2</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10.3</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19.3</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17.0</w:t>
            </w:r>
          </w:p>
        </w:tc>
      </w:tr>
      <w:tr w:rsidR="00B3369E" w:rsidRPr="00B3369E" w:rsidTr="004838D2">
        <w:trPr>
          <w:jc w:val="center"/>
        </w:trPr>
        <w:tc>
          <w:tcPr>
            <w:tcW w:w="296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Return on average assets (ROA %)</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0.9</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0.7</w:t>
            </w:r>
          </w:p>
        </w:tc>
        <w:tc>
          <w:tcPr>
            <w:tcW w:w="508" w:type="pct"/>
            <w:shd w:val="clear" w:color="auto" w:fill="auto"/>
          </w:tcPr>
          <w:p w:rsidR="00B3369E" w:rsidRPr="00B3369E" w:rsidRDefault="00B3369E" w:rsidP="004838D2">
            <w:pPr>
              <w:tabs>
                <w:tab w:val="left" w:pos="1098"/>
              </w:tabs>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1.3</w:t>
            </w:r>
          </w:p>
        </w:tc>
        <w:tc>
          <w:tcPr>
            <w:tcW w:w="508"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1.2</w:t>
            </w:r>
          </w:p>
        </w:tc>
      </w:tr>
    </w:tbl>
    <w:p w:rsidR="00B3369E" w:rsidRPr="00B3369E" w:rsidRDefault="00B3369E" w:rsidP="00B3369E">
      <w:pPr>
        <w:pStyle w:val="NoSpacing"/>
        <w:spacing w:line="276" w:lineRule="auto"/>
        <w:rPr>
          <w:rFonts w:ascii="Times New Roman" w:hAnsi="Times New Roman" w:cs="Times New Roman"/>
          <w:b/>
          <w:bCs/>
          <w:sz w:val="28"/>
        </w:rPr>
      </w:pPr>
    </w:p>
    <w:p w:rsidR="00B3369E" w:rsidRPr="00B3369E" w:rsidRDefault="00B3369E" w:rsidP="00B3369E">
      <w:pPr>
        <w:pStyle w:val="Tables"/>
      </w:pPr>
      <w:bookmarkStart w:id="115" w:name="_Toc6620255"/>
      <w:r w:rsidRPr="00B3369E">
        <w:t xml:space="preserve">Table 3: </w:t>
      </w:r>
      <w:r w:rsidR="00276A72">
        <w:fldChar w:fldCharType="begin"/>
      </w:r>
      <w:r w:rsidR="002324C7">
        <w:instrText xml:space="preserve"> SEQ Table_2: \* ARABIC </w:instrText>
      </w:r>
      <w:r w:rsidR="00276A72">
        <w:fldChar w:fldCharType="separate"/>
      </w:r>
      <w:r w:rsidRPr="00B3369E">
        <w:rPr>
          <w:noProof/>
        </w:rPr>
        <w:t>14</w:t>
      </w:r>
      <w:r w:rsidR="00276A72">
        <w:rPr>
          <w:noProof/>
        </w:rPr>
        <w:fldChar w:fldCharType="end"/>
      </w:r>
      <w:r w:rsidRPr="00B3369E">
        <w:t xml:space="preserve"> Other Information</w:t>
      </w:r>
      <w:bookmarkEnd w:id="115"/>
    </w:p>
    <w:tbl>
      <w:tblPr>
        <w:tblStyle w:val="TableGrid"/>
        <w:tblW w:w="5000" w:type="pct"/>
        <w:jc w:val="center"/>
        <w:tblLook w:val="04A0"/>
      </w:tblPr>
      <w:tblGrid>
        <w:gridCol w:w="3994"/>
        <w:gridCol w:w="1296"/>
        <w:gridCol w:w="1296"/>
        <w:gridCol w:w="1361"/>
        <w:gridCol w:w="1296"/>
      </w:tblGrid>
      <w:tr w:rsidR="00B3369E" w:rsidRPr="00B3369E" w:rsidTr="004838D2">
        <w:trPr>
          <w:jc w:val="center"/>
        </w:trPr>
        <w:tc>
          <w:tcPr>
            <w:tcW w:w="2161"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hAnsi="Times New Roman" w:cs="Times New Roman"/>
                <w:b/>
                <w:bCs/>
                <w:sz w:val="20"/>
                <w:szCs w:val="20"/>
              </w:rPr>
              <w:t>Particulars</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2017</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2016</w:t>
            </w:r>
          </w:p>
        </w:tc>
        <w:tc>
          <w:tcPr>
            <w:tcW w:w="73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2015</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hAnsi="Times New Roman" w:cs="Times New Roman"/>
                <w:b/>
                <w:bCs/>
                <w:sz w:val="20"/>
                <w:szCs w:val="20"/>
              </w:rPr>
              <w:t>2014</w:t>
            </w:r>
          </w:p>
        </w:tc>
      </w:tr>
      <w:tr w:rsidR="00B3369E" w:rsidRPr="00B3369E" w:rsidTr="004838D2">
        <w:trPr>
          <w:jc w:val="center"/>
        </w:trPr>
        <w:tc>
          <w:tcPr>
            <w:tcW w:w="2161"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Number of employees</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6,816</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6,127</w:t>
            </w:r>
          </w:p>
        </w:tc>
        <w:tc>
          <w:tcPr>
            <w:tcW w:w="73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5,201</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5,556</w:t>
            </w:r>
          </w:p>
        </w:tc>
      </w:tr>
      <w:tr w:rsidR="00B3369E" w:rsidRPr="00B3369E" w:rsidTr="004838D2">
        <w:trPr>
          <w:jc w:val="center"/>
        </w:trPr>
        <w:tc>
          <w:tcPr>
            <w:tcW w:w="2161"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Number of branches</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175</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165</w:t>
            </w:r>
          </w:p>
        </w:tc>
        <w:tc>
          <w:tcPr>
            <w:tcW w:w="73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155</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145</w:t>
            </w:r>
          </w:p>
        </w:tc>
      </w:tr>
      <w:tr w:rsidR="00B3369E" w:rsidRPr="00B3369E" w:rsidTr="004838D2">
        <w:trPr>
          <w:jc w:val="center"/>
        </w:trPr>
        <w:tc>
          <w:tcPr>
            <w:tcW w:w="2161"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Number of ATM Units</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4,467</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4,331</w:t>
            </w:r>
          </w:p>
        </w:tc>
        <w:tc>
          <w:tcPr>
            <w:tcW w:w="73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3,588</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2,705</w:t>
            </w:r>
          </w:p>
        </w:tc>
      </w:tr>
      <w:tr w:rsidR="00B3369E" w:rsidRPr="00B3369E" w:rsidTr="004838D2">
        <w:trPr>
          <w:jc w:val="center"/>
        </w:trPr>
        <w:tc>
          <w:tcPr>
            <w:tcW w:w="2161"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Number of Fast Track</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780</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708</w:t>
            </w:r>
          </w:p>
        </w:tc>
        <w:tc>
          <w:tcPr>
            <w:tcW w:w="73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516</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365</w:t>
            </w:r>
          </w:p>
        </w:tc>
      </w:tr>
      <w:tr w:rsidR="00B3369E" w:rsidRPr="00B3369E" w:rsidTr="004838D2">
        <w:trPr>
          <w:jc w:val="center"/>
        </w:trPr>
        <w:tc>
          <w:tcPr>
            <w:tcW w:w="2161"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Number of deposit account holder</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6,169,253</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5,204,168</w:t>
            </w:r>
          </w:p>
        </w:tc>
        <w:tc>
          <w:tcPr>
            <w:tcW w:w="73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4 ,444,747</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3,795,255</w:t>
            </w:r>
          </w:p>
        </w:tc>
      </w:tr>
      <w:tr w:rsidR="00B3369E" w:rsidRPr="00B3369E" w:rsidTr="004838D2">
        <w:trPr>
          <w:jc w:val="center"/>
        </w:trPr>
        <w:tc>
          <w:tcPr>
            <w:tcW w:w="2161" w:type="pct"/>
            <w:shd w:val="clear" w:color="auto" w:fill="auto"/>
          </w:tcPr>
          <w:p w:rsidR="00B3369E" w:rsidRPr="00B3369E" w:rsidRDefault="00B3369E" w:rsidP="004838D2">
            <w:pPr>
              <w:spacing w:line="276" w:lineRule="auto"/>
              <w:rPr>
                <w:rFonts w:ascii="Times New Roman" w:hAnsi="Times New Roman" w:cs="Times New Roman"/>
                <w:b/>
                <w:bCs/>
                <w:sz w:val="20"/>
                <w:szCs w:val="20"/>
              </w:rPr>
            </w:pPr>
            <w:r w:rsidRPr="00B3369E">
              <w:rPr>
                <w:rFonts w:ascii="Times New Roman" w:eastAsia="Klavika-Light" w:hAnsi="Times New Roman" w:cs="Times New Roman"/>
                <w:b/>
                <w:bCs/>
                <w:sz w:val="20"/>
                <w:szCs w:val="20"/>
              </w:rPr>
              <w:t>Number of loan account holder</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45,786</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31,448</w:t>
            </w:r>
          </w:p>
        </w:tc>
        <w:tc>
          <w:tcPr>
            <w:tcW w:w="736"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26,936</w:t>
            </w:r>
          </w:p>
        </w:tc>
        <w:tc>
          <w:tcPr>
            <w:tcW w:w="701" w:type="pct"/>
            <w:shd w:val="clear" w:color="auto" w:fill="auto"/>
          </w:tcPr>
          <w:p w:rsidR="00B3369E" w:rsidRPr="00B3369E" w:rsidRDefault="00B3369E" w:rsidP="004838D2">
            <w:pPr>
              <w:spacing w:line="276" w:lineRule="auto"/>
              <w:jc w:val="center"/>
              <w:rPr>
                <w:rFonts w:ascii="Times New Roman" w:hAnsi="Times New Roman" w:cs="Times New Roman"/>
                <w:b/>
                <w:bCs/>
                <w:sz w:val="20"/>
                <w:szCs w:val="20"/>
              </w:rPr>
            </w:pPr>
            <w:r w:rsidRPr="00B3369E">
              <w:rPr>
                <w:rFonts w:ascii="Times New Roman" w:eastAsia="Klavika-Light" w:hAnsi="Times New Roman" w:cs="Times New Roman"/>
                <w:b/>
                <w:bCs/>
                <w:sz w:val="20"/>
                <w:szCs w:val="20"/>
              </w:rPr>
              <w:t>26,268</w:t>
            </w:r>
          </w:p>
        </w:tc>
      </w:tr>
    </w:tbl>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116" w:name="_Toc6610611"/>
      <w:bookmarkStart w:id="117" w:name="_Toc6614037"/>
      <w:r w:rsidRPr="00B3369E">
        <w:rPr>
          <w:rFonts w:ascii="Times New Roman" w:hAnsi="Times New Roman" w:cs="Times New Roman"/>
          <w:color w:val="632423" w:themeColor="accent2" w:themeShade="80"/>
          <w:sz w:val="28"/>
          <w:szCs w:val="28"/>
        </w:rPr>
        <w:t>3.15 DBBL of Corporate Social Responsibilities:</w:t>
      </w:r>
      <w:bookmarkEnd w:id="116"/>
      <w:bookmarkEnd w:id="117"/>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s>
        <w:spacing w:line="276" w:lineRule="auto"/>
        <w:jc w:val="both"/>
        <w:rPr>
          <w:rFonts w:ascii="Times New Roman" w:hAnsi="Times New Roman" w:cs="Times New Roman"/>
          <w:b/>
          <w:bCs/>
          <w:color w:val="212121"/>
          <w:sz w:val="24"/>
          <w:szCs w:val="24"/>
          <w:u w:val="single"/>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It has been known long ago that DBBL has worked as a class in the country's social progress. The Dutch-Bangla Bank is very supportive of social work and is one of the biggest personal donors in Bangladesh. The main aspect of the bank is socially healthy with modernized banking facilities with the goal of reaching out to banking services to all the people of the country. </w:t>
      </w:r>
      <w:r w:rsidRPr="00B3369E">
        <w:rPr>
          <w:rFonts w:ascii="Times New Roman" w:hAnsi="Times New Roman" w:cs="Times New Roman"/>
          <w:color w:val="212121"/>
          <w:sz w:val="24"/>
          <w:szCs w:val="24"/>
          <w:shd w:val="clear" w:color="auto" w:fill="FFFFFF"/>
        </w:rPr>
        <w:t xml:space="preserve">From the beginning, DBBL is a mission champion to bring human development to various social elements. </w:t>
      </w:r>
      <w:r w:rsidRPr="00B3369E">
        <w:rPr>
          <w:rFonts w:ascii="Times New Roman" w:hAnsi="Times New Roman" w:cs="Times New Roman"/>
          <w:color w:val="212121"/>
          <w:sz w:val="24"/>
          <w:szCs w:val="24"/>
        </w:rPr>
        <w:t>This is one that was proven in many ways small enterprises can bring phenomenal changes through demonstration effect. DBBL has started contributing often from its beginning to social causes, which has now become compulsory for other colleagues and in the CSRs now their regular part activities. Bank's "Role Model" for corporate social responsibility (CSR). DBBL is not for profit, but "people - planets - profit". It is durable with the triple bottom line. Smile shines to provide scholarships to poor and meritorious students in social initiatives conducted by DBBL programs for trafficked children, rural healthcare, financial infrastructure for medical infrastructure and other social development progress. Over the years, several of DBBL's social burden increases multiplied. In the field of CSR activities, DBBL is considered as the largest contributor to the education sector among private business organizations.  Under the radial to DBBL have main five category CRS programmed:</w:t>
      </w:r>
    </w:p>
    <w:p w:rsidR="00B3369E" w:rsidRPr="00B3369E" w:rsidRDefault="00B3369E" w:rsidP="00B3369E">
      <w:pPr>
        <w:pStyle w:val="HTMLPreformatted"/>
        <w:keepNext/>
        <w:shd w:val="clear" w:color="auto" w:fill="FFFFFF"/>
        <w:spacing w:line="276" w:lineRule="auto"/>
        <w:ind w:left="2160"/>
        <w:jc w:val="both"/>
        <w:rPr>
          <w:rFonts w:ascii="Times New Roman" w:hAnsi="Times New Roman" w:cs="Times New Roman"/>
        </w:rPr>
      </w:pPr>
      <w:r w:rsidRPr="00B3369E">
        <w:rPr>
          <w:rFonts w:ascii="Times New Roman" w:hAnsi="Times New Roman" w:cs="Times New Roman"/>
          <w:noProof/>
          <w:color w:val="212121"/>
          <w:sz w:val="24"/>
          <w:szCs w:val="24"/>
        </w:rPr>
        <w:drawing>
          <wp:inline distT="0" distB="0" distL="0" distR="0">
            <wp:extent cx="3341077" cy="2223526"/>
            <wp:effectExtent l="0" t="19050" r="0" b="5324"/>
            <wp:docPr id="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B3369E" w:rsidRPr="00B3369E" w:rsidRDefault="00B3369E" w:rsidP="00B3369E">
      <w:pPr>
        <w:pStyle w:val="Figures"/>
      </w:pPr>
      <w:bookmarkStart w:id="118" w:name="_Toc6621156"/>
      <w:r w:rsidRPr="00B3369E">
        <w:t xml:space="preserve">Figures 3:  </w:t>
      </w:r>
      <w:r w:rsidR="00276A72">
        <w:fldChar w:fldCharType="begin"/>
      </w:r>
      <w:r w:rsidR="002324C7">
        <w:instrText xml:space="preserve"> SEQ Figures_3:_ \* ARABIC </w:instrText>
      </w:r>
      <w:r w:rsidR="00276A72">
        <w:fldChar w:fldCharType="separate"/>
      </w:r>
      <w:r w:rsidRPr="00B3369E">
        <w:rPr>
          <w:noProof/>
        </w:rPr>
        <w:t>1</w:t>
      </w:r>
      <w:r w:rsidR="00276A72">
        <w:rPr>
          <w:noProof/>
        </w:rPr>
        <w:fldChar w:fldCharType="end"/>
      </w:r>
      <w:r w:rsidRPr="00B3369E">
        <w:t xml:space="preserve"> DBBL Main CSRM</w:t>
      </w:r>
      <w:bookmarkEnd w:id="118"/>
    </w:p>
    <w:p w:rsidR="00B3369E" w:rsidRPr="00B3369E" w:rsidRDefault="00B3369E" w:rsidP="00B3369E">
      <w:pPr>
        <w:pStyle w:val="Heading2"/>
        <w:spacing w:before="0"/>
        <w:rPr>
          <w:rFonts w:ascii="Times New Roman" w:hAnsi="Times New Roman" w:cs="Times New Roman"/>
          <w:sz w:val="28"/>
          <w:szCs w:val="28"/>
        </w:rPr>
      </w:pPr>
    </w:p>
    <w:p w:rsidR="00B3369E" w:rsidRPr="00B3369E" w:rsidRDefault="00B3369E" w:rsidP="00B3369E">
      <w:pPr>
        <w:pStyle w:val="Heading2"/>
        <w:spacing w:before="0"/>
        <w:rPr>
          <w:rFonts w:ascii="Times New Roman" w:hAnsi="Times New Roman" w:cs="Times New Roman"/>
          <w:sz w:val="28"/>
          <w:szCs w:val="28"/>
        </w:rPr>
      </w:pPr>
    </w:p>
    <w:p w:rsidR="00B3369E" w:rsidRPr="00B3369E" w:rsidRDefault="00B3369E" w:rsidP="00B3369E">
      <w:pPr>
        <w:rPr>
          <w:rFonts w:ascii="Times New Roman" w:hAnsi="Times New Roman" w:cs="Times New Roman"/>
        </w:rPr>
      </w:pPr>
    </w:p>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119" w:name="_Toc6610612"/>
      <w:bookmarkStart w:id="120" w:name="_Toc6614038"/>
      <w:r w:rsidRPr="00B3369E">
        <w:rPr>
          <w:rFonts w:ascii="Times New Roman" w:hAnsi="Times New Roman" w:cs="Times New Roman"/>
          <w:color w:val="632423" w:themeColor="accent2" w:themeShade="80"/>
          <w:sz w:val="28"/>
          <w:szCs w:val="28"/>
        </w:rPr>
        <w:t>3.16 DBBL In-house Green Banking Management:</w:t>
      </w:r>
      <w:bookmarkEnd w:id="119"/>
      <w:bookmarkEnd w:id="120"/>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DBBL can maintain a consistent initiative and supportive activities from its introduction, which can adversely affect the environment and contain some issues that may contribute to the pollution. 3R Thumb rules govern our reusability, reduce and minimize our daily activities to prevent emissions from carbon footprint, some of which as mentioned below:</w:t>
      </w:r>
    </w:p>
    <w:p w:rsidR="00B3369E" w:rsidRPr="00B3369E" w:rsidRDefault="00B3369E" w:rsidP="001B0E2C">
      <w:pPr>
        <w:pStyle w:val="HTMLPreformatted"/>
        <w:numPr>
          <w:ilvl w:val="0"/>
          <w:numId w:val="16"/>
        </w:numPr>
        <w:shd w:val="clear" w:color="auto" w:fill="FFFFFF"/>
        <w:jc w:val="both"/>
        <w:rPr>
          <w:rFonts w:ascii="Times New Roman" w:hAnsi="Times New Roman" w:cs="Times New Roman"/>
          <w:color w:val="212121"/>
          <w:sz w:val="24"/>
          <w:szCs w:val="24"/>
          <w:shd w:val="clear" w:color="auto" w:fill="FFFFFF"/>
        </w:rPr>
      </w:pPr>
      <w:r w:rsidRPr="00B3369E">
        <w:rPr>
          <w:rFonts w:ascii="Times New Roman" w:hAnsi="Times New Roman" w:cs="Times New Roman"/>
          <w:color w:val="212121"/>
          <w:sz w:val="24"/>
          <w:szCs w:val="24"/>
          <w:shd w:val="clear" w:color="auto" w:fill="FFFFFF"/>
        </w:rPr>
        <w:t>Process of soft archive of client documents for electronic access and recovery is underway, which will enable us to reduce paper usage.</w:t>
      </w:r>
    </w:p>
    <w:p w:rsidR="00B3369E" w:rsidRPr="00B3369E" w:rsidRDefault="00B3369E" w:rsidP="001B0E2C">
      <w:pPr>
        <w:pStyle w:val="HTMLPreformatted"/>
        <w:numPr>
          <w:ilvl w:val="0"/>
          <w:numId w:val="16"/>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Some internal memos, in the form of digital form, have proven the goal of the process notes.</w:t>
      </w:r>
    </w:p>
    <w:p w:rsidR="00B3369E" w:rsidRPr="00B3369E" w:rsidRDefault="00B3369E" w:rsidP="001B0E2C">
      <w:pPr>
        <w:pStyle w:val="HTMLPreformatted"/>
        <w:numPr>
          <w:ilvl w:val="0"/>
          <w:numId w:val="16"/>
        </w:numPr>
        <w:shd w:val="clear" w:color="auto" w:fill="FFFFFF"/>
        <w:jc w:val="both"/>
        <w:rPr>
          <w:rFonts w:ascii="Times New Roman" w:hAnsi="Times New Roman" w:cs="Times New Roman"/>
          <w:color w:val="212121"/>
          <w:sz w:val="24"/>
          <w:szCs w:val="24"/>
          <w:shd w:val="clear" w:color="auto" w:fill="FFFFFF"/>
        </w:rPr>
      </w:pPr>
      <w:r w:rsidRPr="00B3369E">
        <w:rPr>
          <w:rFonts w:ascii="Times New Roman" w:hAnsi="Times New Roman" w:cs="Times New Roman"/>
          <w:color w:val="212121"/>
          <w:sz w:val="24"/>
          <w:szCs w:val="24"/>
          <w:shd w:val="clear" w:color="auto" w:fill="FFFFFF"/>
        </w:rPr>
        <w:t>Instead of contact letter, customer is being contacted by email, SMS or ATM display (requirements without controller).</w:t>
      </w:r>
    </w:p>
    <w:p w:rsidR="00B3369E" w:rsidRPr="00B3369E" w:rsidRDefault="00B3369E" w:rsidP="001B0E2C">
      <w:pPr>
        <w:pStyle w:val="HTMLPreformatted"/>
        <w:numPr>
          <w:ilvl w:val="0"/>
          <w:numId w:val="16"/>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Bank officials said the IP phone has been launched with video conferencing system for telecommunications.</w:t>
      </w:r>
    </w:p>
    <w:p w:rsidR="00B3369E" w:rsidRPr="00B3369E" w:rsidRDefault="00B3369E" w:rsidP="001B0E2C">
      <w:pPr>
        <w:pStyle w:val="HTMLPreformatted"/>
        <w:numPr>
          <w:ilvl w:val="0"/>
          <w:numId w:val="16"/>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Part of the solar power has been used to get 30 ATM booths, 27 fast track and 11 branches.</w:t>
      </w:r>
    </w:p>
    <w:p w:rsidR="00B3369E" w:rsidRPr="00B3369E" w:rsidRDefault="00B3369E" w:rsidP="001B0E2C">
      <w:pPr>
        <w:pStyle w:val="HTMLPreformatted"/>
        <w:numPr>
          <w:ilvl w:val="0"/>
          <w:numId w:val="16"/>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shd w:val="clear" w:color="auto" w:fill="FFFFFF"/>
        </w:rPr>
        <w:t>Buying energy efficient cars that could reduce gas and petroleum costs.</w:t>
      </w:r>
    </w:p>
    <w:p w:rsidR="00B3369E" w:rsidRPr="00B3369E" w:rsidRDefault="00B3369E" w:rsidP="001B0E2C">
      <w:pPr>
        <w:pStyle w:val="HTMLPreformatted"/>
        <w:numPr>
          <w:ilvl w:val="0"/>
          <w:numId w:val="16"/>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shd w:val="clear" w:color="auto" w:fill="FFFFFF"/>
        </w:rPr>
        <w:t>Active Green Banking Cell to the all division of branches and senior level management has been informed on the principles and responsibilities on their part.</w:t>
      </w:r>
    </w:p>
    <w:p w:rsidR="00B3369E" w:rsidRPr="00B3369E" w:rsidRDefault="00B3369E" w:rsidP="00B3369E">
      <w:pPr>
        <w:pStyle w:val="HTMLPreformatted"/>
        <w:shd w:val="clear" w:color="auto" w:fill="FFFFFF"/>
        <w:spacing w:line="276" w:lineRule="auto"/>
        <w:ind w:left="720"/>
        <w:rPr>
          <w:rFonts w:ascii="Times New Roman" w:hAnsi="Times New Roman" w:cs="Times New Roman"/>
          <w:color w:val="212121"/>
          <w:sz w:val="24"/>
          <w:szCs w:val="24"/>
        </w:rPr>
      </w:pPr>
    </w:p>
    <w:p w:rsidR="00B3369E" w:rsidRPr="00B3369E" w:rsidRDefault="00B3369E" w:rsidP="00B3369E">
      <w:pPr>
        <w:pStyle w:val="Heading1"/>
        <w:jc w:val="center"/>
        <w:rPr>
          <w:rFonts w:ascii="Times New Roman" w:hAnsi="Times New Roman" w:cs="Times New Roman"/>
          <w:color w:val="002060"/>
          <w:sz w:val="36"/>
          <w:szCs w:val="36"/>
        </w:rPr>
      </w:pPr>
      <w:bookmarkStart w:id="121" w:name="_Toc6610613"/>
      <w:bookmarkStart w:id="122" w:name="_Toc6614039"/>
      <w:r w:rsidRPr="00B3369E">
        <w:rPr>
          <w:rFonts w:ascii="Times New Roman" w:hAnsi="Times New Roman" w:cs="Times New Roman"/>
          <w:color w:val="002060"/>
          <w:sz w:val="36"/>
          <w:szCs w:val="36"/>
        </w:rPr>
        <w:t>Chapter-4: OVERVIEW OF BASEL INFORMATION</w:t>
      </w:r>
      <w:bookmarkEnd w:id="121"/>
      <w:bookmarkEnd w:id="122"/>
    </w:p>
    <w:p w:rsidR="00B3369E" w:rsidRPr="00B3369E" w:rsidRDefault="00B3369E" w:rsidP="00B3369E">
      <w:pPr>
        <w:pStyle w:val="Heading4"/>
        <w:spacing w:before="0"/>
        <w:rPr>
          <w:rFonts w:ascii="Times New Roman" w:hAnsi="Times New Roman" w:cs="Times New Roman"/>
          <w:i w:val="0"/>
          <w:iCs w:val="0"/>
          <w:sz w:val="28"/>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23" w:name="_Toc6610614"/>
      <w:bookmarkStart w:id="124" w:name="_Toc6614040"/>
      <w:r w:rsidRPr="00B3369E">
        <w:rPr>
          <w:rFonts w:ascii="Times New Roman" w:hAnsi="Times New Roman" w:cs="Times New Roman"/>
          <w:color w:val="632423" w:themeColor="accent2" w:themeShade="80"/>
          <w:sz w:val="28"/>
          <w:szCs w:val="28"/>
        </w:rPr>
        <w:t>4.1 BASEL Accords:</w:t>
      </w:r>
      <w:bookmarkEnd w:id="123"/>
      <w:bookmarkEnd w:id="124"/>
    </w:p>
    <w:p w:rsidR="00B3369E" w:rsidRPr="00B3369E" w:rsidRDefault="00B3369E" w:rsidP="00B3369E">
      <w:pPr>
        <w:pStyle w:val="HTMLPreformatted"/>
        <w:shd w:val="clear" w:color="auto" w:fill="FFFFFF"/>
        <w:spacing w:line="276" w:lineRule="auto"/>
        <w:jc w:val="both"/>
        <w:rPr>
          <w:rFonts w:ascii="Times New Roman" w:eastAsiaTheme="minorHAnsi" w:hAnsi="Times New Roman" w:cs="Times New Roman"/>
          <w:sz w:val="22"/>
          <w:szCs w:val="28"/>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sz w:val="24"/>
          <w:szCs w:val="24"/>
        </w:rPr>
        <w:t xml:space="preserve">World War II banking sector become a very competitive industry with a lot of banks working in almost all the countries across the world. </w:t>
      </w:r>
      <w:r w:rsidRPr="00B3369E">
        <w:rPr>
          <w:rFonts w:ascii="Times New Roman" w:hAnsi="Times New Roman" w:cs="Times New Roman"/>
          <w:color w:val="212121"/>
          <w:sz w:val="24"/>
          <w:szCs w:val="24"/>
        </w:rPr>
        <w:t>Banks are forced to lose their profit margins to increase competition in the local market. This significantly reduced the bank’s income. Banks are increasingly facing the bank in the international market. In the financial year 1965-1981, Bank of “</w:t>
      </w:r>
      <w:proofErr w:type="spellStart"/>
      <w:r w:rsidRPr="00B3369E">
        <w:rPr>
          <w:rFonts w:ascii="Times New Roman" w:hAnsi="Times New Roman" w:cs="Times New Roman"/>
          <w:color w:val="212121"/>
          <w:sz w:val="24"/>
          <w:szCs w:val="24"/>
        </w:rPr>
        <w:t>Herstatt</w:t>
      </w:r>
      <w:proofErr w:type="spellEnd"/>
      <w:r w:rsidRPr="00B3369E">
        <w:rPr>
          <w:rFonts w:ascii="Times New Roman" w:hAnsi="Times New Roman" w:cs="Times New Roman"/>
          <w:color w:val="212121"/>
          <w:sz w:val="24"/>
          <w:szCs w:val="24"/>
        </w:rPr>
        <w:t>” was bankrupt in the 1980s and even the failure of the bank for eight years until the bank's savings and debt crisis. As a result, the struggles of bankruptcy of international banks increased security against the debt.</w:t>
      </w:r>
    </w:p>
    <w:p w:rsidR="00B3369E" w:rsidRPr="00B3369E" w:rsidRDefault="00B3369E" w:rsidP="00B3369E">
      <w:pPr>
        <w:pStyle w:val="HTMLPreformatted"/>
        <w:shd w:val="clear" w:color="auto" w:fill="FFFFFF"/>
        <w:spacing w:line="276" w:lineRule="auto"/>
        <w:ind w:firstLine="720"/>
        <w:jc w:val="both"/>
        <w:rPr>
          <w:rFonts w:ascii="Times New Roman" w:hAnsi="Times New Roman" w:cs="Times New Roman"/>
          <w:color w:val="212121"/>
          <w:sz w:val="24"/>
          <w:szCs w:val="24"/>
        </w:rPr>
      </w:pPr>
      <w:r w:rsidRPr="00B3369E">
        <w:rPr>
          <w:rFonts w:ascii="Times New Roman" w:hAnsi="Times New Roman" w:cs="Times New Roman"/>
          <w:sz w:val="24"/>
          <w:szCs w:val="24"/>
        </w:rPr>
        <w:br/>
      </w:r>
      <w:r w:rsidRPr="00B3369E">
        <w:rPr>
          <w:rFonts w:ascii="Times New Roman" w:hAnsi="Times New Roman" w:cs="Times New Roman"/>
          <w:color w:val="212121"/>
          <w:sz w:val="24"/>
          <w:szCs w:val="24"/>
          <w:shd w:val="clear" w:color="auto" w:fill="FFFFFF"/>
        </w:rPr>
        <w:t>The work of the basal committee began to deal with the supervisor's interaction when weaker banks needed solutions to the border. There are recommendations for regulating the banking industry in the bank. Basel learns to work on the needs of various contract capitals, the regulator needs to set up the Basel Committee. Basel Committee under the supervision of the central bank and supervised banking was completed in Basel, Switzerland in 1987. Basel prepares rules and regulations for the banking industry. Firstly Basel was spending ten countries. Basel used to maintain the stability of the financial system. Each country has its own national capital requirement and the risks for assets are the weighted criteria, which bear the cost of capital for the banks.</w:t>
      </w:r>
      <w:r w:rsidRPr="00B3369E">
        <w:rPr>
          <w:rFonts w:ascii="Times New Roman" w:hAnsi="Times New Roman" w:cs="Times New Roman"/>
          <w:color w:val="212121"/>
          <w:sz w:val="24"/>
          <w:szCs w:val="24"/>
        </w:rPr>
        <w:t xml:space="preserve"> Basel Committee's work was to analyze the complexity of the modern banking system and follow the reactions of their responses and guidelines. The committee has so far received three versions of Basel Accord. The committee should hold a first document draft capital to set an international minimum amount of money that the bank should hold. It is the percentage of the total capital of a minimum bank, at the lowest risk based capital level. To be the Chairman of the Basel Committee, the senior officers of the central bank of Basel are appointed. Because they know how banks are managed well. Below is the chairman name of the Basel Committee:</w:t>
      </w:r>
    </w:p>
    <w:p w:rsidR="00B3369E" w:rsidRPr="00B3369E" w:rsidRDefault="00B3369E" w:rsidP="00B3369E">
      <w:pPr>
        <w:pStyle w:val="HTMLPreformatted"/>
        <w:shd w:val="clear" w:color="auto" w:fill="FFFFFF"/>
        <w:spacing w:line="360" w:lineRule="auto"/>
        <w:jc w:val="both"/>
        <w:rPr>
          <w:rFonts w:ascii="Times New Roman" w:hAnsi="Times New Roman" w:cs="Times New Roman"/>
          <w:color w:val="212121"/>
          <w:sz w:val="24"/>
          <w:szCs w:val="24"/>
        </w:rPr>
      </w:pPr>
    </w:p>
    <w:p w:rsidR="00B3369E" w:rsidRPr="00B3369E" w:rsidRDefault="00B3369E" w:rsidP="00B3369E">
      <w:pPr>
        <w:pStyle w:val="Tables"/>
      </w:pPr>
      <w:bookmarkStart w:id="125" w:name="_Toc6620256"/>
      <w:r w:rsidRPr="00B3369E">
        <w:t xml:space="preserve">Table 4: </w:t>
      </w:r>
      <w:r w:rsidR="00276A72">
        <w:fldChar w:fldCharType="begin"/>
      </w:r>
      <w:r w:rsidR="002324C7">
        <w:instrText xml:space="preserve"> SEQ Table_3: \* ARABIC </w:instrText>
      </w:r>
      <w:r w:rsidR="00276A72">
        <w:fldChar w:fldCharType="separate"/>
      </w:r>
      <w:r w:rsidRPr="00B3369E">
        <w:rPr>
          <w:noProof/>
        </w:rPr>
        <w:t>1</w:t>
      </w:r>
      <w:r w:rsidR="00276A72">
        <w:rPr>
          <w:noProof/>
        </w:rPr>
        <w:fldChar w:fldCharType="end"/>
      </w:r>
      <w:r w:rsidRPr="00B3369E">
        <w:t xml:space="preserve"> Chairmen of the Basel Committee:</w:t>
      </w:r>
      <w:bookmarkEnd w:id="125"/>
    </w:p>
    <w:tbl>
      <w:tblPr>
        <w:tblStyle w:val="TableGrid"/>
        <w:tblW w:w="5000" w:type="pct"/>
        <w:jc w:val="center"/>
        <w:tblLook w:val="04A0"/>
      </w:tblPr>
      <w:tblGrid>
        <w:gridCol w:w="2447"/>
        <w:gridCol w:w="3176"/>
        <w:gridCol w:w="2300"/>
        <w:gridCol w:w="1320"/>
      </w:tblGrid>
      <w:tr w:rsidR="00B3369E" w:rsidRPr="00B3369E" w:rsidTr="004838D2">
        <w:trPr>
          <w:jc w:val="center"/>
        </w:trPr>
        <w:tc>
          <w:tcPr>
            <w:tcW w:w="1324" w:type="pct"/>
            <w:shd w:val="clear" w:color="auto" w:fill="auto"/>
            <w:vAlign w:val="center"/>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Name</w:t>
            </w:r>
          </w:p>
        </w:tc>
        <w:tc>
          <w:tcPr>
            <w:tcW w:w="1718" w:type="pct"/>
            <w:shd w:val="clear" w:color="auto" w:fill="auto"/>
            <w:vAlign w:val="center"/>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Name of Bank</w:t>
            </w:r>
          </w:p>
        </w:tc>
        <w:tc>
          <w:tcPr>
            <w:tcW w:w="1244" w:type="pct"/>
            <w:shd w:val="clear" w:color="auto" w:fill="auto"/>
            <w:vAlign w:val="center"/>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Position</w:t>
            </w:r>
          </w:p>
        </w:tc>
        <w:tc>
          <w:tcPr>
            <w:tcW w:w="714" w:type="pct"/>
            <w:shd w:val="clear" w:color="auto" w:fill="auto"/>
            <w:vAlign w:val="center"/>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Year</w:t>
            </w:r>
          </w:p>
        </w:tc>
      </w:tr>
      <w:tr w:rsidR="00B3369E" w:rsidRPr="00B3369E" w:rsidTr="004838D2">
        <w:trPr>
          <w:trHeight w:val="341"/>
          <w:jc w:val="center"/>
        </w:trPr>
        <w:tc>
          <w:tcPr>
            <w:tcW w:w="132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Sir George Blunden</w:t>
            </w:r>
          </w:p>
          <w:p w:rsidR="00B3369E" w:rsidRPr="00B3369E" w:rsidRDefault="00B3369E" w:rsidP="004838D2">
            <w:pPr>
              <w:jc w:val="center"/>
              <w:rPr>
                <w:rFonts w:ascii="Times New Roman" w:hAnsi="Times New Roman" w:cs="Times New Roman"/>
                <w:b/>
                <w:bCs/>
                <w:color w:val="000000" w:themeColor="text1"/>
                <w:sz w:val="24"/>
                <w:szCs w:val="24"/>
              </w:rPr>
            </w:pPr>
          </w:p>
        </w:tc>
        <w:tc>
          <w:tcPr>
            <w:tcW w:w="1718"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Bank of England</w:t>
            </w:r>
          </w:p>
          <w:p w:rsidR="00B3369E" w:rsidRPr="00B3369E" w:rsidRDefault="00B3369E" w:rsidP="004838D2">
            <w:pPr>
              <w:jc w:val="center"/>
              <w:rPr>
                <w:rFonts w:ascii="Times New Roman" w:hAnsi="Times New Roman" w:cs="Times New Roman"/>
                <w:b/>
                <w:bCs/>
                <w:color w:val="000000" w:themeColor="text1"/>
                <w:sz w:val="24"/>
                <w:szCs w:val="24"/>
              </w:rPr>
            </w:pPr>
          </w:p>
        </w:tc>
        <w:tc>
          <w:tcPr>
            <w:tcW w:w="124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Executive Director,</w:t>
            </w:r>
          </w:p>
          <w:p w:rsidR="00B3369E" w:rsidRPr="00B3369E" w:rsidRDefault="00B3369E" w:rsidP="004838D2">
            <w:pPr>
              <w:jc w:val="center"/>
              <w:rPr>
                <w:rFonts w:ascii="Times New Roman" w:hAnsi="Times New Roman" w:cs="Times New Roman"/>
                <w:b/>
                <w:bCs/>
                <w:color w:val="000000" w:themeColor="text1"/>
                <w:sz w:val="24"/>
                <w:szCs w:val="24"/>
              </w:rPr>
            </w:pPr>
          </w:p>
        </w:tc>
        <w:tc>
          <w:tcPr>
            <w:tcW w:w="71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1974–1977</w:t>
            </w:r>
          </w:p>
          <w:p w:rsidR="00B3369E" w:rsidRPr="00B3369E" w:rsidRDefault="00B3369E" w:rsidP="004838D2">
            <w:pPr>
              <w:jc w:val="center"/>
              <w:rPr>
                <w:rFonts w:ascii="Times New Roman" w:hAnsi="Times New Roman" w:cs="Times New Roman"/>
                <w:b/>
                <w:bCs/>
                <w:color w:val="000000" w:themeColor="text1"/>
                <w:sz w:val="24"/>
                <w:szCs w:val="24"/>
              </w:rPr>
            </w:pPr>
          </w:p>
        </w:tc>
      </w:tr>
      <w:tr w:rsidR="00B3369E" w:rsidRPr="00B3369E" w:rsidTr="004838D2">
        <w:trPr>
          <w:trHeight w:val="152"/>
          <w:jc w:val="center"/>
        </w:trPr>
        <w:tc>
          <w:tcPr>
            <w:tcW w:w="132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Peter Cooke</w:t>
            </w:r>
          </w:p>
          <w:p w:rsidR="00B3369E" w:rsidRPr="00B3369E" w:rsidRDefault="00B3369E" w:rsidP="004838D2">
            <w:pPr>
              <w:jc w:val="center"/>
              <w:rPr>
                <w:rFonts w:ascii="Times New Roman" w:hAnsi="Times New Roman" w:cs="Times New Roman"/>
                <w:b/>
                <w:bCs/>
                <w:color w:val="000000" w:themeColor="text1"/>
                <w:sz w:val="24"/>
                <w:szCs w:val="24"/>
              </w:rPr>
            </w:pPr>
          </w:p>
        </w:tc>
        <w:tc>
          <w:tcPr>
            <w:tcW w:w="1718"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Bank of England</w:t>
            </w:r>
          </w:p>
          <w:p w:rsidR="00B3369E" w:rsidRPr="00B3369E" w:rsidRDefault="00B3369E" w:rsidP="004838D2">
            <w:pPr>
              <w:jc w:val="center"/>
              <w:rPr>
                <w:rFonts w:ascii="Times New Roman" w:hAnsi="Times New Roman" w:cs="Times New Roman"/>
                <w:b/>
                <w:bCs/>
                <w:color w:val="000000" w:themeColor="text1"/>
                <w:sz w:val="24"/>
                <w:szCs w:val="24"/>
              </w:rPr>
            </w:pPr>
          </w:p>
        </w:tc>
        <w:tc>
          <w:tcPr>
            <w:tcW w:w="124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Associate Director</w:t>
            </w:r>
          </w:p>
          <w:p w:rsidR="00B3369E" w:rsidRPr="00B3369E" w:rsidRDefault="00B3369E" w:rsidP="004838D2">
            <w:pPr>
              <w:ind w:firstLine="720"/>
              <w:jc w:val="center"/>
              <w:rPr>
                <w:rFonts w:ascii="Times New Roman" w:hAnsi="Times New Roman" w:cs="Times New Roman"/>
                <w:b/>
                <w:bCs/>
                <w:color w:val="000000" w:themeColor="text1"/>
                <w:sz w:val="24"/>
                <w:szCs w:val="24"/>
              </w:rPr>
            </w:pPr>
          </w:p>
        </w:tc>
        <w:tc>
          <w:tcPr>
            <w:tcW w:w="71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1977–1988</w:t>
            </w:r>
          </w:p>
          <w:p w:rsidR="00B3369E" w:rsidRPr="00B3369E" w:rsidRDefault="00B3369E" w:rsidP="004838D2">
            <w:pPr>
              <w:jc w:val="center"/>
              <w:rPr>
                <w:rFonts w:ascii="Times New Roman" w:hAnsi="Times New Roman" w:cs="Times New Roman"/>
                <w:b/>
                <w:bCs/>
                <w:color w:val="000000" w:themeColor="text1"/>
                <w:sz w:val="24"/>
                <w:szCs w:val="24"/>
              </w:rPr>
            </w:pPr>
          </w:p>
        </w:tc>
      </w:tr>
      <w:tr w:rsidR="00B3369E" w:rsidRPr="00B3369E" w:rsidTr="004838D2">
        <w:trPr>
          <w:trHeight w:val="305"/>
          <w:jc w:val="center"/>
        </w:trPr>
        <w:tc>
          <w:tcPr>
            <w:tcW w:w="1324" w:type="pct"/>
            <w:shd w:val="clear" w:color="auto" w:fill="auto"/>
            <w:vAlign w:val="center"/>
          </w:tcPr>
          <w:p w:rsidR="00B3369E" w:rsidRPr="00B3369E" w:rsidRDefault="00B3369E" w:rsidP="004838D2">
            <w:pPr>
              <w:pStyle w:val="Default"/>
              <w:jc w:val="center"/>
              <w:rPr>
                <w:b/>
                <w:bCs/>
                <w:color w:val="000000" w:themeColor="text1"/>
              </w:rPr>
            </w:pPr>
            <w:proofErr w:type="spellStart"/>
            <w:r w:rsidRPr="00B3369E">
              <w:rPr>
                <w:b/>
                <w:bCs/>
                <w:color w:val="000000" w:themeColor="text1"/>
              </w:rPr>
              <w:t>Huib</w:t>
            </w:r>
            <w:proofErr w:type="spellEnd"/>
            <w:r w:rsidRPr="00B3369E">
              <w:rPr>
                <w:b/>
                <w:bCs/>
                <w:color w:val="000000" w:themeColor="text1"/>
              </w:rPr>
              <w:t xml:space="preserve"> J Muller,</w:t>
            </w:r>
          </w:p>
          <w:p w:rsidR="00B3369E" w:rsidRPr="00B3369E" w:rsidRDefault="00B3369E" w:rsidP="004838D2">
            <w:pPr>
              <w:jc w:val="center"/>
              <w:rPr>
                <w:rFonts w:ascii="Times New Roman" w:hAnsi="Times New Roman" w:cs="Times New Roman"/>
                <w:b/>
                <w:bCs/>
                <w:color w:val="000000" w:themeColor="text1"/>
                <w:sz w:val="24"/>
                <w:szCs w:val="24"/>
              </w:rPr>
            </w:pPr>
          </w:p>
        </w:tc>
        <w:tc>
          <w:tcPr>
            <w:tcW w:w="1718"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Netherlands Bank.</w:t>
            </w:r>
          </w:p>
          <w:p w:rsidR="00B3369E" w:rsidRPr="00B3369E" w:rsidRDefault="00B3369E" w:rsidP="004838D2">
            <w:pPr>
              <w:ind w:firstLine="720"/>
              <w:jc w:val="center"/>
              <w:rPr>
                <w:rFonts w:ascii="Times New Roman" w:hAnsi="Times New Roman" w:cs="Times New Roman"/>
                <w:b/>
                <w:bCs/>
                <w:color w:val="000000" w:themeColor="text1"/>
                <w:sz w:val="24"/>
                <w:szCs w:val="24"/>
              </w:rPr>
            </w:pPr>
          </w:p>
        </w:tc>
        <w:tc>
          <w:tcPr>
            <w:tcW w:w="124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Executive Director</w:t>
            </w:r>
          </w:p>
          <w:p w:rsidR="00B3369E" w:rsidRPr="00B3369E" w:rsidRDefault="00B3369E" w:rsidP="004838D2">
            <w:pPr>
              <w:jc w:val="center"/>
              <w:rPr>
                <w:rFonts w:ascii="Times New Roman" w:hAnsi="Times New Roman" w:cs="Times New Roman"/>
                <w:b/>
                <w:bCs/>
                <w:color w:val="000000" w:themeColor="text1"/>
                <w:sz w:val="24"/>
                <w:szCs w:val="24"/>
              </w:rPr>
            </w:pPr>
          </w:p>
        </w:tc>
        <w:tc>
          <w:tcPr>
            <w:tcW w:w="71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1988–1991</w:t>
            </w:r>
          </w:p>
          <w:p w:rsidR="00B3369E" w:rsidRPr="00B3369E" w:rsidRDefault="00B3369E" w:rsidP="004838D2">
            <w:pPr>
              <w:jc w:val="center"/>
              <w:rPr>
                <w:rFonts w:ascii="Times New Roman" w:hAnsi="Times New Roman" w:cs="Times New Roman"/>
                <w:b/>
                <w:bCs/>
                <w:color w:val="000000" w:themeColor="text1"/>
                <w:sz w:val="24"/>
                <w:szCs w:val="24"/>
              </w:rPr>
            </w:pPr>
          </w:p>
        </w:tc>
      </w:tr>
      <w:tr w:rsidR="00B3369E" w:rsidRPr="00B3369E" w:rsidTr="004838D2">
        <w:trPr>
          <w:trHeight w:val="107"/>
          <w:jc w:val="center"/>
        </w:trPr>
        <w:tc>
          <w:tcPr>
            <w:tcW w:w="132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E Gerald Corrigan</w:t>
            </w:r>
          </w:p>
          <w:p w:rsidR="00B3369E" w:rsidRPr="00B3369E" w:rsidRDefault="00B3369E" w:rsidP="004838D2">
            <w:pPr>
              <w:jc w:val="center"/>
              <w:rPr>
                <w:rFonts w:ascii="Times New Roman" w:hAnsi="Times New Roman" w:cs="Times New Roman"/>
                <w:b/>
                <w:bCs/>
                <w:color w:val="000000" w:themeColor="text1"/>
                <w:sz w:val="24"/>
                <w:szCs w:val="24"/>
              </w:rPr>
            </w:pPr>
          </w:p>
        </w:tc>
        <w:tc>
          <w:tcPr>
            <w:tcW w:w="1718"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Federal Reserve Bank of New York</w:t>
            </w:r>
          </w:p>
          <w:p w:rsidR="00B3369E" w:rsidRPr="00B3369E" w:rsidRDefault="00B3369E" w:rsidP="004838D2">
            <w:pPr>
              <w:jc w:val="center"/>
              <w:rPr>
                <w:rFonts w:ascii="Times New Roman" w:hAnsi="Times New Roman" w:cs="Times New Roman"/>
                <w:b/>
                <w:bCs/>
                <w:color w:val="000000" w:themeColor="text1"/>
                <w:sz w:val="24"/>
                <w:szCs w:val="24"/>
              </w:rPr>
            </w:pPr>
          </w:p>
        </w:tc>
        <w:tc>
          <w:tcPr>
            <w:tcW w:w="124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President</w:t>
            </w:r>
          </w:p>
          <w:p w:rsidR="00B3369E" w:rsidRPr="00B3369E" w:rsidRDefault="00B3369E" w:rsidP="004838D2">
            <w:pPr>
              <w:ind w:firstLine="720"/>
              <w:jc w:val="center"/>
              <w:rPr>
                <w:rFonts w:ascii="Times New Roman" w:hAnsi="Times New Roman" w:cs="Times New Roman"/>
                <w:b/>
                <w:bCs/>
                <w:color w:val="000000" w:themeColor="text1"/>
                <w:sz w:val="24"/>
                <w:szCs w:val="24"/>
              </w:rPr>
            </w:pPr>
          </w:p>
        </w:tc>
        <w:tc>
          <w:tcPr>
            <w:tcW w:w="71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1991–1993</w:t>
            </w:r>
          </w:p>
          <w:p w:rsidR="00B3369E" w:rsidRPr="00B3369E" w:rsidRDefault="00B3369E" w:rsidP="004838D2">
            <w:pPr>
              <w:jc w:val="center"/>
              <w:rPr>
                <w:rFonts w:ascii="Times New Roman" w:hAnsi="Times New Roman" w:cs="Times New Roman"/>
                <w:b/>
                <w:bCs/>
                <w:color w:val="000000" w:themeColor="text1"/>
                <w:sz w:val="24"/>
                <w:szCs w:val="24"/>
              </w:rPr>
            </w:pPr>
          </w:p>
        </w:tc>
      </w:tr>
      <w:tr w:rsidR="00B3369E" w:rsidRPr="00B3369E" w:rsidTr="004838D2">
        <w:trPr>
          <w:jc w:val="center"/>
        </w:trPr>
        <w:tc>
          <w:tcPr>
            <w:tcW w:w="1324" w:type="pct"/>
            <w:shd w:val="clear" w:color="auto" w:fill="auto"/>
            <w:vAlign w:val="center"/>
          </w:tcPr>
          <w:p w:rsidR="00B3369E" w:rsidRPr="00B3369E" w:rsidRDefault="00B3369E" w:rsidP="004838D2">
            <w:pPr>
              <w:pStyle w:val="Default"/>
              <w:jc w:val="center"/>
              <w:rPr>
                <w:b/>
                <w:bCs/>
                <w:color w:val="000000" w:themeColor="text1"/>
              </w:rPr>
            </w:pPr>
            <w:proofErr w:type="spellStart"/>
            <w:r w:rsidRPr="00B3369E">
              <w:rPr>
                <w:b/>
                <w:bCs/>
                <w:color w:val="000000" w:themeColor="text1"/>
              </w:rPr>
              <w:t>Tommaso</w:t>
            </w:r>
            <w:proofErr w:type="spellEnd"/>
            <w:r w:rsidRPr="00B3369E">
              <w:rPr>
                <w:b/>
                <w:bCs/>
                <w:color w:val="000000" w:themeColor="text1"/>
              </w:rPr>
              <w:t xml:space="preserve"> </w:t>
            </w:r>
            <w:proofErr w:type="spellStart"/>
            <w:r w:rsidRPr="00B3369E">
              <w:rPr>
                <w:b/>
                <w:bCs/>
                <w:color w:val="000000" w:themeColor="text1"/>
              </w:rPr>
              <w:t>Padoa-Schioppa</w:t>
            </w:r>
            <w:proofErr w:type="spellEnd"/>
          </w:p>
          <w:p w:rsidR="00B3369E" w:rsidRPr="00B3369E" w:rsidRDefault="00B3369E" w:rsidP="004838D2">
            <w:pPr>
              <w:jc w:val="center"/>
              <w:rPr>
                <w:rFonts w:ascii="Times New Roman" w:hAnsi="Times New Roman" w:cs="Times New Roman"/>
                <w:b/>
                <w:bCs/>
                <w:color w:val="000000" w:themeColor="text1"/>
                <w:sz w:val="24"/>
                <w:szCs w:val="24"/>
              </w:rPr>
            </w:pPr>
          </w:p>
        </w:tc>
        <w:tc>
          <w:tcPr>
            <w:tcW w:w="1718"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Bank of Italy</w:t>
            </w:r>
          </w:p>
          <w:p w:rsidR="00B3369E" w:rsidRPr="00B3369E" w:rsidRDefault="00B3369E" w:rsidP="004838D2">
            <w:pPr>
              <w:jc w:val="center"/>
              <w:rPr>
                <w:rFonts w:ascii="Times New Roman" w:hAnsi="Times New Roman" w:cs="Times New Roman"/>
                <w:b/>
                <w:bCs/>
                <w:color w:val="000000" w:themeColor="text1"/>
                <w:sz w:val="24"/>
                <w:szCs w:val="24"/>
              </w:rPr>
            </w:pPr>
          </w:p>
        </w:tc>
        <w:tc>
          <w:tcPr>
            <w:tcW w:w="124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Deputy Director General</w:t>
            </w:r>
          </w:p>
          <w:p w:rsidR="00B3369E" w:rsidRPr="00B3369E" w:rsidRDefault="00B3369E" w:rsidP="004838D2">
            <w:pPr>
              <w:jc w:val="center"/>
              <w:rPr>
                <w:rFonts w:ascii="Times New Roman" w:hAnsi="Times New Roman" w:cs="Times New Roman"/>
                <w:b/>
                <w:bCs/>
                <w:color w:val="000000" w:themeColor="text1"/>
                <w:sz w:val="24"/>
                <w:szCs w:val="24"/>
              </w:rPr>
            </w:pPr>
          </w:p>
        </w:tc>
        <w:tc>
          <w:tcPr>
            <w:tcW w:w="71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1993–1997</w:t>
            </w:r>
          </w:p>
          <w:p w:rsidR="00B3369E" w:rsidRPr="00B3369E" w:rsidRDefault="00B3369E" w:rsidP="004838D2">
            <w:pPr>
              <w:jc w:val="center"/>
              <w:rPr>
                <w:rFonts w:ascii="Times New Roman" w:hAnsi="Times New Roman" w:cs="Times New Roman"/>
                <w:b/>
                <w:bCs/>
                <w:color w:val="000000" w:themeColor="text1"/>
                <w:sz w:val="24"/>
                <w:szCs w:val="24"/>
              </w:rPr>
            </w:pPr>
          </w:p>
        </w:tc>
      </w:tr>
      <w:tr w:rsidR="00B3369E" w:rsidRPr="00B3369E" w:rsidTr="004838D2">
        <w:trPr>
          <w:jc w:val="center"/>
        </w:trPr>
        <w:tc>
          <w:tcPr>
            <w:tcW w:w="132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 xml:space="preserve">Tom de </w:t>
            </w:r>
            <w:proofErr w:type="spellStart"/>
            <w:r w:rsidRPr="00B3369E">
              <w:rPr>
                <w:b/>
                <w:bCs/>
                <w:color w:val="000000" w:themeColor="text1"/>
              </w:rPr>
              <w:t>Swaan</w:t>
            </w:r>
            <w:proofErr w:type="spellEnd"/>
          </w:p>
          <w:p w:rsidR="00B3369E" w:rsidRPr="00B3369E" w:rsidRDefault="00B3369E" w:rsidP="004838D2">
            <w:pPr>
              <w:jc w:val="center"/>
              <w:rPr>
                <w:rFonts w:ascii="Times New Roman" w:hAnsi="Times New Roman" w:cs="Times New Roman"/>
                <w:b/>
                <w:bCs/>
                <w:color w:val="000000" w:themeColor="text1"/>
                <w:sz w:val="24"/>
                <w:szCs w:val="24"/>
              </w:rPr>
            </w:pPr>
          </w:p>
        </w:tc>
        <w:tc>
          <w:tcPr>
            <w:tcW w:w="1718"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Netherlands Bank</w:t>
            </w:r>
          </w:p>
          <w:p w:rsidR="00B3369E" w:rsidRPr="00B3369E" w:rsidRDefault="00B3369E" w:rsidP="004838D2">
            <w:pPr>
              <w:ind w:firstLine="720"/>
              <w:jc w:val="center"/>
              <w:rPr>
                <w:rFonts w:ascii="Times New Roman" w:hAnsi="Times New Roman" w:cs="Times New Roman"/>
                <w:b/>
                <w:bCs/>
                <w:color w:val="000000" w:themeColor="text1"/>
                <w:sz w:val="24"/>
                <w:szCs w:val="24"/>
              </w:rPr>
            </w:pPr>
          </w:p>
        </w:tc>
        <w:tc>
          <w:tcPr>
            <w:tcW w:w="124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Executive Director</w:t>
            </w:r>
          </w:p>
          <w:p w:rsidR="00B3369E" w:rsidRPr="00B3369E" w:rsidRDefault="00B3369E" w:rsidP="004838D2">
            <w:pPr>
              <w:ind w:firstLine="720"/>
              <w:jc w:val="center"/>
              <w:rPr>
                <w:rFonts w:ascii="Times New Roman" w:hAnsi="Times New Roman" w:cs="Times New Roman"/>
                <w:b/>
                <w:bCs/>
                <w:color w:val="000000" w:themeColor="text1"/>
                <w:sz w:val="24"/>
                <w:szCs w:val="24"/>
              </w:rPr>
            </w:pPr>
          </w:p>
        </w:tc>
        <w:tc>
          <w:tcPr>
            <w:tcW w:w="71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1997–1998</w:t>
            </w:r>
          </w:p>
          <w:p w:rsidR="00B3369E" w:rsidRPr="00B3369E" w:rsidRDefault="00B3369E" w:rsidP="004838D2">
            <w:pPr>
              <w:ind w:firstLine="720"/>
              <w:jc w:val="center"/>
              <w:rPr>
                <w:rFonts w:ascii="Times New Roman" w:hAnsi="Times New Roman" w:cs="Times New Roman"/>
                <w:b/>
                <w:bCs/>
                <w:color w:val="000000" w:themeColor="text1"/>
                <w:sz w:val="24"/>
                <w:szCs w:val="24"/>
              </w:rPr>
            </w:pPr>
          </w:p>
        </w:tc>
      </w:tr>
      <w:tr w:rsidR="00B3369E" w:rsidRPr="00B3369E" w:rsidTr="004838D2">
        <w:trPr>
          <w:jc w:val="center"/>
        </w:trPr>
        <w:tc>
          <w:tcPr>
            <w:tcW w:w="132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1997–1998</w:t>
            </w:r>
          </w:p>
          <w:p w:rsidR="00B3369E" w:rsidRPr="00B3369E" w:rsidRDefault="00B3369E" w:rsidP="004838D2">
            <w:pPr>
              <w:jc w:val="center"/>
              <w:rPr>
                <w:rFonts w:ascii="Times New Roman" w:hAnsi="Times New Roman" w:cs="Times New Roman"/>
                <w:b/>
                <w:bCs/>
                <w:color w:val="000000" w:themeColor="text1"/>
                <w:sz w:val="24"/>
                <w:szCs w:val="24"/>
              </w:rPr>
            </w:pPr>
          </w:p>
        </w:tc>
        <w:tc>
          <w:tcPr>
            <w:tcW w:w="1718"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Federal Reserve Bank of New York</w:t>
            </w:r>
          </w:p>
          <w:p w:rsidR="00B3369E" w:rsidRPr="00B3369E" w:rsidRDefault="00B3369E" w:rsidP="004838D2">
            <w:pPr>
              <w:jc w:val="center"/>
              <w:rPr>
                <w:rFonts w:ascii="Times New Roman" w:hAnsi="Times New Roman" w:cs="Times New Roman"/>
                <w:b/>
                <w:bCs/>
                <w:color w:val="000000" w:themeColor="text1"/>
                <w:sz w:val="24"/>
                <w:szCs w:val="24"/>
              </w:rPr>
            </w:pPr>
          </w:p>
        </w:tc>
        <w:tc>
          <w:tcPr>
            <w:tcW w:w="124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President</w:t>
            </w:r>
          </w:p>
          <w:p w:rsidR="00B3369E" w:rsidRPr="00B3369E" w:rsidRDefault="00B3369E" w:rsidP="004838D2">
            <w:pPr>
              <w:jc w:val="center"/>
              <w:rPr>
                <w:rFonts w:ascii="Times New Roman" w:hAnsi="Times New Roman" w:cs="Times New Roman"/>
                <w:b/>
                <w:bCs/>
                <w:color w:val="000000" w:themeColor="text1"/>
                <w:sz w:val="24"/>
                <w:szCs w:val="24"/>
              </w:rPr>
            </w:pPr>
          </w:p>
        </w:tc>
        <w:tc>
          <w:tcPr>
            <w:tcW w:w="71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1998–2003</w:t>
            </w:r>
          </w:p>
          <w:p w:rsidR="00B3369E" w:rsidRPr="00B3369E" w:rsidRDefault="00B3369E" w:rsidP="004838D2">
            <w:pPr>
              <w:jc w:val="center"/>
              <w:rPr>
                <w:rFonts w:ascii="Times New Roman" w:hAnsi="Times New Roman" w:cs="Times New Roman"/>
                <w:b/>
                <w:bCs/>
                <w:color w:val="000000" w:themeColor="text1"/>
                <w:sz w:val="24"/>
                <w:szCs w:val="24"/>
              </w:rPr>
            </w:pPr>
          </w:p>
        </w:tc>
      </w:tr>
      <w:tr w:rsidR="00B3369E" w:rsidRPr="00B3369E" w:rsidTr="004838D2">
        <w:trPr>
          <w:jc w:val="center"/>
        </w:trPr>
        <w:tc>
          <w:tcPr>
            <w:tcW w:w="132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 xml:space="preserve">Jaime </w:t>
            </w:r>
            <w:proofErr w:type="spellStart"/>
            <w:r w:rsidRPr="00B3369E">
              <w:rPr>
                <w:b/>
                <w:bCs/>
                <w:color w:val="000000" w:themeColor="text1"/>
              </w:rPr>
              <w:t>Caruana</w:t>
            </w:r>
            <w:proofErr w:type="spellEnd"/>
          </w:p>
          <w:p w:rsidR="00B3369E" w:rsidRPr="00B3369E" w:rsidRDefault="00B3369E" w:rsidP="004838D2">
            <w:pPr>
              <w:jc w:val="center"/>
              <w:rPr>
                <w:rFonts w:ascii="Times New Roman" w:hAnsi="Times New Roman" w:cs="Times New Roman"/>
                <w:b/>
                <w:bCs/>
                <w:color w:val="000000" w:themeColor="text1"/>
                <w:sz w:val="24"/>
                <w:szCs w:val="24"/>
              </w:rPr>
            </w:pPr>
          </w:p>
        </w:tc>
        <w:tc>
          <w:tcPr>
            <w:tcW w:w="1718"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Bank of Spain</w:t>
            </w:r>
          </w:p>
          <w:p w:rsidR="00B3369E" w:rsidRPr="00B3369E" w:rsidRDefault="00B3369E" w:rsidP="004838D2">
            <w:pPr>
              <w:jc w:val="center"/>
              <w:rPr>
                <w:rFonts w:ascii="Times New Roman" w:hAnsi="Times New Roman" w:cs="Times New Roman"/>
                <w:b/>
                <w:bCs/>
                <w:color w:val="000000" w:themeColor="text1"/>
                <w:sz w:val="24"/>
                <w:szCs w:val="24"/>
              </w:rPr>
            </w:pPr>
          </w:p>
        </w:tc>
        <w:tc>
          <w:tcPr>
            <w:tcW w:w="124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Governor</w:t>
            </w:r>
          </w:p>
          <w:p w:rsidR="00B3369E" w:rsidRPr="00B3369E" w:rsidRDefault="00B3369E" w:rsidP="004838D2">
            <w:pPr>
              <w:jc w:val="center"/>
              <w:rPr>
                <w:rFonts w:ascii="Times New Roman" w:hAnsi="Times New Roman" w:cs="Times New Roman"/>
                <w:b/>
                <w:bCs/>
                <w:color w:val="000000" w:themeColor="text1"/>
                <w:sz w:val="24"/>
                <w:szCs w:val="24"/>
              </w:rPr>
            </w:pPr>
          </w:p>
        </w:tc>
        <w:tc>
          <w:tcPr>
            <w:tcW w:w="71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2003–2006</w:t>
            </w:r>
          </w:p>
          <w:p w:rsidR="00B3369E" w:rsidRPr="00B3369E" w:rsidRDefault="00B3369E" w:rsidP="004838D2">
            <w:pPr>
              <w:jc w:val="center"/>
              <w:rPr>
                <w:rFonts w:ascii="Times New Roman" w:hAnsi="Times New Roman" w:cs="Times New Roman"/>
                <w:b/>
                <w:bCs/>
                <w:color w:val="000000" w:themeColor="text1"/>
                <w:sz w:val="24"/>
                <w:szCs w:val="24"/>
              </w:rPr>
            </w:pPr>
          </w:p>
        </w:tc>
      </w:tr>
      <w:tr w:rsidR="00B3369E" w:rsidRPr="00B3369E" w:rsidTr="004838D2">
        <w:trPr>
          <w:jc w:val="center"/>
        </w:trPr>
        <w:tc>
          <w:tcPr>
            <w:tcW w:w="1324" w:type="pct"/>
            <w:shd w:val="clear" w:color="auto" w:fill="auto"/>
            <w:vAlign w:val="center"/>
          </w:tcPr>
          <w:p w:rsidR="00B3369E" w:rsidRPr="00B3369E" w:rsidRDefault="00B3369E" w:rsidP="004838D2">
            <w:pPr>
              <w:pStyle w:val="Default"/>
              <w:jc w:val="center"/>
              <w:rPr>
                <w:b/>
                <w:bCs/>
                <w:color w:val="000000" w:themeColor="text1"/>
              </w:rPr>
            </w:pPr>
            <w:proofErr w:type="spellStart"/>
            <w:r w:rsidRPr="00B3369E">
              <w:rPr>
                <w:b/>
                <w:bCs/>
                <w:color w:val="000000" w:themeColor="text1"/>
              </w:rPr>
              <w:t>Nout</w:t>
            </w:r>
            <w:proofErr w:type="spellEnd"/>
            <w:r w:rsidRPr="00B3369E">
              <w:rPr>
                <w:b/>
                <w:bCs/>
                <w:color w:val="000000" w:themeColor="text1"/>
              </w:rPr>
              <w:t xml:space="preserve"> </w:t>
            </w:r>
            <w:proofErr w:type="spellStart"/>
            <w:r w:rsidRPr="00B3369E">
              <w:rPr>
                <w:b/>
                <w:bCs/>
                <w:color w:val="000000" w:themeColor="text1"/>
              </w:rPr>
              <w:t>Wellink</w:t>
            </w:r>
            <w:proofErr w:type="spellEnd"/>
          </w:p>
          <w:p w:rsidR="00B3369E" w:rsidRPr="00B3369E" w:rsidRDefault="00B3369E" w:rsidP="004838D2">
            <w:pPr>
              <w:jc w:val="center"/>
              <w:rPr>
                <w:rFonts w:ascii="Times New Roman" w:hAnsi="Times New Roman" w:cs="Times New Roman"/>
                <w:b/>
                <w:bCs/>
                <w:color w:val="000000" w:themeColor="text1"/>
                <w:sz w:val="24"/>
                <w:szCs w:val="24"/>
              </w:rPr>
            </w:pPr>
          </w:p>
        </w:tc>
        <w:tc>
          <w:tcPr>
            <w:tcW w:w="1718"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Netherlands Bank</w:t>
            </w:r>
          </w:p>
          <w:p w:rsidR="00B3369E" w:rsidRPr="00B3369E" w:rsidRDefault="00B3369E" w:rsidP="004838D2">
            <w:pPr>
              <w:jc w:val="center"/>
              <w:rPr>
                <w:rFonts w:ascii="Times New Roman" w:hAnsi="Times New Roman" w:cs="Times New Roman"/>
                <w:b/>
                <w:bCs/>
                <w:color w:val="000000" w:themeColor="text1"/>
                <w:sz w:val="24"/>
                <w:szCs w:val="24"/>
              </w:rPr>
            </w:pPr>
          </w:p>
        </w:tc>
        <w:tc>
          <w:tcPr>
            <w:tcW w:w="124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President</w:t>
            </w:r>
          </w:p>
          <w:p w:rsidR="00B3369E" w:rsidRPr="00B3369E" w:rsidRDefault="00B3369E" w:rsidP="004838D2">
            <w:pPr>
              <w:jc w:val="center"/>
              <w:rPr>
                <w:rFonts w:ascii="Times New Roman" w:hAnsi="Times New Roman" w:cs="Times New Roman"/>
                <w:b/>
                <w:bCs/>
                <w:color w:val="000000" w:themeColor="text1"/>
                <w:sz w:val="24"/>
                <w:szCs w:val="24"/>
              </w:rPr>
            </w:pPr>
          </w:p>
        </w:tc>
        <w:tc>
          <w:tcPr>
            <w:tcW w:w="71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2006–2011</w:t>
            </w:r>
          </w:p>
          <w:p w:rsidR="00B3369E" w:rsidRPr="00B3369E" w:rsidRDefault="00B3369E" w:rsidP="004838D2">
            <w:pPr>
              <w:jc w:val="center"/>
              <w:rPr>
                <w:rFonts w:ascii="Times New Roman" w:hAnsi="Times New Roman" w:cs="Times New Roman"/>
                <w:b/>
                <w:bCs/>
                <w:color w:val="000000" w:themeColor="text1"/>
                <w:sz w:val="24"/>
                <w:szCs w:val="24"/>
              </w:rPr>
            </w:pPr>
          </w:p>
        </w:tc>
      </w:tr>
      <w:tr w:rsidR="00B3369E" w:rsidRPr="00B3369E" w:rsidTr="004838D2">
        <w:trPr>
          <w:jc w:val="center"/>
        </w:trPr>
        <w:tc>
          <w:tcPr>
            <w:tcW w:w="132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 xml:space="preserve">Stefan </w:t>
            </w:r>
            <w:proofErr w:type="spellStart"/>
            <w:r w:rsidRPr="00B3369E">
              <w:rPr>
                <w:b/>
                <w:bCs/>
                <w:color w:val="000000" w:themeColor="text1"/>
              </w:rPr>
              <w:t>Ingves</w:t>
            </w:r>
            <w:proofErr w:type="spellEnd"/>
          </w:p>
          <w:p w:rsidR="00B3369E" w:rsidRPr="00B3369E" w:rsidRDefault="00B3369E" w:rsidP="004838D2">
            <w:pPr>
              <w:ind w:firstLine="720"/>
              <w:jc w:val="center"/>
              <w:rPr>
                <w:rFonts w:ascii="Times New Roman" w:hAnsi="Times New Roman" w:cs="Times New Roman"/>
                <w:b/>
                <w:bCs/>
                <w:color w:val="000000" w:themeColor="text1"/>
                <w:sz w:val="24"/>
                <w:szCs w:val="24"/>
              </w:rPr>
            </w:pPr>
          </w:p>
        </w:tc>
        <w:tc>
          <w:tcPr>
            <w:tcW w:w="1718" w:type="pct"/>
            <w:shd w:val="clear" w:color="auto" w:fill="auto"/>
            <w:vAlign w:val="center"/>
          </w:tcPr>
          <w:p w:rsidR="00B3369E" w:rsidRPr="00B3369E" w:rsidRDefault="00B3369E" w:rsidP="004838D2">
            <w:pPr>
              <w:pStyle w:val="Default"/>
              <w:jc w:val="center"/>
              <w:rPr>
                <w:b/>
                <w:bCs/>
                <w:color w:val="000000" w:themeColor="text1"/>
              </w:rPr>
            </w:pPr>
            <w:proofErr w:type="spellStart"/>
            <w:r w:rsidRPr="00B3369E">
              <w:rPr>
                <w:b/>
                <w:bCs/>
                <w:color w:val="000000" w:themeColor="text1"/>
              </w:rPr>
              <w:t>Sveriges</w:t>
            </w:r>
            <w:proofErr w:type="spellEnd"/>
            <w:r w:rsidRPr="00B3369E">
              <w:rPr>
                <w:b/>
                <w:bCs/>
                <w:color w:val="000000" w:themeColor="text1"/>
              </w:rPr>
              <w:t xml:space="preserve"> </w:t>
            </w:r>
            <w:proofErr w:type="spellStart"/>
            <w:r w:rsidRPr="00B3369E">
              <w:rPr>
                <w:b/>
                <w:bCs/>
                <w:color w:val="000000" w:themeColor="text1"/>
              </w:rPr>
              <w:t>Riksbank</w:t>
            </w:r>
            <w:proofErr w:type="spellEnd"/>
          </w:p>
          <w:p w:rsidR="00B3369E" w:rsidRPr="00B3369E" w:rsidRDefault="00B3369E" w:rsidP="004838D2">
            <w:pPr>
              <w:jc w:val="center"/>
              <w:rPr>
                <w:rFonts w:ascii="Times New Roman" w:hAnsi="Times New Roman" w:cs="Times New Roman"/>
                <w:b/>
                <w:bCs/>
                <w:color w:val="000000" w:themeColor="text1"/>
                <w:sz w:val="24"/>
                <w:szCs w:val="24"/>
              </w:rPr>
            </w:pPr>
          </w:p>
        </w:tc>
        <w:tc>
          <w:tcPr>
            <w:tcW w:w="124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Governor</w:t>
            </w:r>
          </w:p>
          <w:p w:rsidR="00B3369E" w:rsidRPr="00B3369E" w:rsidRDefault="00B3369E" w:rsidP="004838D2">
            <w:pPr>
              <w:jc w:val="center"/>
              <w:rPr>
                <w:rFonts w:ascii="Times New Roman" w:hAnsi="Times New Roman" w:cs="Times New Roman"/>
                <w:b/>
                <w:bCs/>
                <w:color w:val="000000" w:themeColor="text1"/>
                <w:sz w:val="24"/>
                <w:szCs w:val="24"/>
              </w:rPr>
            </w:pPr>
          </w:p>
        </w:tc>
        <w:tc>
          <w:tcPr>
            <w:tcW w:w="714" w:type="pct"/>
            <w:shd w:val="clear" w:color="auto" w:fill="auto"/>
            <w:vAlign w:val="center"/>
          </w:tcPr>
          <w:p w:rsidR="00B3369E" w:rsidRPr="00B3369E" w:rsidRDefault="00B3369E" w:rsidP="004838D2">
            <w:pPr>
              <w:pStyle w:val="Default"/>
              <w:jc w:val="center"/>
              <w:rPr>
                <w:b/>
                <w:bCs/>
                <w:color w:val="000000" w:themeColor="text1"/>
              </w:rPr>
            </w:pPr>
            <w:r w:rsidRPr="00B3369E">
              <w:rPr>
                <w:b/>
                <w:bCs/>
                <w:color w:val="000000" w:themeColor="text1"/>
              </w:rPr>
              <w:t>2011–present</w:t>
            </w:r>
          </w:p>
          <w:p w:rsidR="00B3369E" w:rsidRPr="00B3369E" w:rsidRDefault="00B3369E" w:rsidP="004838D2">
            <w:pPr>
              <w:jc w:val="center"/>
              <w:rPr>
                <w:rFonts w:ascii="Times New Roman" w:hAnsi="Times New Roman" w:cs="Times New Roman"/>
                <w:b/>
                <w:bCs/>
                <w:color w:val="000000" w:themeColor="text1"/>
                <w:sz w:val="24"/>
                <w:szCs w:val="24"/>
              </w:rPr>
            </w:pPr>
          </w:p>
        </w:tc>
      </w:tr>
    </w:tbl>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26" w:name="_Toc6610615"/>
      <w:bookmarkStart w:id="127" w:name="_Toc6614041"/>
      <w:r w:rsidRPr="00B3369E">
        <w:rPr>
          <w:rFonts w:ascii="Times New Roman" w:hAnsi="Times New Roman" w:cs="Times New Roman"/>
          <w:color w:val="632423" w:themeColor="accent2" w:themeShade="80"/>
          <w:sz w:val="28"/>
          <w:szCs w:val="28"/>
        </w:rPr>
        <w:t>4.2 Basel I</w:t>
      </w:r>
      <w:bookmarkEnd w:id="126"/>
      <w:bookmarkEnd w:id="127"/>
    </w:p>
    <w:p w:rsidR="00B3369E" w:rsidRPr="00B3369E" w:rsidRDefault="00B3369E" w:rsidP="00B3369E">
      <w:pPr>
        <w:tabs>
          <w:tab w:val="left" w:pos="3337"/>
        </w:tabs>
        <w:spacing w:after="0"/>
        <w:jc w:val="both"/>
        <w:rPr>
          <w:rFonts w:ascii="Times New Roman" w:hAnsi="Times New Roman" w:cs="Times New Roman"/>
          <w:b/>
          <w:bCs/>
          <w:sz w:val="24"/>
          <w:szCs w:val="24"/>
          <w:u w:val="single"/>
          <w:cs/>
        </w:rPr>
      </w:pPr>
      <w:r w:rsidRPr="00B3369E">
        <w:rPr>
          <w:rFonts w:ascii="Times New Roman" w:hAnsi="Times New Roman" w:cs="Times New Roman"/>
          <w:sz w:val="24"/>
          <w:szCs w:val="24"/>
        </w:rPr>
        <w:br/>
      </w:r>
      <w:r w:rsidRPr="00B3369E">
        <w:rPr>
          <w:rFonts w:ascii="Times New Roman" w:hAnsi="Times New Roman" w:cs="Times New Roman"/>
          <w:color w:val="212121"/>
          <w:sz w:val="24"/>
          <w:szCs w:val="24"/>
          <w:shd w:val="clear" w:color="auto" w:fill="FFFFFF"/>
        </w:rPr>
        <w:t xml:space="preserve">The Basel-controlled first powered publication starts "Concordat". Document preparation on this concord discussion and other topics, Basel I and Liquidity Risk Control The work of the Basel Committee is to analyze the complexity of the modern banking system and respond to the suggestions of guidelines for proper supervision. </w:t>
      </w:r>
      <w:r w:rsidRPr="00B3369E">
        <w:rPr>
          <w:rFonts w:ascii="Times New Roman" w:hAnsi="Times New Roman" w:cs="Times New Roman"/>
          <w:color w:val="212121"/>
          <w:sz w:val="24"/>
          <w:szCs w:val="24"/>
        </w:rPr>
        <w:t xml:space="preserve">In 1988, the Basel Committee of Basel's Banking Supervision (BCBS) in Switzerland disclosed the minimum capital requirements for the banks. The minimum amount (8%) of the capital should be maintained based on the risk weighted assets of banks working internationally. Basel I am a set of international banking regulations created by the Basel Committee under the supervision of the bank, which determines the minimum capital requirement of financial institutions to reduce credit risk. Basel, I appreciate the risk of focusing on creating a bank asset classification system. </w:t>
      </w:r>
      <w:r w:rsidRPr="00B3369E">
        <w:rPr>
          <w:rFonts w:ascii="Times New Roman" w:hAnsi="Times New Roman" w:cs="Times New Roman"/>
          <w:color w:val="212121"/>
          <w:sz w:val="24"/>
          <w:szCs w:val="24"/>
          <w:shd w:val="clear" w:color="auto" w:fill="FFFFFF"/>
        </w:rPr>
        <w:t>The risk-weighted assets with the international needs to be hold 8% of the equal capital. Large banks like JP Morgan Chase are available, the Basel IT 8% is illogical and the required default credit swaps are implemented so that they will only keep the capital of assets 1.6%. Basel described under the description of two capitals I discussed in two capitals:</w:t>
      </w:r>
    </w:p>
    <w:p w:rsidR="00B3369E" w:rsidRPr="00B3369E" w:rsidRDefault="00B3369E" w:rsidP="00B3369E">
      <w:pPr>
        <w:spacing w:after="0"/>
        <w:jc w:val="both"/>
        <w:rPr>
          <w:rStyle w:val="Heading2Char"/>
          <w:rFonts w:ascii="Times New Roman" w:hAnsi="Times New Roman" w:cs="Times New Roman"/>
          <w:sz w:val="28"/>
          <w:szCs w:val="28"/>
        </w:rPr>
      </w:pPr>
    </w:p>
    <w:p w:rsidR="00B3369E" w:rsidRPr="00B3369E" w:rsidRDefault="00B3369E" w:rsidP="00B3369E">
      <w:pPr>
        <w:jc w:val="both"/>
        <w:rPr>
          <w:rFonts w:ascii="Times New Roman" w:hAnsi="Times New Roman" w:cs="Times New Roman"/>
          <w:sz w:val="24"/>
          <w:szCs w:val="24"/>
          <w:cs/>
        </w:rPr>
      </w:pPr>
      <w:bookmarkStart w:id="128" w:name="_Toc6610616"/>
      <w:bookmarkStart w:id="129" w:name="_Toc6614042"/>
      <w:r w:rsidRPr="00B3369E">
        <w:rPr>
          <w:rStyle w:val="Heading3Char"/>
          <w:rFonts w:ascii="Times New Roman" w:hAnsi="Times New Roman" w:cs="Times New Roman"/>
          <w:color w:val="943634" w:themeColor="accent2" w:themeShade="BF"/>
          <w:sz w:val="24"/>
          <w:szCs w:val="24"/>
        </w:rPr>
        <w:t>4.2.1 Tier 1 Capital:</w:t>
      </w:r>
      <w:bookmarkEnd w:id="128"/>
      <w:bookmarkEnd w:id="129"/>
      <w:r w:rsidRPr="00B3369E">
        <w:rPr>
          <w:rFonts w:ascii="Times New Roman" w:hAnsi="Times New Roman" w:cs="Times New Roman"/>
          <w:b/>
          <w:bCs/>
          <w:sz w:val="24"/>
          <w:szCs w:val="24"/>
        </w:rPr>
        <w:t xml:space="preserve">  </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rPr>
        <w:t xml:space="preserve">Bank </w:t>
      </w:r>
      <w:r w:rsidRPr="00B3369E">
        <w:rPr>
          <w:rFonts w:ascii="Times New Roman" w:hAnsi="Times New Roman" w:cs="Times New Roman"/>
          <w:color w:val="212121"/>
          <w:sz w:val="24"/>
          <w:szCs w:val="24"/>
          <w:cs/>
        </w:rPr>
        <w:t xml:space="preserve">core </w:t>
      </w:r>
      <w:r w:rsidRPr="00B3369E">
        <w:rPr>
          <w:rFonts w:ascii="Times New Roman" w:hAnsi="Times New Roman" w:cs="Times New Roman"/>
          <w:color w:val="212121"/>
          <w:sz w:val="24"/>
          <w:szCs w:val="24"/>
        </w:rPr>
        <w:t xml:space="preserve">capital </w:t>
      </w:r>
      <w:r w:rsidRPr="00B3369E">
        <w:rPr>
          <w:rFonts w:ascii="Times New Roman" w:hAnsi="Times New Roman" w:cs="Times New Roman"/>
          <w:color w:val="212121"/>
          <w:sz w:val="24"/>
          <w:szCs w:val="24"/>
          <w:cs/>
        </w:rPr>
        <w:t>is the</w:t>
      </w:r>
      <w:r w:rsidRPr="00B3369E">
        <w:rPr>
          <w:rFonts w:ascii="Times New Roman" w:hAnsi="Times New Roman" w:cs="Times New Roman"/>
          <w:color w:val="212121"/>
          <w:sz w:val="24"/>
          <w:szCs w:val="24"/>
        </w:rPr>
        <w:t xml:space="preserve"> </w:t>
      </w:r>
      <w:r w:rsidRPr="00B3369E">
        <w:rPr>
          <w:rFonts w:ascii="Times New Roman" w:hAnsi="Times New Roman" w:cs="Times New Roman"/>
          <w:color w:val="212121"/>
          <w:sz w:val="24"/>
          <w:szCs w:val="24"/>
          <w:cs/>
        </w:rPr>
        <w:t>asset</w:t>
      </w:r>
      <w:r w:rsidRPr="00B3369E">
        <w:rPr>
          <w:rFonts w:ascii="Times New Roman" w:hAnsi="Times New Roman" w:cs="Times New Roman"/>
          <w:color w:val="212121"/>
          <w:sz w:val="24"/>
          <w:szCs w:val="24"/>
        </w:rPr>
        <w:t>. Capital is a</w:t>
      </w:r>
      <w:r w:rsidRPr="00B3369E">
        <w:rPr>
          <w:rFonts w:ascii="Times New Roman" w:hAnsi="Times New Roman" w:cs="Times New Roman"/>
          <w:color w:val="212121"/>
          <w:sz w:val="24"/>
          <w:szCs w:val="24"/>
          <w:cs/>
        </w:rPr>
        <w:t>n asset</w:t>
      </w:r>
      <w:r w:rsidRPr="00B3369E">
        <w:rPr>
          <w:rFonts w:ascii="Times New Roman" w:hAnsi="Times New Roman" w:cs="Times New Roman"/>
          <w:color w:val="212121"/>
          <w:sz w:val="24"/>
          <w:szCs w:val="24"/>
        </w:rPr>
        <w:t xml:space="preserve">. The liquidity of this resource will be that it is going to get better assets soon. </w:t>
      </w:r>
      <w:r w:rsidRPr="00B3369E">
        <w:rPr>
          <w:rFonts w:ascii="Times New Roman" w:hAnsi="Times New Roman" w:cs="Times New Roman"/>
          <w:color w:val="212121"/>
          <w:sz w:val="24"/>
          <w:szCs w:val="24"/>
          <w:cs/>
        </w:rPr>
        <w:t>T</w:t>
      </w:r>
      <w:proofErr w:type="spellStart"/>
      <w:r w:rsidRPr="00B3369E">
        <w:rPr>
          <w:rFonts w:ascii="Times New Roman" w:hAnsi="Times New Roman" w:cs="Times New Roman"/>
          <w:color w:val="212121"/>
          <w:sz w:val="24"/>
          <w:szCs w:val="24"/>
        </w:rPr>
        <w:t>ier</w:t>
      </w:r>
      <w:proofErr w:type="spellEnd"/>
      <w:r w:rsidRPr="00B3369E">
        <w:rPr>
          <w:rFonts w:ascii="Times New Roman" w:hAnsi="Times New Roman" w:cs="Times New Roman"/>
          <w:color w:val="212121"/>
          <w:sz w:val="24"/>
          <w:szCs w:val="24"/>
        </w:rPr>
        <w:t xml:space="preserve"> 1 includes a common share of capital, </w:t>
      </w:r>
      <w:r w:rsidRPr="00B3369E">
        <w:rPr>
          <w:rFonts w:ascii="Times New Roman" w:hAnsi="Times New Roman" w:cs="Times New Roman"/>
          <w:color w:val="212121"/>
          <w:sz w:val="24"/>
          <w:szCs w:val="24"/>
          <w:cs/>
        </w:rPr>
        <w:t>retained earning</w:t>
      </w:r>
      <w:r w:rsidRPr="00B3369E">
        <w:rPr>
          <w:rFonts w:ascii="Times New Roman" w:hAnsi="Times New Roman" w:cs="Times New Roman"/>
          <w:color w:val="212121"/>
          <w:sz w:val="24"/>
          <w:szCs w:val="24"/>
        </w:rPr>
        <w:t xml:space="preserve">, the capital </w:t>
      </w:r>
      <w:r w:rsidRPr="00B3369E">
        <w:rPr>
          <w:rFonts w:ascii="Times New Roman" w:hAnsi="Times New Roman" w:cs="Times New Roman"/>
          <w:color w:val="212121"/>
          <w:sz w:val="24"/>
          <w:szCs w:val="24"/>
          <w:cs/>
        </w:rPr>
        <w:t>equity</w:t>
      </w:r>
      <w:r w:rsidRPr="00B3369E">
        <w:rPr>
          <w:rFonts w:ascii="Times New Roman" w:hAnsi="Times New Roman" w:cs="Times New Roman"/>
          <w:color w:val="212121"/>
          <w:sz w:val="24"/>
          <w:szCs w:val="24"/>
        </w:rPr>
        <w:t xml:space="preserve"> (company own fund), shareholders agreed on the preferential basis, and the reserved areas such as the lending reserve to be kept safe for future loss or to ease the income variation. </w:t>
      </w:r>
      <w:r w:rsidRPr="00B3369E">
        <w:rPr>
          <w:rFonts w:ascii="Times New Roman" w:hAnsi="Times New Roman" w:cs="Times New Roman"/>
          <w:color w:val="212121"/>
          <w:sz w:val="24"/>
          <w:szCs w:val="24"/>
          <w:shd w:val="clear" w:color="auto" w:fill="FFFFFF"/>
        </w:rPr>
        <w:t xml:space="preserve">When the bank maintains income in a bank during a risky transaction, then this risky transaction is covered up. Basically the bank function is not closed. This is because the </w:t>
      </w:r>
      <w:r w:rsidRPr="00B3369E">
        <w:rPr>
          <w:rFonts w:ascii="Times New Roman" w:hAnsi="Times New Roman" w:cs="Times New Roman"/>
          <w:color w:val="212121"/>
          <w:sz w:val="24"/>
          <w:szCs w:val="24"/>
          <w:shd w:val="clear" w:color="auto" w:fill="FFFFFF"/>
          <w:cs/>
        </w:rPr>
        <w:t>tier</w:t>
      </w:r>
      <w:r w:rsidRPr="00B3369E">
        <w:rPr>
          <w:rFonts w:ascii="Times New Roman" w:hAnsi="Times New Roman" w:cs="Times New Roman"/>
          <w:color w:val="212121"/>
          <w:sz w:val="24"/>
          <w:szCs w:val="24"/>
          <w:shd w:val="clear" w:color="auto" w:fill="FFFFFF"/>
        </w:rPr>
        <w:t xml:space="preserve"> 1 capital is needed. </w:t>
      </w:r>
      <w:r w:rsidRPr="00B3369E">
        <w:rPr>
          <w:rFonts w:ascii="Times New Roman" w:hAnsi="Times New Roman" w:cs="Times New Roman"/>
          <w:color w:val="212121"/>
          <w:sz w:val="24"/>
          <w:szCs w:val="24"/>
          <w:shd w:val="clear" w:color="auto" w:fill="FFFFFF"/>
          <w:cs/>
        </w:rPr>
        <w:t>Tier</w:t>
      </w:r>
      <w:r w:rsidRPr="00B3369E">
        <w:rPr>
          <w:rFonts w:ascii="Times New Roman" w:hAnsi="Times New Roman" w:cs="Times New Roman"/>
          <w:color w:val="212121"/>
          <w:sz w:val="24"/>
          <w:szCs w:val="24"/>
          <w:shd w:val="clear" w:color="auto" w:fill="FFFFFF"/>
        </w:rPr>
        <w:t xml:space="preserve"> 1 should be capital (Equity Capital and Reserved Income) - Equal or more 4%.</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bookmarkStart w:id="130" w:name="_Toc6610617"/>
      <w:bookmarkStart w:id="131" w:name="_Toc6614043"/>
      <w:r w:rsidRPr="00B3369E">
        <w:rPr>
          <w:rStyle w:val="Heading3Char"/>
          <w:rFonts w:ascii="Times New Roman" w:hAnsi="Times New Roman" w:cs="Times New Roman"/>
          <w:color w:val="943634" w:themeColor="accent2" w:themeShade="BF"/>
          <w:sz w:val="24"/>
          <w:szCs w:val="24"/>
        </w:rPr>
        <w:t>4.2.2 Tier 2 Capital (Supplementary Capital):</w:t>
      </w:r>
      <w:bookmarkEnd w:id="130"/>
      <w:bookmarkEnd w:id="131"/>
      <w:r w:rsidRPr="00B3369E">
        <w:rPr>
          <w:rFonts w:ascii="Times New Roman" w:hAnsi="Times New Roman" w:cs="Times New Roman"/>
          <w:b/>
          <w:bCs/>
          <w:sz w:val="24"/>
          <w:szCs w:val="24"/>
        </w:rPr>
        <w:t xml:space="preserve"> </w:t>
      </w:r>
      <w:r w:rsidRPr="00B3369E">
        <w:rPr>
          <w:rFonts w:ascii="Times New Roman" w:hAnsi="Times New Roman" w:cs="Times New Roman"/>
          <w:sz w:val="24"/>
          <w:szCs w:val="24"/>
          <w:cs/>
        </w:rPr>
        <w:t xml:space="preserve"> </w:t>
      </w:r>
      <w:r w:rsidRPr="00B3369E">
        <w:rPr>
          <w:rFonts w:ascii="Times New Roman" w:hAnsi="Times New Roman" w:cs="Times New Roman"/>
          <w:color w:val="212121"/>
          <w:sz w:val="24"/>
          <w:szCs w:val="24"/>
        </w:rPr>
        <w:t xml:space="preserve">The tier 2 helped to increase the overall strength of the bank. The tier 2 capital is available in all other capacities such as finance, above the financing assets, unpublished reserves (hidden reserves of a financial institution), preference share, mortgage back security, long-term debt </w:t>
      </w:r>
      <w:r w:rsidRPr="00B3369E">
        <w:rPr>
          <w:rFonts w:ascii="Times New Roman" w:hAnsi="Times New Roman" w:cs="Times New Roman"/>
          <w:color w:val="212121"/>
          <w:sz w:val="24"/>
          <w:szCs w:val="24"/>
          <w:cs/>
        </w:rPr>
        <w:t>d</w:t>
      </w:r>
      <w:r w:rsidRPr="00B3369E">
        <w:rPr>
          <w:rFonts w:ascii="Times New Roman" w:hAnsi="Times New Roman" w:cs="Times New Roman"/>
          <w:color w:val="212121"/>
          <w:sz w:val="24"/>
          <w:szCs w:val="24"/>
        </w:rPr>
        <w:t>o it.</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bookmarkStart w:id="132" w:name="_Toc6610618"/>
      <w:bookmarkStart w:id="133" w:name="_Toc6614044"/>
      <w:r w:rsidRPr="00B3369E">
        <w:rPr>
          <w:rStyle w:val="Heading3Char"/>
          <w:rFonts w:ascii="Times New Roman" w:hAnsi="Times New Roman" w:cs="Times New Roman"/>
          <w:color w:val="943634" w:themeColor="accent2" w:themeShade="BF"/>
          <w:sz w:val="24"/>
          <w:szCs w:val="24"/>
        </w:rPr>
        <w:t>4.2.3 Credit Risk:</w:t>
      </w:r>
      <w:bookmarkEnd w:id="132"/>
      <w:bookmarkEnd w:id="133"/>
      <w:r w:rsidRPr="00B3369E">
        <w:rPr>
          <w:rFonts w:ascii="Times New Roman" w:hAnsi="Times New Roman" w:cs="Times New Roman"/>
          <w:b/>
          <w:bCs/>
          <w:sz w:val="24"/>
          <w:szCs w:val="24"/>
        </w:rPr>
        <w:t xml:space="preserve"> </w:t>
      </w:r>
      <w:r w:rsidRPr="00B3369E">
        <w:rPr>
          <w:rFonts w:ascii="Times New Roman" w:hAnsi="Times New Roman" w:cs="Times New Roman"/>
          <w:color w:val="212121"/>
          <w:sz w:val="24"/>
          <w:szCs w:val="24"/>
          <w:cs/>
        </w:rPr>
        <w:t>Basel</w:t>
      </w:r>
      <w:r w:rsidRPr="00B3369E">
        <w:rPr>
          <w:rFonts w:ascii="Times New Roman" w:hAnsi="Times New Roman" w:cs="Times New Roman"/>
          <w:color w:val="212121"/>
          <w:sz w:val="24"/>
          <w:szCs w:val="24"/>
        </w:rPr>
        <w:t xml:space="preserve"> </w:t>
      </w:r>
      <w:r w:rsidRPr="00B3369E">
        <w:rPr>
          <w:rFonts w:ascii="Times New Roman" w:hAnsi="Times New Roman" w:cs="Times New Roman"/>
          <w:color w:val="212121"/>
          <w:sz w:val="24"/>
          <w:szCs w:val="24"/>
          <w:cs/>
        </w:rPr>
        <w:t>I</w:t>
      </w:r>
      <w:r w:rsidRPr="00B3369E">
        <w:rPr>
          <w:rFonts w:ascii="Times New Roman" w:hAnsi="Times New Roman" w:cs="Times New Roman"/>
          <w:color w:val="212121"/>
          <w:sz w:val="24"/>
          <w:szCs w:val="24"/>
        </w:rPr>
        <w:t xml:space="preserve"> </w:t>
      </w:r>
      <w:r w:rsidRPr="00B3369E">
        <w:rPr>
          <w:rFonts w:ascii="Times New Roman" w:hAnsi="Times New Roman" w:cs="Times New Roman"/>
          <w:color w:val="212121"/>
          <w:sz w:val="24"/>
          <w:szCs w:val="24"/>
          <w:cs/>
        </w:rPr>
        <w:t>BCBS</w:t>
      </w:r>
      <w:r w:rsidRPr="00B3369E">
        <w:rPr>
          <w:rFonts w:ascii="Times New Roman" w:hAnsi="Times New Roman" w:cs="Times New Roman"/>
          <w:color w:val="212121"/>
          <w:sz w:val="24"/>
          <w:szCs w:val="24"/>
        </w:rPr>
        <w:t xml:space="preserve"> basically focuses on credit risk. Credit Risk means that the money lenders or the financial institution lends money to the creditor is not paid for the full payment. Risk is primarily on the part of the lender, including the loss policy and the encouragement, the distribution of the increased value of the cash flows, and the increased value. According to the </w:t>
      </w:r>
      <w:r w:rsidRPr="00B3369E">
        <w:rPr>
          <w:rFonts w:ascii="Times New Roman" w:hAnsi="Times New Roman" w:cs="Times New Roman"/>
          <w:color w:val="212121"/>
          <w:sz w:val="24"/>
          <w:szCs w:val="24"/>
          <w:cs/>
        </w:rPr>
        <w:t>Basel</w:t>
      </w:r>
      <w:r w:rsidRPr="00B3369E">
        <w:rPr>
          <w:rFonts w:ascii="Times New Roman" w:hAnsi="Times New Roman" w:cs="Times New Roman"/>
          <w:color w:val="212121"/>
          <w:sz w:val="24"/>
          <w:szCs w:val="24"/>
        </w:rPr>
        <w:t xml:space="preserve"> the whole capital should have 8% representing </w:t>
      </w:r>
      <w:r w:rsidRPr="00B3369E">
        <w:rPr>
          <w:rFonts w:ascii="Times New Roman" w:hAnsi="Times New Roman" w:cs="Times New Roman"/>
          <w:color w:val="212121"/>
          <w:sz w:val="24"/>
          <w:szCs w:val="24"/>
          <w:cs/>
        </w:rPr>
        <w:t>RWA</w:t>
      </w:r>
      <w:r w:rsidRPr="00B3369E">
        <w:rPr>
          <w:rFonts w:ascii="Times New Roman" w:hAnsi="Times New Roman" w:cs="Times New Roman"/>
          <w:color w:val="212121"/>
          <w:sz w:val="24"/>
          <w:szCs w:val="24"/>
        </w:rPr>
        <w:t>. Promotion Risk-Basel Agreement Type:</w:t>
      </w:r>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left" w:pos="3600"/>
          <w:tab w:val="left" w:pos="4320"/>
          <w:tab w:val="left" w:pos="5040"/>
          <w:tab w:val="left" w:pos="5760"/>
        </w:tabs>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ab/>
      </w:r>
      <w:r w:rsidRPr="00B3369E">
        <w:rPr>
          <w:rFonts w:ascii="Times New Roman" w:hAnsi="Times New Roman" w:cs="Times New Roman"/>
          <w:sz w:val="24"/>
          <w:szCs w:val="24"/>
        </w:rPr>
        <w:tab/>
      </w:r>
      <w:r w:rsidRPr="00B3369E">
        <w:rPr>
          <w:rFonts w:ascii="Times New Roman" w:hAnsi="Times New Roman" w:cs="Times New Roman"/>
          <w:sz w:val="24"/>
          <w:szCs w:val="24"/>
        </w:rPr>
        <w:tab/>
      </w:r>
      <w:r w:rsidRPr="00B3369E">
        <w:rPr>
          <w:rFonts w:ascii="Times New Roman" w:hAnsi="Times New Roman" w:cs="Times New Roman"/>
          <w:sz w:val="24"/>
          <w:szCs w:val="24"/>
        </w:rPr>
        <w:tab/>
      </w:r>
      <w:r w:rsidRPr="00B3369E">
        <w:rPr>
          <w:rFonts w:ascii="Times New Roman" w:hAnsi="Times New Roman" w:cs="Times New Roman"/>
          <w:sz w:val="24"/>
          <w:szCs w:val="24"/>
        </w:rPr>
        <w:tab/>
      </w:r>
      <w:r w:rsidRPr="00B3369E">
        <w:rPr>
          <w:rFonts w:ascii="Times New Roman" w:hAnsi="Times New Roman" w:cs="Times New Roman"/>
          <w:sz w:val="24"/>
          <w:szCs w:val="24"/>
        </w:rPr>
        <w:tab/>
      </w:r>
      <w:r w:rsidRPr="00B3369E">
        <w:rPr>
          <w:rFonts w:ascii="Times New Roman" w:hAnsi="Times New Roman" w:cs="Times New Roman"/>
          <w:sz w:val="24"/>
          <w:szCs w:val="24"/>
        </w:rPr>
        <w:tab/>
      </w:r>
      <w:r w:rsidRPr="00B3369E">
        <w:rPr>
          <w:rFonts w:ascii="Times New Roman" w:hAnsi="Times New Roman" w:cs="Times New Roman"/>
          <w:sz w:val="24"/>
          <w:szCs w:val="24"/>
        </w:rPr>
        <w:tab/>
      </w:r>
      <w:r w:rsidRPr="00B3369E">
        <w:rPr>
          <w:rFonts w:ascii="Times New Roman" w:hAnsi="Times New Roman" w:cs="Times New Roman"/>
          <w:sz w:val="24"/>
          <w:szCs w:val="24"/>
        </w:rPr>
        <w:tab/>
      </w:r>
    </w:p>
    <w:p w:rsidR="00B3369E" w:rsidRPr="00B3369E" w:rsidRDefault="00B3369E" w:rsidP="00B3369E">
      <w:pPr>
        <w:pStyle w:val="Tables"/>
      </w:pPr>
      <w:bookmarkStart w:id="134" w:name="_Toc6620257"/>
      <w:r w:rsidRPr="00B3369E">
        <w:t xml:space="preserve">Table 4: </w:t>
      </w:r>
      <w:r w:rsidR="00276A72">
        <w:fldChar w:fldCharType="begin"/>
      </w:r>
      <w:r w:rsidR="002324C7">
        <w:instrText xml:space="preserve"> SEQ Table_3: \* ARABIC </w:instrText>
      </w:r>
      <w:r w:rsidR="00276A72">
        <w:fldChar w:fldCharType="separate"/>
      </w:r>
      <w:r w:rsidRPr="00B3369E">
        <w:rPr>
          <w:noProof/>
        </w:rPr>
        <w:t>2</w:t>
      </w:r>
      <w:r w:rsidR="00276A72">
        <w:rPr>
          <w:noProof/>
        </w:rPr>
        <w:fldChar w:fldCharType="end"/>
      </w:r>
      <w:r w:rsidRPr="00B3369E">
        <w:t xml:space="preserve"> On-Balance Sheet Risk</w:t>
      </w:r>
      <w:bookmarkEnd w:id="134"/>
    </w:p>
    <w:tbl>
      <w:tblPr>
        <w:tblStyle w:val="TableGrid"/>
        <w:tblW w:w="5000" w:type="pct"/>
        <w:tblLook w:val="04A0"/>
      </w:tblPr>
      <w:tblGrid>
        <w:gridCol w:w="1368"/>
        <w:gridCol w:w="7875"/>
      </w:tblGrid>
      <w:tr w:rsidR="00B3369E" w:rsidRPr="00B3369E" w:rsidTr="004838D2">
        <w:tc>
          <w:tcPr>
            <w:tcW w:w="740" w:type="pct"/>
            <w:shd w:val="clear" w:color="auto" w:fill="auto"/>
            <w:vAlign w:val="center"/>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Risk Weight</w:t>
            </w:r>
          </w:p>
        </w:tc>
        <w:tc>
          <w:tcPr>
            <w:tcW w:w="4260" w:type="pct"/>
            <w:shd w:val="clear" w:color="auto" w:fill="auto"/>
            <w:vAlign w:val="center"/>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Asset class</w:t>
            </w:r>
          </w:p>
        </w:tc>
      </w:tr>
      <w:tr w:rsidR="00B3369E" w:rsidRPr="00B3369E" w:rsidTr="004838D2">
        <w:trPr>
          <w:trHeight w:val="917"/>
        </w:trPr>
        <w:tc>
          <w:tcPr>
            <w:tcW w:w="740" w:type="pct"/>
            <w:shd w:val="clear" w:color="auto" w:fill="auto"/>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0%</w:t>
            </w:r>
          </w:p>
        </w:tc>
        <w:tc>
          <w:tcPr>
            <w:tcW w:w="4260" w:type="pct"/>
            <w:shd w:val="clear" w:color="auto" w:fill="auto"/>
            <w:vAlign w:val="center"/>
          </w:tcPr>
          <w:p w:rsidR="00B3369E" w:rsidRPr="00B3369E" w:rsidRDefault="00B3369E" w:rsidP="004838D2">
            <w:pPr>
              <w:pStyle w:val="HTMLPreformatted"/>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Cash and gold held.</w:t>
            </w:r>
          </w:p>
          <w:p w:rsidR="00B3369E" w:rsidRPr="00B3369E" w:rsidRDefault="00B3369E" w:rsidP="004838D2">
            <w:pPr>
              <w:pStyle w:val="HTMLPreformatted"/>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Home country sovereign debt cash / central bank / government loan, Treasury bond</w:t>
            </w:r>
          </w:p>
          <w:p w:rsidR="00B3369E" w:rsidRPr="00B3369E" w:rsidRDefault="00B3369E" w:rsidP="004838D2">
            <w:pPr>
              <w:pStyle w:val="HTMLPreformatted"/>
              <w:jc w:val="center"/>
              <w:rPr>
                <w:rFonts w:ascii="Times New Roman" w:hAnsi="Times New Roman" w:cs="Times New Roman"/>
                <w:sz w:val="24"/>
                <w:szCs w:val="24"/>
              </w:rPr>
            </w:pPr>
          </w:p>
        </w:tc>
      </w:tr>
      <w:tr w:rsidR="00B3369E" w:rsidRPr="00B3369E" w:rsidTr="004838D2">
        <w:tc>
          <w:tcPr>
            <w:tcW w:w="740" w:type="pct"/>
            <w:shd w:val="clear" w:color="auto" w:fill="auto"/>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w:t>
            </w:r>
          </w:p>
        </w:tc>
        <w:tc>
          <w:tcPr>
            <w:tcW w:w="4260" w:type="pct"/>
            <w:shd w:val="clear" w:color="auto" w:fill="auto"/>
            <w:vAlign w:val="center"/>
          </w:tcPr>
          <w:p w:rsidR="00B3369E" w:rsidRPr="00B3369E" w:rsidRDefault="00B3369E" w:rsidP="004838D2">
            <w:pPr>
              <w:pStyle w:val="HTMLPreformatted"/>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Development Bank Loan / OECD Bank Loan, Municipality Bond</w:t>
            </w:r>
          </w:p>
          <w:p w:rsidR="00B3369E" w:rsidRPr="00B3369E" w:rsidRDefault="00B3369E" w:rsidP="004838D2">
            <w:pPr>
              <w:pStyle w:val="HTMLPreformatted"/>
              <w:jc w:val="center"/>
              <w:rPr>
                <w:rFonts w:ascii="Times New Roman" w:hAnsi="Times New Roman" w:cs="Times New Roman"/>
                <w:sz w:val="24"/>
                <w:szCs w:val="24"/>
              </w:rPr>
            </w:pPr>
          </w:p>
        </w:tc>
      </w:tr>
      <w:tr w:rsidR="00B3369E" w:rsidRPr="00B3369E" w:rsidTr="004838D2">
        <w:tc>
          <w:tcPr>
            <w:tcW w:w="740" w:type="pct"/>
            <w:shd w:val="clear" w:color="auto" w:fill="auto"/>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50%</w:t>
            </w:r>
          </w:p>
        </w:tc>
        <w:tc>
          <w:tcPr>
            <w:tcW w:w="4260" w:type="pct"/>
            <w:shd w:val="clear" w:color="auto" w:fill="auto"/>
            <w:vAlign w:val="center"/>
          </w:tcPr>
          <w:p w:rsidR="00B3369E" w:rsidRPr="00B3369E" w:rsidRDefault="00B3369E" w:rsidP="004838D2">
            <w:pPr>
              <w:pStyle w:val="HTMLPreformatted"/>
              <w:rPr>
                <w:rFonts w:ascii="Times New Roman" w:hAnsi="Times New Roman" w:cs="Times New Roman"/>
                <w:color w:val="212121"/>
                <w:sz w:val="24"/>
                <w:szCs w:val="24"/>
              </w:rPr>
            </w:pPr>
            <w:r w:rsidRPr="00B3369E">
              <w:rPr>
                <w:rFonts w:ascii="Times New Roman" w:hAnsi="Times New Roman" w:cs="Times New Roman"/>
                <w:color w:val="212121"/>
                <w:sz w:val="24"/>
                <w:szCs w:val="24"/>
              </w:rPr>
              <w:t>Residential mortgage</w:t>
            </w:r>
          </w:p>
          <w:p w:rsidR="00B3369E" w:rsidRPr="00B3369E" w:rsidRDefault="00B3369E" w:rsidP="004838D2">
            <w:pPr>
              <w:pStyle w:val="HTMLPreformatted"/>
              <w:jc w:val="center"/>
              <w:rPr>
                <w:rFonts w:ascii="Times New Roman" w:hAnsi="Times New Roman" w:cs="Times New Roman"/>
                <w:sz w:val="24"/>
                <w:szCs w:val="24"/>
              </w:rPr>
            </w:pPr>
          </w:p>
        </w:tc>
      </w:tr>
      <w:tr w:rsidR="00B3369E" w:rsidRPr="00B3369E" w:rsidTr="004838D2">
        <w:tc>
          <w:tcPr>
            <w:tcW w:w="740" w:type="pct"/>
            <w:shd w:val="clear" w:color="auto" w:fill="auto"/>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100%</w:t>
            </w:r>
          </w:p>
        </w:tc>
        <w:tc>
          <w:tcPr>
            <w:tcW w:w="4260" w:type="pct"/>
            <w:shd w:val="clear" w:color="auto" w:fill="auto"/>
            <w:vAlign w:val="center"/>
          </w:tcPr>
          <w:p w:rsidR="00B3369E" w:rsidRPr="00B3369E" w:rsidRDefault="00B3369E" w:rsidP="004838D2">
            <w:pPr>
              <w:pStyle w:val="HTMLPreformatted"/>
              <w:rPr>
                <w:rFonts w:ascii="Times New Roman" w:hAnsi="Times New Roman" w:cs="Times New Roman"/>
                <w:sz w:val="24"/>
                <w:szCs w:val="24"/>
              </w:rPr>
            </w:pPr>
            <w:r w:rsidRPr="00B3369E">
              <w:rPr>
                <w:rFonts w:ascii="Times New Roman" w:hAnsi="Times New Roman" w:cs="Times New Roman"/>
                <w:color w:val="212121"/>
                <w:sz w:val="24"/>
                <w:szCs w:val="24"/>
                <w:shd w:val="clear" w:color="auto" w:fill="FFFFFF"/>
              </w:rPr>
              <w:t xml:space="preserve">Corporate </w:t>
            </w:r>
            <w:r w:rsidRPr="00B3369E">
              <w:rPr>
                <w:rFonts w:ascii="Times New Roman" w:hAnsi="Times New Roman" w:cs="Times New Roman"/>
                <w:color w:val="212121"/>
                <w:sz w:val="24"/>
                <w:szCs w:val="24"/>
                <w:shd w:val="clear" w:color="auto" w:fill="FFFFFF"/>
                <w:cs/>
              </w:rPr>
              <w:t>Bonds</w:t>
            </w:r>
            <w:r w:rsidRPr="00B3369E">
              <w:rPr>
                <w:rFonts w:ascii="Times New Roman" w:hAnsi="Times New Roman" w:cs="Times New Roman"/>
                <w:color w:val="212121"/>
                <w:sz w:val="24"/>
                <w:szCs w:val="24"/>
                <w:shd w:val="clear" w:color="auto" w:fill="FFFFFF"/>
              </w:rPr>
              <w:t xml:space="preserve">, equity, real estate plants and equipment, </w:t>
            </w:r>
            <w:r w:rsidRPr="00B3369E">
              <w:rPr>
                <w:rFonts w:ascii="Times New Roman" w:hAnsi="Times New Roman" w:cs="Times New Roman"/>
                <w:color w:val="212121"/>
                <w:sz w:val="24"/>
                <w:szCs w:val="24"/>
                <w:shd w:val="clear" w:color="auto" w:fill="FFFFFF"/>
                <w:cs/>
              </w:rPr>
              <w:t>NON</w:t>
            </w:r>
            <w:r w:rsidRPr="00B3369E">
              <w:rPr>
                <w:rFonts w:ascii="Times New Roman" w:hAnsi="Times New Roman" w:cs="Times New Roman"/>
                <w:color w:val="212121"/>
                <w:sz w:val="24"/>
                <w:szCs w:val="24"/>
                <w:shd w:val="clear" w:color="auto" w:fill="FFFFFF"/>
              </w:rPr>
              <w:t>-OECD banks, unsecured loans</w:t>
            </w:r>
          </w:p>
        </w:tc>
      </w:tr>
    </w:tbl>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So, unsecured loans are at 100% risk weight because this loan is not high risk. This loan includes education loans, personal loans, credit cards, and cannot show borrowers documents. S0 1000 * 100% = 1000 * .08 = 80, which is 100 risks for minimum 8% capital requirements. Countdown under various RWA on balance sheet:</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B3369E">
      <w:pPr>
        <w:pStyle w:val="NoSpacing"/>
        <w:rPr>
          <w:rFonts w:ascii="Times New Roman" w:hAnsi="Times New Roman" w:cs="Times New Roman"/>
          <w:b/>
          <w:bCs/>
          <w:sz w:val="20"/>
          <w:szCs w:val="20"/>
        </w:rPr>
      </w:pPr>
    </w:p>
    <w:p w:rsidR="00B3369E" w:rsidRPr="00B3369E" w:rsidRDefault="00B3369E" w:rsidP="00B3369E">
      <w:pPr>
        <w:pStyle w:val="NoSpacing"/>
        <w:rPr>
          <w:rFonts w:ascii="Times New Roman" w:hAnsi="Times New Roman" w:cs="Times New Roman"/>
          <w:b/>
          <w:bCs/>
          <w:sz w:val="20"/>
          <w:szCs w:val="20"/>
        </w:rPr>
      </w:pPr>
    </w:p>
    <w:p w:rsidR="00B3369E" w:rsidRPr="00B3369E" w:rsidRDefault="00B3369E" w:rsidP="00B3369E">
      <w:pPr>
        <w:pStyle w:val="Tables"/>
      </w:pPr>
      <w:bookmarkStart w:id="135" w:name="_Toc6620258"/>
      <w:r w:rsidRPr="00B3369E">
        <w:t xml:space="preserve">Table 4: </w:t>
      </w:r>
      <w:r w:rsidR="00276A72">
        <w:fldChar w:fldCharType="begin"/>
      </w:r>
      <w:r w:rsidR="002324C7">
        <w:instrText xml:space="preserve"> SEQ Table_3: \* ARABIC </w:instrText>
      </w:r>
      <w:r w:rsidR="00276A72">
        <w:fldChar w:fldCharType="separate"/>
      </w:r>
      <w:r w:rsidRPr="00B3369E">
        <w:rPr>
          <w:noProof/>
        </w:rPr>
        <w:t>3</w:t>
      </w:r>
      <w:r w:rsidR="00276A72">
        <w:rPr>
          <w:noProof/>
        </w:rPr>
        <w:fldChar w:fldCharType="end"/>
      </w:r>
      <w:r w:rsidRPr="00B3369E">
        <w:t xml:space="preserve"> Various RWA on Balance Sheet</w:t>
      </w:r>
      <w:bookmarkEnd w:id="135"/>
    </w:p>
    <w:tbl>
      <w:tblPr>
        <w:tblStyle w:val="TableGrid"/>
        <w:tblW w:w="5000" w:type="pct"/>
        <w:jc w:val="center"/>
        <w:tblLook w:val="04A0"/>
      </w:tblPr>
      <w:tblGrid>
        <w:gridCol w:w="1995"/>
        <w:gridCol w:w="1216"/>
        <w:gridCol w:w="1307"/>
        <w:gridCol w:w="1057"/>
        <w:gridCol w:w="803"/>
        <w:gridCol w:w="2865"/>
      </w:tblGrid>
      <w:tr w:rsidR="00B3369E" w:rsidRPr="00B3369E" w:rsidTr="004838D2">
        <w:trPr>
          <w:trHeight w:val="751"/>
          <w:jc w:val="center"/>
        </w:trPr>
        <w:tc>
          <w:tcPr>
            <w:tcW w:w="1079"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Asset Category</w:t>
            </w:r>
          </w:p>
        </w:tc>
        <w:tc>
          <w:tcPr>
            <w:tcW w:w="658"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Risk Weight</w:t>
            </w:r>
          </w:p>
        </w:tc>
        <w:tc>
          <w:tcPr>
            <w:tcW w:w="707"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Capital Ratio</w:t>
            </w:r>
          </w:p>
        </w:tc>
        <w:tc>
          <w:tcPr>
            <w:tcW w:w="572"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Amount</w:t>
            </w:r>
          </w:p>
        </w:tc>
        <w:tc>
          <w:tcPr>
            <w:tcW w:w="434"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RWA</w:t>
            </w:r>
          </w:p>
        </w:tc>
        <w:tc>
          <w:tcPr>
            <w:tcW w:w="1550"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Minimum Capital Requirement</w:t>
            </w:r>
          </w:p>
        </w:tc>
      </w:tr>
      <w:tr w:rsidR="00B3369E" w:rsidRPr="00B3369E" w:rsidTr="004838D2">
        <w:trPr>
          <w:trHeight w:val="250"/>
          <w:jc w:val="center"/>
        </w:trPr>
        <w:tc>
          <w:tcPr>
            <w:tcW w:w="1079" w:type="pct"/>
            <w:shd w:val="clear" w:color="auto" w:fill="auto"/>
          </w:tcPr>
          <w:p w:rsidR="00B3369E" w:rsidRPr="00B3369E" w:rsidRDefault="00B3369E" w:rsidP="004838D2">
            <w:pPr>
              <w:pStyle w:val="HTMLPreformatted"/>
              <w:rPr>
                <w:rFonts w:ascii="Times New Roman" w:hAnsi="Times New Roman" w:cs="Times New Roman"/>
                <w:b/>
                <w:bCs/>
                <w:sz w:val="24"/>
                <w:szCs w:val="24"/>
              </w:rPr>
            </w:pPr>
            <w:r w:rsidRPr="00B3369E">
              <w:rPr>
                <w:rFonts w:ascii="Times New Roman" w:hAnsi="Times New Roman" w:cs="Times New Roman"/>
                <w:b/>
                <w:bCs/>
                <w:sz w:val="24"/>
                <w:szCs w:val="24"/>
              </w:rPr>
              <w:t>Treasury Bond</w:t>
            </w:r>
          </w:p>
        </w:tc>
        <w:tc>
          <w:tcPr>
            <w:tcW w:w="658"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0%</w:t>
            </w:r>
          </w:p>
        </w:tc>
        <w:tc>
          <w:tcPr>
            <w:tcW w:w="707"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8%</w:t>
            </w:r>
          </w:p>
        </w:tc>
        <w:tc>
          <w:tcPr>
            <w:tcW w:w="572"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1000</w:t>
            </w:r>
          </w:p>
        </w:tc>
        <w:tc>
          <w:tcPr>
            <w:tcW w:w="434"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0</w:t>
            </w:r>
          </w:p>
        </w:tc>
        <w:tc>
          <w:tcPr>
            <w:tcW w:w="1550"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0</w:t>
            </w:r>
          </w:p>
        </w:tc>
      </w:tr>
      <w:tr w:rsidR="00B3369E" w:rsidRPr="00B3369E" w:rsidTr="004838D2">
        <w:trPr>
          <w:trHeight w:val="250"/>
          <w:jc w:val="center"/>
        </w:trPr>
        <w:tc>
          <w:tcPr>
            <w:tcW w:w="1079" w:type="pct"/>
            <w:shd w:val="clear" w:color="auto" w:fill="auto"/>
          </w:tcPr>
          <w:p w:rsidR="00B3369E" w:rsidRPr="00B3369E" w:rsidRDefault="00B3369E" w:rsidP="004838D2">
            <w:pPr>
              <w:pStyle w:val="HTMLPreformatted"/>
              <w:rPr>
                <w:rFonts w:ascii="Times New Roman" w:hAnsi="Times New Roman" w:cs="Times New Roman"/>
                <w:b/>
                <w:bCs/>
                <w:sz w:val="24"/>
                <w:szCs w:val="24"/>
              </w:rPr>
            </w:pPr>
            <w:r w:rsidRPr="00B3369E">
              <w:rPr>
                <w:rFonts w:ascii="Times New Roman" w:hAnsi="Times New Roman" w:cs="Times New Roman"/>
                <w:b/>
                <w:bCs/>
                <w:sz w:val="24"/>
                <w:szCs w:val="24"/>
              </w:rPr>
              <w:t>Municipal</w:t>
            </w:r>
          </w:p>
        </w:tc>
        <w:tc>
          <w:tcPr>
            <w:tcW w:w="658"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w:t>
            </w:r>
          </w:p>
        </w:tc>
        <w:tc>
          <w:tcPr>
            <w:tcW w:w="707"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8%</w:t>
            </w:r>
          </w:p>
        </w:tc>
        <w:tc>
          <w:tcPr>
            <w:tcW w:w="572"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1000</w:t>
            </w:r>
          </w:p>
        </w:tc>
        <w:tc>
          <w:tcPr>
            <w:tcW w:w="434"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200</w:t>
            </w:r>
          </w:p>
        </w:tc>
        <w:tc>
          <w:tcPr>
            <w:tcW w:w="1550"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16</w:t>
            </w:r>
          </w:p>
        </w:tc>
      </w:tr>
      <w:tr w:rsidR="00B3369E" w:rsidRPr="00B3369E" w:rsidTr="004838D2">
        <w:trPr>
          <w:trHeight w:val="250"/>
          <w:jc w:val="center"/>
        </w:trPr>
        <w:tc>
          <w:tcPr>
            <w:tcW w:w="1079" w:type="pct"/>
            <w:shd w:val="clear" w:color="auto" w:fill="auto"/>
          </w:tcPr>
          <w:p w:rsidR="00B3369E" w:rsidRPr="00B3369E" w:rsidRDefault="00B3369E" w:rsidP="004838D2">
            <w:pPr>
              <w:pStyle w:val="HTMLPreformatted"/>
              <w:rPr>
                <w:rFonts w:ascii="Times New Roman" w:hAnsi="Times New Roman" w:cs="Times New Roman"/>
                <w:b/>
                <w:bCs/>
                <w:sz w:val="24"/>
                <w:szCs w:val="24"/>
              </w:rPr>
            </w:pPr>
            <w:r w:rsidRPr="00B3369E">
              <w:rPr>
                <w:rFonts w:ascii="Times New Roman" w:hAnsi="Times New Roman" w:cs="Times New Roman"/>
                <w:b/>
                <w:bCs/>
                <w:sz w:val="24"/>
                <w:szCs w:val="24"/>
              </w:rPr>
              <w:t>Residential Mortgage</w:t>
            </w:r>
          </w:p>
        </w:tc>
        <w:tc>
          <w:tcPr>
            <w:tcW w:w="658"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50%</w:t>
            </w:r>
          </w:p>
        </w:tc>
        <w:tc>
          <w:tcPr>
            <w:tcW w:w="707"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8%</w:t>
            </w:r>
          </w:p>
        </w:tc>
        <w:tc>
          <w:tcPr>
            <w:tcW w:w="572"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1000</w:t>
            </w:r>
          </w:p>
        </w:tc>
        <w:tc>
          <w:tcPr>
            <w:tcW w:w="434"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500</w:t>
            </w:r>
          </w:p>
        </w:tc>
        <w:tc>
          <w:tcPr>
            <w:tcW w:w="1550"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40</w:t>
            </w:r>
          </w:p>
        </w:tc>
      </w:tr>
      <w:tr w:rsidR="00B3369E" w:rsidRPr="00B3369E" w:rsidTr="004838D2">
        <w:trPr>
          <w:trHeight w:val="250"/>
          <w:jc w:val="center"/>
        </w:trPr>
        <w:tc>
          <w:tcPr>
            <w:tcW w:w="1079" w:type="pct"/>
            <w:shd w:val="clear" w:color="auto" w:fill="auto"/>
          </w:tcPr>
          <w:p w:rsidR="00B3369E" w:rsidRPr="00B3369E" w:rsidRDefault="00B3369E" w:rsidP="004838D2">
            <w:pPr>
              <w:pStyle w:val="HTMLPreformatted"/>
              <w:rPr>
                <w:rFonts w:ascii="Times New Roman" w:hAnsi="Times New Roman" w:cs="Times New Roman"/>
                <w:b/>
                <w:bCs/>
                <w:sz w:val="24"/>
                <w:szCs w:val="24"/>
              </w:rPr>
            </w:pPr>
            <w:r w:rsidRPr="00B3369E">
              <w:rPr>
                <w:rFonts w:ascii="Times New Roman" w:hAnsi="Times New Roman" w:cs="Times New Roman"/>
                <w:b/>
                <w:bCs/>
                <w:sz w:val="24"/>
                <w:szCs w:val="24"/>
              </w:rPr>
              <w:t>Unsecured Loan</w:t>
            </w:r>
          </w:p>
        </w:tc>
        <w:tc>
          <w:tcPr>
            <w:tcW w:w="658"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1000</w:t>
            </w:r>
          </w:p>
        </w:tc>
        <w:tc>
          <w:tcPr>
            <w:tcW w:w="707"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8%</w:t>
            </w:r>
          </w:p>
        </w:tc>
        <w:tc>
          <w:tcPr>
            <w:tcW w:w="572"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1000</w:t>
            </w:r>
          </w:p>
        </w:tc>
        <w:tc>
          <w:tcPr>
            <w:tcW w:w="434"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1000</w:t>
            </w:r>
          </w:p>
        </w:tc>
        <w:tc>
          <w:tcPr>
            <w:tcW w:w="1550" w:type="pct"/>
            <w:shd w:val="clear" w:color="auto" w:fill="auto"/>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80</w:t>
            </w:r>
          </w:p>
        </w:tc>
      </w:tr>
    </w:tbl>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1B0E2C">
      <w:pPr>
        <w:pStyle w:val="HTMLPreformatted"/>
        <w:numPr>
          <w:ilvl w:val="0"/>
          <w:numId w:val="36"/>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Banks with international presence may hold more than 8% of their risk-weighted assets (total capital ratio = </w:t>
      </w:r>
      <w:r w:rsidRPr="00B3369E">
        <w:rPr>
          <w:rFonts w:ascii="Times New Roman" w:hAnsi="Times New Roman" w:cs="Times New Roman"/>
          <w:color w:val="212121"/>
          <w:sz w:val="24"/>
          <w:szCs w:val="24"/>
          <w:cs/>
        </w:rPr>
        <w:t>Tier</w:t>
      </w:r>
      <w:r w:rsidRPr="00B3369E">
        <w:rPr>
          <w:rFonts w:ascii="Times New Roman" w:hAnsi="Times New Roman" w:cs="Times New Roman"/>
          <w:color w:val="212121"/>
          <w:sz w:val="24"/>
          <w:szCs w:val="24"/>
        </w:rPr>
        <w:t xml:space="preserve"> 1 + </w:t>
      </w:r>
      <w:r w:rsidRPr="00B3369E">
        <w:rPr>
          <w:rFonts w:ascii="Times New Roman" w:hAnsi="Times New Roman" w:cs="Times New Roman"/>
          <w:color w:val="212121"/>
          <w:sz w:val="24"/>
          <w:szCs w:val="24"/>
          <w:cs/>
        </w:rPr>
        <w:t>Tier 2</w:t>
      </w:r>
      <w:r w:rsidRPr="00B3369E">
        <w:rPr>
          <w:rFonts w:ascii="Times New Roman" w:hAnsi="Times New Roman" w:cs="Times New Roman"/>
          <w:color w:val="212121"/>
          <w:sz w:val="24"/>
          <w:szCs w:val="24"/>
        </w:rPr>
        <w:t xml:space="preserve"> / all RWA), (</w:t>
      </w:r>
      <w:r w:rsidRPr="00B3369E">
        <w:rPr>
          <w:rFonts w:ascii="Times New Roman" w:hAnsi="Times New Roman" w:cs="Times New Roman"/>
          <w:color w:val="212121"/>
          <w:sz w:val="24"/>
          <w:szCs w:val="24"/>
          <w:cs/>
        </w:rPr>
        <w:t>Tier</w:t>
      </w:r>
      <w:r w:rsidRPr="00B3369E">
        <w:rPr>
          <w:rFonts w:ascii="Times New Roman" w:hAnsi="Times New Roman" w:cs="Times New Roman"/>
          <w:color w:val="212121"/>
          <w:sz w:val="24"/>
          <w:szCs w:val="24"/>
        </w:rPr>
        <w:t xml:space="preserve"> 1 capital ratio: </w:t>
      </w:r>
      <w:r w:rsidRPr="00B3369E">
        <w:rPr>
          <w:rFonts w:ascii="Times New Roman" w:hAnsi="Times New Roman" w:cs="Times New Roman"/>
          <w:color w:val="212121"/>
          <w:sz w:val="24"/>
          <w:szCs w:val="24"/>
          <w:cs/>
        </w:rPr>
        <w:t>Tier</w:t>
      </w:r>
      <w:r w:rsidRPr="00B3369E">
        <w:rPr>
          <w:rFonts w:ascii="Times New Roman" w:hAnsi="Times New Roman" w:cs="Times New Roman"/>
          <w:color w:val="212121"/>
          <w:sz w:val="24"/>
          <w:szCs w:val="24"/>
        </w:rPr>
        <w:t xml:space="preserve"> 1 capital / all RWA), (leverage Ratio: Total Capital / Average Total Assets)</w:t>
      </w:r>
    </w:p>
    <w:p w:rsidR="00B3369E" w:rsidRPr="00B3369E" w:rsidRDefault="00B3369E" w:rsidP="001B0E2C">
      <w:pPr>
        <w:pStyle w:val="HTMLPreformatted"/>
        <w:numPr>
          <w:ilvl w:val="0"/>
          <w:numId w:val="36"/>
        </w:numPr>
        <w:shd w:val="clear" w:color="auto" w:fill="FFFFFF"/>
        <w:jc w:val="both"/>
        <w:rPr>
          <w:rFonts w:ascii="Times New Roman" w:hAnsi="Times New Roman" w:cs="Times New Roman"/>
          <w:sz w:val="24"/>
          <w:szCs w:val="24"/>
        </w:rPr>
      </w:pPr>
      <w:r w:rsidRPr="00B3369E">
        <w:rPr>
          <w:rFonts w:ascii="Times New Roman" w:hAnsi="Times New Roman" w:cs="Times New Roman"/>
          <w:color w:val="212121"/>
          <w:sz w:val="24"/>
          <w:szCs w:val="24"/>
        </w:rPr>
        <w:t>Banks also need to report credit letters, foreign currency, equity, unutilized commitments and derivatives of off balance sheet items.</w:t>
      </w:r>
    </w:p>
    <w:p w:rsidR="00B3369E" w:rsidRPr="00B3369E" w:rsidRDefault="00B3369E" w:rsidP="001B0E2C">
      <w:pPr>
        <w:pStyle w:val="HTMLPreformatted"/>
        <w:numPr>
          <w:ilvl w:val="0"/>
          <w:numId w:val="36"/>
        </w:numPr>
        <w:shd w:val="clear" w:color="auto" w:fill="FFFFFF"/>
        <w:jc w:val="both"/>
        <w:rPr>
          <w:rFonts w:ascii="Times New Roman" w:hAnsi="Times New Roman" w:cs="Times New Roman"/>
          <w:sz w:val="24"/>
          <w:szCs w:val="24"/>
        </w:rPr>
      </w:pPr>
      <w:r w:rsidRPr="00B3369E">
        <w:rPr>
          <w:rFonts w:ascii="Times New Roman" w:hAnsi="Times New Roman" w:cs="Times New Roman"/>
          <w:color w:val="212121"/>
          <w:sz w:val="24"/>
          <w:szCs w:val="24"/>
        </w:rPr>
        <w:t>No trading risks the balance sheet off. This includes general guarantees, such as forward purchase or transactions related to assets.</w:t>
      </w:r>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029"/>
        </w:tabs>
        <w:spacing w:line="276" w:lineRule="auto"/>
        <w:jc w:val="both"/>
        <w:rPr>
          <w:rFonts w:ascii="Times New Roman" w:hAnsi="Times New Roman" w:cs="Times New Roman"/>
          <w:sz w:val="24"/>
          <w:szCs w:val="24"/>
        </w:rPr>
      </w:pPr>
      <w:r w:rsidRPr="00B3369E">
        <w:rPr>
          <w:rFonts w:ascii="Times New Roman" w:hAnsi="Times New Roman" w:cs="Times New Roman"/>
          <w:sz w:val="24"/>
          <w:szCs w:val="24"/>
          <w:cs/>
        </w:rPr>
        <w:tab/>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bookmarkStart w:id="136" w:name="_Toc6610619"/>
      <w:bookmarkStart w:id="137" w:name="_Toc6614045"/>
      <w:r w:rsidRPr="00B3369E">
        <w:rPr>
          <w:rStyle w:val="Heading3Char"/>
          <w:rFonts w:ascii="Times New Roman" w:hAnsi="Times New Roman" w:cs="Times New Roman"/>
          <w:color w:val="943634" w:themeColor="accent2" w:themeShade="BF"/>
          <w:sz w:val="24"/>
          <w:szCs w:val="24"/>
        </w:rPr>
        <w:t>4.2.4 Market Risk:</w:t>
      </w:r>
      <w:bookmarkEnd w:id="136"/>
      <w:bookmarkEnd w:id="137"/>
      <w:r w:rsidRPr="00B3369E">
        <w:rPr>
          <w:rFonts w:ascii="Times New Roman" w:hAnsi="Times New Roman" w:cs="Times New Roman"/>
          <w:b/>
          <w:bCs/>
          <w:sz w:val="24"/>
          <w:szCs w:val="24"/>
        </w:rPr>
        <w:t xml:space="preserve"> </w:t>
      </w:r>
      <w:r w:rsidRPr="00B3369E">
        <w:rPr>
          <w:rFonts w:ascii="Times New Roman" w:hAnsi="Times New Roman" w:cs="Times New Roman"/>
          <w:color w:val="212121"/>
          <w:sz w:val="24"/>
          <w:szCs w:val="24"/>
        </w:rPr>
        <w:t>Specific risks of market risk include certain risks of common market risk. General market risk refers to changes in market prices due to large market movements. Specific risk refers to the change in the value of a separate asset due to a safety-related reason. Four types of economic variable market risk: interest rates, foreign currency, equity and commodities.</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br/>
      </w:r>
      <w:r w:rsidRPr="00B3369E">
        <w:rPr>
          <w:rFonts w:ascii="Times New Roman" w:hAnsi="Times New Roman" w:cs="Times New Roman"/>
          <w:color w:val="212121"/>
          <w:sz w:val="24"/>
          <w:szCs w:val="24"/>
          <w:shd w:val="clear" w:color="auto" w:fill="FFFFFF"/>
        </w:rPr>
        <w:t>Market risk can be calculated in two different ways –</w:t>
      </w:r>
    </w:p>
    <w:p w:rsidR="00B3369E" w:rsidRPr="00B3369E" w:rsidRDefault="00B3369E" w:rsidP="001B0E2C">
      <w:pPr>
        <w:pStyle w:val="HTMLPreformatted"/>
        <w:numPr>
          <w:ilvl w:val="0"/>
          <w:numId w:val="27"/>
        </w:numPr>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cs/>
        </w:rPr>
        <w:t xml:space="preserve">The </w:t>
      </w:r>
      <w:r w:rsidRPr="00B3369E">
        <w:rPr>
          <w:rFonts w:ascii="Times New Roman" w:hAnsi="Times New Roman" w:cs="Times New Roman"/>
          <w:sz w:val="24"/>
          <w:szCs w:val="24"/>
        </w:rPr>
        <w:t xml:space="preserve">standardized Basel Model. Under the standardized Basel model: </w:t>
      </w:r>
    </w:p>
    <w:p w:rsidR="00B3369E" w:rsidRPr="00B3369E" w:rsidRDefault="00B3369E" w:rsidP="001B0E2C">
      <w:pPr>
        <w:pStyle w:val="HTMLPreformatted"/>
        <w:numPr>
          <w:ilvl w:val="0"/>
          <w:numId w:val="34"/>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Total Risk = Credit Risk + Market Risk</w:t>
      </w:r>
    </w:p>
    <w:p w:rsidR="00B3369E" w:rsidRPr="00B3369E" w:rsidRDefault="00B3369E" w:rsidP="001B0E2C">
      <w:pPr>
        <w:pStyle w:val="HTMLPreformatted"/>
        <w:numPr>
          <w:ilvl w:val="0"/>
          <w:numId w:val="34"/>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Market Risk = General Market Risk + Specific Risk</w:t>
      </w:r>
    </w:p>
    <w:p w:rsidR="00B3369E" w:rsidRPr="00B3369E" w:rsidRDefault="00B3369E" w:rsidP="001B0E2C">
      <w:pPr>
        <w:pStyle w:val="HTMLPreformatted"/>
        <w:numPr>
          <w:ilvl w:val="0"/>
          <w:numId w:val="34"/>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General Market Risk = Interest Rate Risk + Currency Risk + Equity Price Risk + Commodity Price Risk</w:t>
      </w:r>
    </w:p>
    <w:p w:rsidR="00B3369E" w:rsidRPr="00B3369E" w:rsidRDefault="00B3369E" w:rsidP="001B0E2C">
      <w:pPr>
        <w:pStyle w:val="HTMLPreformatted"/>
        <w:numPr>
          <w:ilvl w:val="0"/>
          <w:numId w:val="34"/>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Specific Risk = Instruments Exposed to Interest Rate Risk and Equity Price Risk.</w:t>
      </w:r>
    </w:p>
    <w:p w:rsidR="00B3369E" w:rsidRPr="00B3369E" w:rsidRDefault="00B3369E" w:rsidP="001B0E2C">
      <w:pPr>
        <w:pStyle w:val="HTMLPreformatted"/>
        <w:numPr>
          <w:ilvl w:val="0"/>
          <w:numId w:val="34"/>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So Basel makes it two risk capital adequacy ratio analysis by (Total capital / Credit risk RWA + Market Risk RWA).</w:t>
      </w:r>
    </w:p>
    <w:p w:rsidR="00B3369E" w:rsidRPr="00B3369E" w:rsidRDefault="00B3369E" w:rsidP="001B0E2C">
      <w:pPr>
        <w:pStyle w:val="HTMLPreformatted"/>
        <w:numPr>
          <w:ilvl w:val="0"/>
          <w:numId w:val="27"/>
        </w:numPr>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 xml:space="preserve"> Internal Value at Risk (VAR) models of the banks.</w:t>
      </w: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38" w:name="_Toc6610620"/>
      <w:bookmarkStart w:id="139" w:name="_Toc6614046"/>
      <w:r w:rsidRPr="00B3369E">
        <w:rPr>
          <w:rFonts w:ascii="Times New Roman" w:hAnsi="Times New Roman" w:cs="Times New Roman"/>
          <w:color w:val="943634" w:themeColor="accent2" w:themeShade="BF"/>
          <w:sz w:val="24"/>
          <w:szCs w:val="24"/>
        </w:rPr>
        <w:t>4.2.5 Basel 1 positive:</w:t>
      </w:r>
      <w:bookmarkEnd w:id="138"/>
      <w:bookmarkEnd w:id="139"/>
      <w:r w:rsidRPr="00B3369E">
        <w:rPr>
          <w:rFonts w:ascii="Times New Roman" w:hAnsi="Times New Roman" w:cs="Times New Roman"/>
          <w:color w:val="943634" w:themeColor="accent2" w:themeShade="BF"/>
          <w:sz w:val="24"/>
          <w:szCs w:val="24"/>
        </w:rPr>
        <w:t xml:space="preserve"> </w:t>
      </w:r>
    </w:p>
    <w:p w:rsidR="00B3369E" w:rsidRPr="00B3369E" w:rsidRDefault="00B3369E" w:rsidP="00B3369E">
      <w:pPr>
        <w:spacing w:after="0"/>
        <w:rPr>
          <w:rFonts w:ascii="Times New Roman" w:hAnsi="Times New Roman" w:cs="Times New Roman"/>
        </w:rPr>
      </w:pPr>
    </w:p>
    <w:p w:rsidR="00B3369E" w:rsidRPr="00B3369E" w:rsidRDefault="00B3369E" w:rsidP="001B0E2C">
      <w:pPr>
        <w:pStyle w:val="HTMLPreformatted"/>
        <w:numPr>
          <w:ilvl w:val="0"/>
          <w:numId w:val="26"/>
        </w:numPr>
        <w:shd w:val="clear" w:color="auto" w:fill="FFFFFF"/>
        <w:rPr>
          <w:rFonts w:ascii="Times New Roman" w:hAnsi="Times New Roman" w:cs="Times New Roman"/>
          <w:color w:val="212121"/>
          <w:sz w:val="24"/>
          <w:szCs w:val="24"/>
          <w:cs/>
        </w:rPr>
      </w:pPr>
      <w:r w:rsidRPr="00B3369E">
        <w:rPr>
          <w:rFonts w:ascii="Times New Roman" w:hAnsi="Times New Roman" w:cs="Times New Roman"/>
          <w:color w:val="212121"/>
          <w:sz w:val="24"/>
          <w:szCs w:val="24"/>
        </w:rPr>
        <w:t>It was like a benchmark set up across the world.</w:t>
      </w:r>
    </w:p>
    <w:p w:rsidR="00B3369E" w:rsidRPr="00B3369E" w:rsidRDefault="00B3369E" w:rsidP="001B0E2C">
      <w:pPr>
        <w:pStyle w:val="HTMLPreformatted"/>
        <w:numPr>
          <w:ilvl w:val="0"/>
          <w:numId w:val="26"/>
        </w:numPr>
        <w:shd w:val="clear" w:color="auto" w:fill="FFFFFF"/>
        <w:rPr>
          <w:rFonts w:ascii="Times New Roman" w:hAnsi="Times New Roman" w:cs="Times New Roman"/>
          <w:color w:val="212121"/>
          <w:sz w:val="24"/>
          <w:szCs w:val="24"/>
          <w:cs/>
        </w:rPr>
      </w:pPr>
      <w:r w:rsidRPr="00B3369E">
        <w:rPr>
          <w:rFonts w:ascii="Times New Roman" w:hAnsi="Times New Roman" w:cs="Times New Roman"/>
          <w:color w:val="212121"/>
          <w:sz w:val="24"/>
          <w:szCs w:val="24"/>
        </w:rPr>
        <w:t>To supplement this, capital appreciation ratio is the value.</w:t>
      </w:r>
    </w:p>
    <w:p w:rsidR="00B3369E" w:rsidRPr="00B3369E" w:rsidRDefault="00B3369E" w:rsidP="001B0E2C">
      <w:pPr>
        <w:pStyle w:val="HTMLPreformatted"/>
        <w:numPr>
          <w:ilvl w:val="0"/>
          <w:numId w:val="26"/>
        </w:numPr>
        <w:shd w:val="clear" w:color="auto" w:fill="FFFFFF"/>
        <w:rPr>
          <w:rFonts w:ascii="Times New Roman" w:hAnsi="Times New Roman" w:cs="Times New Roman"/>
          <w:color w:val="212121"/>
          <w:sz w:val="24"/>
          <w:szCs w:val="24"/>
          <w:cs/>
        </w:rPr>
      </w:pPr>
      <w:r w:rsidRPr="00B3369E">
        <w:rPr>
          <w:rFonts w:ascii="Times New Roman" w:hAnsi="Times New Roman" w:cs="Times New Roman"/>
          <w:color w:val="212121"/>
          <w:sz w:val="24"/>
          <w:szCs w:val="24"/>
        </w:rPr>
        <w:t>It was very simple nature.</w:t>
      </w:r>
    </w:p>
    <w:p w:rsidR="00B3369E" w:rsidRPr="00B3369E" w:rsidRDefault="00B3369E" w:rsidP="001B0E2C">
      <w:pPr>
        <w:pStyle w:val="HTMLPreformatted"/>
        <w:numPr>
          <w:ilvl w:val="0"/>
          <w:numId w:val="26"/>
        </w:numPr>
        <w:rPr>
          <w:rFonts w:ascii="Times New Roman" w:hAnsi="Times New Roman" w:cs="Times New Roman"/>
          <w:color w:val="212121"/>
          <w:sz w:val="24"/>
          <w:szCs w:val="24"/>
          <w:cs/>
        </w:rPr>
      </w:pPr>
      <w:r w:rsidRPr="00B3369E">
        <w:rPr>
          <w:rFonts w:ascii="Times New Roman" w:hAnsi="Times New Roman" w:cs="Times New Roman"/>
          <w:color w:val="212121"/>
          <w:sz w:val="24"/>
          <w:szCs w:val="24"/>
        </w:rPr>
        <w:t>Simple construction will be relatively comfortable.</w:t>
      </w:r>
    </w:p>
    <w:p w:rsidR="00B3369E" w:rsidRPr="00B3369E" w:rsidRDefault="00B3369E" w:rsidP="001B0E2C">
      <w:pPr>
        <w:pStyle w:val="HTMLPreformatted"/>
        <w:numPr>
          <w:ilvl w:val="0"/>
          <w:numId w:val="26"/>
        </w:numPr>
        <w:rPr>
          <w:rFonts w:ascii="Times New Roman" w:hAnsi="Times New Roman" w:cs="Times New Roman"/>
          <w:color w:val="212121"/>
          <w:sz w:val="24"/>
          <w:szCs w:val="24"/>
          <w:cs/>
        </w:rPr>
      </w:pPr>
      <w:r w:rsidRPr="00B3369E">
        <w:rPr>
          <w:rFonts w:ascii="Times New Roman" w:hAnsi="Times New Roman" w:cs="Times New Roman"/>
          <w:color w:val="212121"/>
          <w:sz w:val="24"/>
          <w:szCs w:val="24"/>
        </w:rPr>
        <w:t>Worldwide adoption</w:t>
      </w:r>
    </w:p>
    <w:p w:rsidR="00B3369E" w:rsidRPr="00B3369E" w:rsidRDefault="00B3369E" w:rsidP="001B0E2C">
      <w:pPr>
        <w:pStyle w:val="HTMLPreformatted"/>
        <w:numPr>
          <w:ilvl w:val="0"/>
          <w:numId w:val="26"/>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More discipline in the managed capital.</w:t>
      </w:r>
    </w:p>
    <w:p w:rsidR="00B3369E" w:rsidRPr="00B3369E" w:rsidRDefault="00B3369E" w:rsidP="00B3369E">
      <w:pPr>
        <w:pStyle w:val="HTMLPreformatted"/>
        <w:shd w:val="clear" w:color="auto" w:fill="FFFFFF"/>
        <w:jc w:val="both"/>
        <w:rPr>
          <w:rFonts w:ascii="Times New Roman" w:hAnsi="Times New Roman" w:cs="Times New Roman"/>
          <w:sz w:val="24"/>
          <w:szCs w:val="24"/>
        </w:rPr>
      </w:pPr>
    </w:p>
    <w:p w:rsidR="00B3369E" w:rsidRPr="00B3369E" w:rsidRDefault="00B3369E" w:rsidP="00B3369E">
      <w:pPr>
        <w:pStyle w:val="HTMLPreformatted"/>
        <w:shd w:val="clear" w:color="auto" w:fill="FFFFFF"/>
        <w:jc w:val="both"/>
        <w:rPr>
          <w:rFonts w:ascii="Times New Roman" w:hAnsi="Times New Roman" w:cs="Times New Roman"/>
          <w:sz w:val="24"/>
          <w:szCs w:val="24"/>
        </w:rPr>
      </w:pPr>
    </w:p>
    <w:p w:rsidR="00B3369E" w:rsidRPr="00B3369E" w:rsidRDefault="00B3369E" w:rsidP="00B3369E">
      <w:pPr>
        <w:pStyle w:val="Heading3"/>
        <w:jc w:val="both"/>
        <w:rPr>
          <w:rFonts w:ascii="Times New Roman" w:hAnsi="Times New Roman" w:cs="Times New Roman"/>
          <w:color w:val="943634" w:themeColor="accent2" w:themeShade="BF"/>
          <w:sz w:val="24"/>
          <w:szCs w:val="24"/>
        </w:rPr>
      </w:pP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40" w:name="_Toc6610621"/>
      <w:bookmarkStart w:id="141" w:name="_Toc6614047"/>
      <w:r w:rsidRPr="00B3369E">
        <w:rPr>
          <w:rFonts w:ascii="Times New Roman" w:hAnsi="Times New Roman" w:cs="Times New Roman"/>
          <w:color w:val="943634" w:themeColor="accent2" w:themeShade="BF"/>
          <w:sz w:val="24"/>
          <w:szCs w:val="24"/>
        </w:rPr>
        <w:t>4.2.6 Weaknesses of Basel 1:</w:t>
      </w:r>
      <w:bookmarkEnd w:id="140"/>
      <w:bookmarkEnd w:id="141"/>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u w:val="single"/>
        </w:rPr>
      </w:pPr>
    </w:p>
    <w:p w:rsidR="00B3369E" w:rsidRPr="00B3369E" w:rsidRDefault="00B3369E" w:rsidP="001B0E2C">
      <w:pPr>
        <w:pStyle w:val="HTMLPreformatted"/>
        <w:numPr>
          <w:ilvl w:val="0"/>
          <w:numId w:val="25"/>
        </w:numPr>
        <w:shd w:val="clear" w:color="auto" w:fill="FFFFFF"/>
        <w:jc w:val="both"/>
        <w:rPr>
          <w:rFonts w:ascii="Times New Roman" w:hAnsi="Times New Roman" w:cs="Times New Roman"/>
          <w:color w:val="212121"/>
          <w:sz w:val="24"/>
          <w:szCs w:val="24"/>
          <w:cs/>
        </w:rPr>
      </w:pPr>
      <w:r w:rsidRPr="00B3369E">
        <w:rPr>
          <w:rFonts w:ascii="Times New Roman" w:hAnsi="Times New Roman" w:cs="Times New Roman"/>
          <w:color w:val="212121"/>
          <w:sz w:val="24"/>
          <w:szCs w:val="24"/>
        </w:rPr>
        <w:t>It is important that the book highlights the value of books and markets the market.</w:t>
      </w:r>
    </w:p>
    <w:p w:rsidR="00B3369E" w:rsidRPr="00B3369E" w:rsidRDefault="00B3369E" w:rsidP="001B0E2C">
      <w:pPr>
        <w:pStyle w:val="HTMLPreformatted"/>
        <w:numPr>
          <w:ilvl w:val="0"/>
          <w:numId w:val="25"/>
        </w:numPr>
        <w:jc w:val="both"/>
        <w:rPr>
          <w:rFonts w:ascii="Times New Roman" w:hAnsi="Times New Roman" w:cs="Times New Roman"/>
          <w:color w:val="212121"/>
          <w:sz w:val="24"/>
          <w:szCs w:val="24"/>
          <w:cs/>
        </w:rPr>
      </w:pPr>
      <w:r w:rsidRPr="00B3369E">
        <w:rPr>
          <w:rFonts w:ascii="Times New Roman" w:hAnsi="Times New Roman" w:cs="Times New Roman"/>
          <w:color w:val="212121"/>
          <w:sz w:val="24"/>
          <w:szCs w:val="24"/>
        </w:rPr>
        <w:t>The inadequate measure of risks and consequences is the use of new financial instruments and risk mitigation methods.</w:t>
      </w:r>
    </w:p>
    <w:p w:rsidR="00B3369E" w:rsidRPr="00B3369E" w:rsidRDefault="00B3369E" w:rsidP="001B0E2C">
      <w:pPr>
        <w:pStyle w:val="HTMLPreformatted"/>
        <w:numPr>
          <w:ilvl w:val="0"/>
          <w:numId w:val="25"/>
        </w:numPr>
        <w:jc w:val="both"/>
        <w:rPr>
          <w:rFonts w:ascii="Times New Roman" w:hAnsi="Times New Roman" w:cs="Times New Roman"/>
          <w:color w:val="212121"/>
          <w:sz w:val="24"/>
          <w:szCs w:val="24"/>
          <w:cs/>
        </w:rPr>
      </w:pPr>
      <w:r w:rsidRPr="00B3369E">
        <w:rPr>
          <w:rFonts w:ascii="Times New Roman" w:hAnsi="Times New Roman" w:cs="Times New Roman"/>
          <w:color w:val="212121"/>
          <w:sz w:val="24"/>
          <w:szCs w:val="24"/>
        </w:rPr>
        <w:t>There is no difference between praising praise and creditworthiness of ratings.</w:t>
      </w:r>
    </w:p>
    <w:p w:rsidR="00B3369E" w:rsidRPr="00B3369E" w:rsidRDefault="00B3369E" w:rsidP="001B0E2C">
      <w:pPr>
        <w:pStyle w:val="HTMLPreformatted"/>
        <w:numPr>
          <w:ilvl w:val="0"/>
          <w:numId w:val="25"/>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Capital appreciation depends on the risk of appreciation, although other risk analysis is pruned.</w:t>
      </w:r>
    </w:p>
    <w:p w:rsidR="00B3369E" w:rsidRPr="00B3369E" w:rsidRDefault="00B3369E" w:rsidP="00B3369E">
      <w:pPr>
        <w:pStyle w:val="Heading2"/>
        <w:spacing w:before="0"/>
        <w:jc w:val="both"/>
        <w:rPr>
          <w:rStyle w:val="Heading3Char"/>
          <w:rFonts w:ascii="Times New Roman" w:hAnsi="Times New Roman" w:cs="Times New Roman"/>
          <w:b/>
          <w:bCs/>
          <w:color w:val="943634" w:themeColor="accent2" w:themeShade="BF"/>
          <w:sz w:val="24"/>
          <w:szCs w:val="24"/>
        </w:rPr>
      </w:pPr>
    </w:p>
    <w:p w:rsidR="00B3369E" w:rsidRPr="00B3369E" w:rsidRDefault="00B3369E" w:rsidP="00B3369E">
      <w:pPr>
        <w:pStyle w:val="Heading2"/>
        <w:spacing w:before="0"/>
        <w:jc w:val="both"/>
        <w:rPr>
          <w:rFonts w:ascii="Times New Roman" w:hAnsi="Times New Roman" w:cs="Times New Roman"/>
          <w:sz w:val="24"/>
          <w:szCs w:val="24"/>
        </w:rPr>
      </w:pPr>
      <w:bookmarkStart w:id="142" w:name="_Toc6610622"/>
      <w:bookmarkStart w:id="143" w:name="_Toc6614048"/>
      <w:r w:rsidRPr="00B3369E">
        <w:rPr>
          <w:rStyle w:val="Heading3Char"/>
          <w:rFonts w:ascii="Times New Roman" w:hAnsi="Times New Roman" w:cs="Times New Roman"/>
          <w:b/>
          <w:bCs/>
          <w:color w:val="943634" w:themeColor="accent2" w:themeShade="BF"/>
          <w:sz w:val="24"/>
          <w:szCs w:val="24"/>
        </w:rPr>
        <w:t>4.2.7 Basel I Pitfalls and limitation:</w:t>
      </w:r>
      <w:r w:rsidRPr="00B3369E">
        <w:rPr>
          <w:rFonts w:ascii="Times New Roman" w:hAnsi="Times New Roman" w:cs="Times New Roman"/>
          <w:sz w:val="24"/>
          <w:szCs w:val="24"/>
        </w:rPr>
        <w:t xml:space="preserve"> </w:t>
      </w:r>
      <w:r w:rsidRPr="00B3369E">
        <w:rPr>
          <w:rFonts w:ascii="Times New Roman" w:hAnsi="Times New Roman" w:cs="Times New Roman"/>
          <w:b w:val="0"/>
          <w:bCs w:val="0"/>
          <w:color w:val="212121"/>
          <w:sz w:val="24"/>
          <w:szCs w:val="24"/>
        </w:rPr>
        <w:t xml:space="preserve">Basel's very limited differ resources are in the classes. So achieving is basically 0%, 20%, and 100% only. So they are losing any of the resources, which is that there was nothing in the pitfall </w:t>
      </w:r>
      <w:r w:rsidRPr="00B3369E">
        <w:rPr>
          <w:rFonts w:ascii="Times New Roman" w:hAnsi="Times New Roman" w:cs="Times New Roman"/>
          <w:b w:val="0"/>
          <w:bCs w:val="0"/>
          <w:color w:val="212121"/>
          <w:sz w:val="24"/>
          <w:szCs w:val="24"/>
          <w:cs/>
        </w:rPr>
        <w:t>Basel</w:t>
      </w:r>
      <w:r w:rsidRPr="00B3369E">
        <w:rPr>
          <w:rFonts w:ascii="Times New Roman" w:hAnsi="Times New Roman" w:cs="Times New Roman"/>
          <w:b w:val="0"/>
          <w:bCs w:val="0"/>
          <w:color w:val="212121"/>
          <w:sz w:val="24"/>
          <w:szCs w:val="24"/>
        </w:rPr>
        <w:t xml:space="preserve"> 1.</w:t>
      </w:r>
      <w:bookmarkEnd w:id="142"/>
      <w:bookmarkEnd w:id="143"/>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cs/>
        </w:rPr>
      </w:pPr>
      <w:r w:rsidRPr="00B3369E">
        <w:rPr>
          <w:rFonts w:ascii="Times New Roman" w:hAnsi="Times New Roman" w:cs="Times New Roman"/>
          <w:color w:val="212121"/>
          <w:sz w:val="24"/>
          <w:szCs w:val="24"/>
        </w:rPr>
        <w:t xml:space="preserve">The defaults of default are at risk, and there is no system for the capital change of capital percent. If the default risk changes are changed. So 8% of the capital adequacy ratio is changing in all the nature of the default risk. So the stimulus which is the economic pressure country, they are high inflation over the economy, the case risks have changed to the particular class or it is suddenly rising. In addition to that case, the bank maintains 8% of the cars. So the bank cannot change the status of independence or </w:t>
      </w:r>
      <w:r w:rsidRPr="00B3369E">
        <w:rPr>
          <w:rFonts w:ascii="Times New Roman" w:hAnsi="Times New Roman" w:cs="Times New Roman"/>
          <w:color w:val="212121"/>
          <w:sz w:val="24"/>
          <w:szCs w:val="24"/>
          <w:cs/>
        </w:rPr>
        <w:t>Basel</w:t>
      </w:r>
      <w:r w:rsidRPr="00B3369E">
        <w:rPr>
          <w:rFonts w:ascii="Times New Roman" w:hAnsi="Times New Roman" w:cs="Times New Roman"/>
          <w:color w:val="212121"/>
          <w:sz w:val="24"/>
          <w:szCs w:val="24"/>
        </w:rPr>
        <w:t xml:space="preserve"> 1, which can change the nature of all the risks of the default risk. Basel 1 Risks and liquidity risk at any other risk market risk, the current situation; it is not the only praise that talks about risk. This sort of criticism added a new </w:t>
      </w:r>
      <w:r w:rsidRPr="00B3369E">
        <w:rPr>
          <w:rFonts w:ascii="Times New Roman" w:hAnsi="Times New Roman" w:cs="Times New Roman"/>
          <w:color w:val="212121"/>
          <w:sz w:val="24"/>
          <w:szCs w:val="24"/>
          <w:cs/>
        </w:rPr>
        <w:t>Basel</w:t>
      </w:r>
      <w:r w:rsidRPr="00B3369E">
        <w:rPr>
          <w:rFonts w:ascii="Times New Roman" w:hAnsi="Times New Roman" w:cs="Times New Roman"/>
          <w:color w:val="212121"/>
          <w:sz w:val="24"/>
          <w:szCs w:val="24"/>
        </w:rPr>
        <w:t xml:space="preserve"> agreement to the Basel 2 which added risk to the situation, and guided the creation of new calculations of praise risk further. The risk of activity is getting worse than human error or management failure. Basel 2 Treaty was implemented in 2007.</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Basel 1 risks the praise of the capital treaty, or the risk of capitalizing on the risks that would happen if a team does not tinkle with its obligations. It triggered the rising risk modeling research; nevertheless, its over-simplified accounting, and classification, has called for </w:t>
      </w:r>
      <w:r w:rsidRPr="00B3369E">
        <w:rPr>
          <w:rFonts w:ascii="Times New Roman" w:hAnsi="Times New Roman" w:cs="Times New Roman"/>
          <w:color w:val="212121"/>
          <w:sz w:val="24"/>
          <w:szCs w:val="24"/>
          <w:cs/>
        </w:rPr>
        <w:t>Basel</w:t>
      </w:r>
      <w:r w:rsidRPr="00B3369E">
        <w:rPr>
          <w:rFonts w:ascii="Times New Roman" w:hAnsi="Times New Roman" w:cs="Times New Roman"/>
          <w:color w:val="212121"/>
          <w:sz w:val="24"/>
          <w:szCs w:val="24"/>
        </w:rPr>
        <w:t xml:space="preserve"> 2 capitalism agreement and more agreement to be lost and it is a sign of the continuous risk of the capital and the continuous refinement of the capital. As the first international instrument, Basel 1 evaluates the importance of capital risk, which is the remainder of the money and banking history.</w:t>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44" w:name="_Toc6610623"/>
      <w:bookmarkStart w:id="145" w:name="_Toc6614049"/>
      <w:r w:rsidRPr="00B3369E">
        <w:rPr>
          <w:rFonts w:ascii="Times New Roman" w:hAnsi="Times New Roman" w:cs="Times New Roman"/>
          <w:color w:val="632423" w:themeColor="accent2" w:themeShade="80"/>
          <w:sz w:val="28"/>
          <w:szCs w:val="28"/>
        </w:rPr>
        <w:t>4.3 Basel II</w:t>
      </w:r>
      <w:bookmarkEnd w:id="144"/>
      <w:bookmarkEnd w:id="145"/>
    </w:p>
    <w:p w:rsidR="00B3369E" w:rsidRPr="00B3369E" w:rsidRDefault="00B3369E" w:rsidP="00B3369E">
      <w:pPr>
        <w:pStyle w:val="HTMLPreformatted"/>
        <w:shd w:val="clear" w:color="auto" w:fill="FFFFFF"/>
        <w:spacing w:line="276" w:lineRule="auto"/>
        <w:rPr>
          <w:rFonts w:ascii="Times New Roman" w:hAnsi="Times New Roman" w:cs="Times New Roman"/>
          <w:b/>
          <w:bCs/>
          <w:sz w:val="24"/>
          <w:szCs w:val="24"/>
          <w:u w:val="single"/>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II is a Basel agreement, which is recommended by the Basel Committee over the banking act and rules, above the banking supervision, on top of the banking supervision, second to the second recommendation. The Basel II agreement was first published in June 2004 and it has been modified to amend the international banking standard, which means that it is necessary to contain the risks of financial capital and current bank of many capital cities, keeping them guard against the face.</w:t>
      </w:r>
      <w:r w:rsidRPr="00B3369E">
        <w:rPr>
          <w:rFonts w:ascii="Times New Roman" w:hAnsi="Times New Roman" w:cs="Times New Roman"/>
          <w:color w:val="212121"/>
          <w:sz w:val="24"/>
          <w:szCs w:val="24"/>
          <w:cs/>
        </w:rPr>
        <w:t xml:space="preserve"> </w:t>
      </w:r>
      <w:r w:rsidRPr="00B3369E">
        <w:rPr>
          <w:rFonts w:ascii="Times New Roman" w:hAnsi="Times New Roman" w:cs="Times New Roman"/>
          <w:color w:val="212121"/>
          <w:sz w:val="24"/>
          <w:szCs w:val="24"/>
        </w:rPr>
        <w:t xml:space="preserve">As well as the international convergence of the </w:t>
      </w:r>
      <w:r w:rsidRPr="00B3369E">
        <w:rPr>
          <w:rFonts w:ascii="Times New Roman" w:hAnsi="Times New Roman" w:cs="Times New Roman"/>
          <w:color w:val="212121"/>
          <w:sz w:val="24"/>
          <w:szCs w:val="24"/>
          <w:cs/>
        </w:rPr>
        <w:t>Basel</w:t>
      </w:r>
      <w:r w:rsidRPr="00B3369E">
        <w:rPr>
          <w:rFonts w:ascii="Times New Roman" w:hAnsi="Times New Roman" w:cs="Times New Roman"/>
          <w:color w:val="212121"/>
          <w:sz w:val="24"/>
          <w:szCs w:val="24"/>
        </w:rPr>
        <w:t xml:space="preserve"> </w:t>
      </w:r>
      <w:r w:rsidRPr="00B3369E">
        <w:rPr>
          <w:rFonts w:ascii="Times New Roman" w:hAnsi="Times New Roman" w:cs="Times New Roman"/>
          <w:color w:val="212121"/>
          <w:sz w:val="24"/>
          <w:szCs w:val="24"/>
          <w:cs/>
        </w:rPr>
        <w:t>II</w:t>
      </w:r>
      <w:r w:rsidRPr="00B3369E">
        <w:rPr>
          <w:rFonts w:ascii="Times New Roman" w:hAnsi="Times New Roman" w:cs="Times New Roman"/>
          <w:color w:val="212121"/>
          <w:sz w:val="24"/>
          <w:szCs w:val="24"/>
        </w:rPr>
        <w:t xml:space="preserve"> capital measurement and capital value, also known international banks and financial instructions help in protecting them against financial risks. In the current situation, to ensure the financial risk rules, more risk is needed to ensure that the bank is exposed to the amount of large capital of the bank and its overall economy and the overall economy stabilize.</w:t>
      </w:r>
      <w:r w:rsidRPr="00B3369E">
        <w:rPr>
          <w:rFonts w:ascii="Times New Roman" w:hAnsi="Times New Roman" w:cs="Times New Roman"/>
          <w:color w:val="212121"/>
          <w:sz w:val="24"/>
          <w:szCs w:val="24"/>
          <w:cs/>
        </w:rPr>
        <w:t xml:space="preserve"> </w:t>
      </w:r>
      <w:r w:rsidRPr="00B3369E">
        <w:rPr>
          <w:rFonts w:ascii="Times New Roman" w:hAnsi="Times New Roman" w:cs="Times New Roman"/>
          <w:color w:val="212121"/>
          <w:sz w:val="24"/>
          <w:szCs w:val="24"/>
        </w:rPr>
        <w:t xml:space="preserve">Basel </w:t>
      </w:r>
      <w:r w:rsidRPr="00B3369E">
        <w:rPr>
          <w:rFonts w:ascii="Times New Roman" w:hAnsi="Times New Roman" w:cs="Times New Roman"/>
          <w:color w:val="212121"/>
          <w:sz w:val="24"/>
          <w:szCs w:val="24"/>
          <w:cs/>
        </w:rPr>
        <w:t>II</w:t>
      </w:r>
      <w:r w:rsidRPr="00B3369E">
        <w:rPr>
          <w:rFonts w:ascii="Times New Roman" w:hAnsi="Times New Roman" w:cs="Times New Roman"/>
          <w:color w:val="212121"/>
          <w:sz w:val="24"/>
          <w:szCs w:val="24"/>
        </w:rPr>
        <w:t xml:space="preserve"> to establish risk and capital management, to ensure that there is enough capital for a bank's risk; the bank tries to accomplish this by exposing it through debt, funding and trading activities. Maintaining sufficient stability to limit competitiveness inequality among the so-called internationally active banks was a goal.</w:t>
      </w:r>
      <w:r w:rsidRPr="00B3369E">
        <w:rPr>
          <w:rFonts w:ascii="Times New Roman" w:hAnsi="Times New Roman" w:cs="Times New Roman"/>
          <w:color w:val="212121"/>
          <w:sz w:val="24"/>
          <w:szCs w:val="24"/>
          <w:cs/>
        </w:rPr>
        <w:t xml:space="preserve"> </w:t>
      </w:r>
      <w:r w:rsidRPr="00B3369E">
        <w:rPr>
          <w:rFonts w:ascii="Times New Roman" w:hAnsi="Times New Roman" w:cs="Times New Roman"/>
          <w:color w:val="212121"/>
          <w:sz w:val="24"/>
          <w:szCs w:val="24"/>
        </w:rPr>
        <w:t xml:space="preserve">Basel </w:t>
      </w:r>
      <w:r w:rsidRPr="00B3369E">
        <w:rPr>
          <w:rFonts w:ascii="Times New Roman" w:hAnsi="Times New Roman" w:cs="Times New Roman"/>
          <w:color w:val="212121"/>
          <w:sz w:val="24"/>
          <w:szCs w:val="24"/>
          <w:cs/>
        </w:rPr>
        <w:t>II</w:t>
      </w:r>
      <w:r w:rsidRPr="00B3369E">
        <w:rPr>
          <w:rFonts w:ascii="Times New Roman" w:hAnsi="Times New Roman" w:cs="Times New Roman"/>
          <w:color w:val="212121"/>
          <w:sz w:val="24"/>
          <w:szCs w:val="24"/>
        </w:rPr>
        <w:t xml:space="preserve"> was implemented year-round in 2008 and it was only in the most important economics to implement in April 2008 before they became fully operational before Basel </w:t>
      </w:r>
      <w:r w:rsidRPr="00B3369E">
        <w:rPr>
          <w:rFonts w:ascii="Times New Roman" w:hAnsi="Times New Roman" w:cs="Times New Roman"/>
          <w:color w:val="212121"/>
          <w:sz w:val="24"/>
          <w:szCs w:val="24"/>
          <w:cs/>
        </w:rPr>
        <w:t>I</w:t>
      </w:r>
      <w:r w:rsidRPr="00B3369E">
        <w:rPr>
          <w:rFonts w:ascii="Times New Roman" w:hAnsi="Times New Roman" w:cs="Times New Roman"/>
          <w:color w:val="212121"/>
          <w:sz w:val="24"/>
          <w:szCs w:val="24"/>
        </w:rPr>
        <w:t xml:space="preserve"> was fully financially intervened. </w:t>
      </w:r>
      <w:r w:rsidRPr="00B3369E">
        <w:rPr>
          <w:rFonts w:ascii="Times New Roman" w:hAnsi="Times New Roman" w:cs="Times New Roman"/>
          <w:color w:val="212121"/>
          <w:sz w:val="24"/>
          <w:szCs w:val="24"/>
          <w:cs/>
        </w:rPr>
        <w:t>Basel II</w:t>
      </w:r>
      <w:r w:rsidRPr="00B3369E">
        <w:rPr>
          <w:rFonts w:ascii="Times New Roman" w:hAnsi="Times New Roman" w:cs="Times New Roman"/>
          <w:color w:val="212121"/>
          <w:sz w:val="24"/>
          <w:szCs w:val="24"/>
        </w:rPr>
        <w:t xml:space="preserve"> Every bank should follow the standards of at least risk method, to make their own risk management structure and to ensure regular supervision.</w:t>
      </w: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46" w:name="_Toc6610624"/>
      <w:bookmarkStart w:id="147" w:name="_Toc6614050"/>
      <w:r w:rsidRPr="00B3369E">
        <w:rPr>
          <w:rFonts w:ascii="Times New Roman" w:hAnsi="Times New Roman" w:cs="Times New Roman"/>
          <w:color w:val="943634" w:themeColor="accent2" w:themeShade="BF"/>
          <w:sz w:val="24"/>
          <w:szCs w:val="24"/>
        </w:rPr>
        <w:t>4.3.1 Objectives of Basel II:</w:t>
      </w:r>
      <w:bookmarkEnd w:id="146"/>
      <w:bookmarkEnd w:id="147"/>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u w:val="single"/>
        </w:rPr>
      </w:pPr>
    </w:p>
    <w:p w:rsidR="00B3369E" w:rsidRPr="00B3369E" w:rsidRDefault="00B3369E" w:rsidP="001B0E2C">
      <w:pPr>
        <w:pStyle w:val="HTMLPreformatted"/>
        <w:numPr>
          <w:ilvl w:val="0"/>
          <w:numId w:val="24"/>
        </w:numPr>
        <w:shd w:val="clear" w:color="auto" w:fill="FFFFFF"/>
        <w:jc w:val="both"/>
        <w:rPr>
          <w:rFonts w:ascii="Times New Roman" w:hAnsi="Times New Roman" w:cs="Times New Roman"/>
          <w:sz w:val="24"/>
          <w:szCs w:val="24"/>
        </w:rPr>
      </w:pPr>
      <w:r w:rsidRPr="00B3369E">
        <w:rPr>
          <w:rFonts w:ascii="Times New Roman" w:hAnsi="Times New Roman" w:cs="Times New Roman"/>
          <w:color w:val="212121"/>
          <w:sz w:val="24"/>
          <w:szCs w:val="24"/>
        </w:rPr>
        <w:t>Basel II agreement continues to conform to the financial system's safety and well-being</w:t>
      </w:r>
    </w:p>
    <w:p w:rsidR="00B3369E" w:rsidRPr="00B3369E" w:rsidRDefault="00B3369E" w:rsidP="001B0E2C">
      <w:pPr>
        <w:pStyle w:val="HTMLPreformatted"/>
        <w:numPr>
          <w:ilvl w:val="0"/>
          <w:numId w:val="24"/>
        </w:numPr>
        <w:shd w:val="clear" w:color="auto" w:fill="FFFFFF"/>
        <w:jc w:val="both"/>
        <w:rPr>
          <w:rFonts w:ascii="Times New Roman" w:hAnsi="Times New Roman" w:cs="Times New Roman"/>
          <w:sz w:val="24"/>
          <w:szCs w:val="24"/>
        </w:rPr>
      </w:pPr>
      <w:r w:rsidRPr="00B3369E">
        <w:rPr>
          <w:rFonts w:ascii="Times New Roman" w:hAnsi="Times New Roman" w:cs="Times New Roman"/>
          <w:color w:val="212121"/>
          <w:sz w:val="24"/>
          <w:szCs w:val="24"/>
        </w:rPr>
        <w:t>Basel II agreement continues to increase competitive equality</w:t>
      </w:r>
    </w:p>
    <w:p w:rsidR="00B3369E" w:rsidRPr="00B3369E" w:rsidRDefault="00B3369E" w:rsidP="001B0E2C">
      <w:pPr>
        <w:pStyle w:val="HTMLPreformatted"/>
        <w:numPr>
          <w:ilvl w:val="0"/>
          <w:numId w:val="24"/>
        </w:numPr>
        <w:shd w:val="clear" w:color="auto" w:fill="FFFFFF"/>
        <w:jc w:val="both"/>
        <w:rPr>
          <w:rFonts w:ascii="Times New Roman" w:hAnsi="Times New Roman" w:cs="Times New Roman"/>
          <w:sz w:val="24"/>
          <w:szCs w:val="24"/>
        </w:rPr>
      </w:pPr>
      <w:r w:rsidRPr="00B3369E">
        <w:rPr>
          <w:rFonts w:ascii="Times New Roman" w:hAnsi="Times New Roman" w:cs="Times New Roman"/>
          <w:color w:val="212121"/>
          <w:sz w:val="24"/>
          <w:szCs w:val="24"/>
          <w:shd w:val="clear" w:color="auto" w:fill="FFFFFF"/>
        </w:rPr>
        <w:t>Basel II creates a more integrated path to risk lectures</w:t>
      </w:r>
    </w:p>
    <w:p w:rsidR="00B3369E" w:rsidRPr="00B3369E" w:rsidRDefault="00B3369E" w:rsidP="001B0E2C">
      <w:pPr>
        <w:pStyle w:val="HTMLPreformatted"/>
        <w:numPr>
          <w:ilvl w:val="0"/>
          <w:numId w:val="24"/>
        </w:numPr>
        <w:shd w:val="clear" w:color="auto" w:fill="FFFFFF"/>
        <w:jc w:val="both"/>
        <w:rPr>
          <w:rFonts w:ascii="Times New Roman" w:hAnsi="Times New Roman" w:cs="Times New Roman"/>
          <w:sz w:val="24"/>
          <w:szCs w:val="24"/>
        </w:rPr>
      </w:pPr>
      <w:r w:rsidRPr="00B3369E">
        <w:rPr>
          <w:rFonts w:ascii="Times New Roman" w:hAnsi="Times New Roman" w:cs="Times New Roman"/>
          <w:color w:val="212121"/>
          <w:sz w:val="24"/>
          <w:szCs w:val="24"/>
          <w:shd w:val="clear" w:color="auto" w:fill="FFFFFF"/>
        </w:rPr>
        <w:t>Basel II concentrates on the in-house banks internally, although its inherent policy should be for the appropriately appropriate application of the bank and the transformation of sophisticated banks.</w:t>
      </w:r>
    </w:p>
    <w:p w:rsidR="00B3369E" w:rsidRPr="00B3369E" w:rsidRDefault="00B3369E" w:rsidP="00B3369E">
      <w:pPr>
        <w:pStyle w:val="HTMLPreformatted"/>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 xml:space="preserve"> </w:t>
      </w: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48" w:name="_Toc6610625"/>
      <w:bookmarkStart w:id="149" w:name="_Toc6614051"/>
      <w:r w:rsidRPr="00B3369E">
        <w:rPr>
          <w:rFonts w:ascii="Times New Roman" w:hAnsi="Times New Roman" w:cs="Times New Roman"/>
          <w:color w:val="943634" w:themeColor="accent2" w:themeShade="BF"/>
          <w:sz w:val="24"/>
          <w:szCs w:val="24"/>
        </w:rPr>
        <w:t>4.3.2 Basel II version aims at:</w:t>
      </w:r>
      <w:bookmarkEnd w:id="148"/>
      <w:bookmarkEnd w:id="149"/>
    </w:p>
    <w:p w:rsidR="00B3369E" w:rsidRPr="00B3369E" w:rsidRDefault="00B3369E" w:rsidP="00B3369E">
      <w:pPr>
        <w:spacing w:after="0"/>
        <w:rPr>
          <w:rFonts w:ascii="Times New Roman" w:hAnsi="Times New Roman" w:cs="Times New Roman"/>
        </w:rPr>
      </w:pPr>
    </w:p>
    <w:p w:rsidR="00B3369E" w:rsidRPr="00B3369E" w:rsidRDefault="00B3369E" w:rsidP="001B0E2C">
      <w:pPr>
        <w:pStyle w:val="HTMLPreformatted"/>
        <w:numPr>
          <w:ilvl w:val="0"/>
          <w:numId w:val="23"/>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The capital allocation is to be more sensitive to risk</w:t>
      </w:r>
    </w:p>
    <w:p w:rsidR="00B3369E" w:rsidRPr="00B3369E" w:rsidRDefault="00B3369E" w:rsidP="001B0E2C">
      <w:pPr>
        <w:pStyle w:val="HTMLPreformatted"/>
        <w:numPr>
          <w:ilvl w:val="0"/>
          <w:numId w:val="23"/>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Increase in the demand for disclosure, which measures the market sufficiency of an institution that allows market participants to allow</w:t>
      </w:r>
    </w:p>
    <w:p w:rsidR="00B3369E" w:rsidRPr="00B3369E" w:rsidRDefault="00B3369E" w:rsidP="001B0E2C">
      <w:pPr>
        <w:pStyle w:val="HTMLPreformatted"/>
        <w:numPr>
          <w:ilvl w:val="0"/>
          <w:numId w:val="23"/>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Risk of praise, data and formal methods are expressed in the number to ensure risk and market risk in the current situation.</w:t>
      </w:r>
    </w:p>
    <w:p w:rsidR="00B3369E" w:rsidRPr="00B3369E" w:rsidRDefault="00B3369E" w:rsidP="001B0E2C">
      <w:pPr>
        <w:pStyle w:val="HTMLPreformatted"/>
        <w:numPr>
          <w:ilvl w:val="0"/>
          <w:numId w:val="23"/>
        </w:numPr>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More to reduce the scope for legal settlement of the economy and the law-regulating capital.</w:t>
      </w: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50" w:name="_Toc6610626"/>
      <w:bookmarkStart w:id="151" w:name="_Toc6614052"/>
      <w:r w:rsidRPr="00B3369E">
        <w:rPr>
          <w:rFonts w:ascii="Times New Roman" w:hAnsi="Times New Roman" w:cs="Times New Roman"/>
          <w:color w:val="943634" w:themeColor="accent2" w:themeShade="BF"/>
          <w:sz w:val="24"/>
          <w:szCs w:val="24"/>
        </w:rPr>
        <w:t>4.3.3 Basel II Accord proposes three implementation options:</w:t>
      </w:r>
      <w:bookmarkEnd w:id="150"/>
      <w:bookmarkEnd w:id="151"/>
    </w:p>
    <w:p w:rsidR="00B3369E" w:rsidRPr="00B3369E" w:rsidRDefault="00B3369E" w:rsidP="00B3369E">
      <w:pPr>
        <w:spacing w:after="0"/>
        <w:rPr>
          <w:rFonts w:ascii="Times New Roman" w:hAnsi="Times New Roman" w:cs="Times New Roman"/>
          <w:sz w:val="28"/>
        </w:rPr>
      </w:pPr>
    </w:p>
    <w:p w:rsidR="00B3369E" w:rsidRPr="00B3369E" w:rsidRDefault="00B3369E" w:rsidP="001B0E2C">
      <w:pPr>
        <w:pStyle w:val="HTMLPreformatted"/>
        <w:numPr>
          <w:ilvl w:val="0"/>
          <w:numId w:val="28"/>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 standard path is that some Basel is proposed by me, but using different portions, the financial resources generated are able to limit the risk of praising the capital and to reduce the capital's demand.</w:t>
      </w:r>
    </w:p>
    <w:p w:rsidR="00B3369E" w:rsidRPr="00B3369E" w:rsidRDefault="00B3369E" w:rsidP="001B0E2C">
      <w:pPr>
        <w:pStyle w:val="HTMLPreformatted"/>
        <w:numPr>
          <w:ilvl w:val="0"/>
          <w:numId w:val="28"/>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 method based on the internal rating of a bank allows a bank to use their own rating system, with their own calculations on the probability of entering the bankruptcy, but when the counterparty enters bankruptcy and is given by the supervision institution.</w:t>
      </w:r>
    </w:p>
    <w:p w:rsidR="00B3369E" w:rsidRPr="00B3369E" w:rsidRDefault="00B3369E" w:rsidP="001B0E2C">
      <w:pPr>
        <w:pStyle w:val="HTMLPreformatted"/>
        <w:numPr>
          <w:ilvl w:val="0"/>
          <w:numId w:val="28"/>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Improved Methods Internal ratings are based on the approval of the IRB Supervising Institution, in which the banks are determined by their capital on their models.</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II protects the three market risks. The Basel I describe risk or market risk credit. So Basel II has three market risks then the predicted three market Basel II predictions before the three pillars. Three Market Risks:</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u w:val="single"/>
        </w:rPr>
      </w:pPr>
    </w:p>
    <w:p w:rsidR="00B3369E" w:rsidRPr="00B3369E" w:rsidRDefault="00B3369E" w:rsidP="00B3369E">
      <w:pPr>
        <w:pStyle w:val="HTMLPreformatted"/>
        <w:shd w:val="clear" w:color="auto" w:fill="FFFFFF"/>
        <w:spacing w:line="276" w:lineRule="auto"/>
        <w:jc w:val="both"/>
        <w:rPr>
          <w:rStyle w:val="Heading2Char"/>
          <w:rFonts w:ascii="Times New Roman" w:hAnsi="Times New Roman" w:cs="Times New Roman"/>
          <w:sz w:val="28"/>
          <w:szCs w:val="28"/>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u w:val="single"/>
        </w:rPr>
      </w:pPr>
      <w:bookmarkStart w:id="152" w:name="_Toc6610627"/>
      <w:r w:rsidRPr="00B3369E">
        <w:rPr>
          <w:rStyle w:val="Heading4Char"/>
          <w:rFonts w:ascii="Times New Roman" w:hAnsi="Times New Roman" w:cs="Times New Roman"/>
          <w:i w:val="0"/>
          <w:iCs w:val="0"/>
          <w:color w:val="943634" w:themeColor="accent2" w:themeShade="BF"/>
          <w:sz w:val="24"/>
          <w:szCs w:val="24"/>
        </w:rPr>
        <w:t>4.3.3.1 Credit Risk:</w:t>
      </w:r>
      <w:bookmarkEnd w:id="152"/>
      <w:r w:rsidRPr="00B3369E">
        <w:rPr>
          <w:rFonts w:ascii="Times New Roman" w:hAnsi="Times New Roman" w:cs="Times New Roman"/>
          <w:sz w:val="24"/>
          <w:szCs w:val="24"/>
        </w:rPr>
        <w:t xml:space="preserve"> Failure to pay the money back, by the creditor. In the case of an incompetent lender, the lender recovers the lending amount in maturity by giving guidance to the credit lender. This is the only credit for the taxpayer and it's a wealth for the bank. The emergence of credit loss is the result of the inefficient asset.</w:t>
      </w:r>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u w:val="single"/>
        </w:rPr>
      </w:pPr>
    </w:p>
    <w:p w:rsidR="00B3369E" w:rsidRPr="00B3369E" w:rsidRDefault="00B3369E" w:rsidP="00B3369E">
      <w:pPr>
        <w:pStyle w:val="HTMLPreformatted"/>
        <w:spacing w:line="276" w:lineRule="auto"/>
        <w:jc w:val="both"/>
        <w:rPr>
          <w:rFonts w:ascii="Times New Roman" w:hAnsi="Times New Roman" w:cs="Times New Roman"/>
          <w:sz w:val="24"/>
          <w:szCs w:val="24"/>
        </w:rPr>
      </w:pPr>
      <w:bookmarkStart w:id="153" w:name="_Toc6610628"/>
      <w:r w:rsidRPr="00B3369E">
        <w:rPr>
          <w:rStyle w:val="Heading4Char"/>
          <w:rFonts w:ascii="Times New Roman" w:hAnsi="Times New Roman" w:cs="Times New Roman"/>
          <w:i w:val="0"/>
          <w:iCs w:val="0"/>
          <w:color w:val="943634" w:themeColor="accent2" w:themeShade="BF"/>
          <w:sz w:val="24"/>
          <w:szCs w:val="24"/>
        </w:rPr>
        <w:t>4.3.3.2 Market Risk:</w:t>
      </w:r>
      <w:bookmarkEnd w:id="153"/>
      <w:r w:rsidRPr="00B3369E">
        <w:rPr>
          <w:rFonts w:ascii="Times New Roman" w:hAnsi="Times New Roman" w:cs="Times New Roman"/>
          <w:b/>
          <w:bCs/>
          <w:sz w:val="24"/>
          <w:szCs w:val="24"/>
        </w:rPr>
        <w:t xml:space="preserve"> </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rPr>
        <w:t>The share of which is associated with the banks financing in market is sudden reduction in prices. Similar risks are called market risk. Because of the market turnover, the bank may sometimes fall below (1996, 2010, with the low 50 position, this is more likely to be a risk to DSA) encouragement at risk fluctuation in market risk. Falling market risk is the price at which the company has capitalized on the price of shares of the company or share of another company's share price.</w:t>
      </w:r>
      <w:r w:rsidRPr="00B3369E">
        <w:rPr>
          <w:rFonts w:ascii="Times New Roman" w:hAnsi="Times New Roman" w:cs="Times New Roman"/>
          <w:sz w:val="24"/>
          <w:szCs w:val="24"/>
        </w:rPr>
        <w:t xml:space="preserve"> Further market risk includes the release of balance sheet for security, equality safety and foreign currency balance sheet. The market risks that variables are being adversely affected by the main concerns and the loss of the value of the security of bank security will lead to losses.</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bookmarkStart w:id="154" w:name="_Toc6610629"/>
      <w:r w:rsidRPr="00B3369E">
        <w:rPr>
          <w:rStyle w:val="Heading4Char"/>
          <w:rFonts w:ascii="Times New Roman" w:hAnsi="Times New Roman" w:cs="Times New Roman"/>
          <w:i w:val="0"/>
          <w:iCs w:val="0"/>
          <w:color w:val="943634" w:themeColor="accent2" w:themeShade="BF"/>
          <w:sz w:val="24"/>
          <w:szCs w:val="24"/>
        </w:rPr>
        <w:t>4.3.3.3 Operational Risk:</w:t>
      </w:r>
      <w:bookmarkEnd w:id="154"/>
      <w:r w:rsidRPr="00B3369E">
        <w:rPr>
          <w:rFonts w:ascii="Times New Roman" w:hAnsi="Times New Roman" w:cs="Times New Roman"/>
          <w:b/>
          <w:bCs/>
          <w:sz w:val="24"/>
          <w:szCs w:val="24"/>
        </w:rPr>
        <w:t xml:space="preserve"> </w:t>
      </w:r>
      <w:r w:rsidRPr="00B3369E">
        <w:rPr>
          <w:rFonts w:ascii="Times New Roman" w:hAnsi="Times New Roman" w:cs="Times New Roman"/>
          <w:sz w:val="24"/>
          <w:szCs w:val="24"/>
        </w:rPr>
        <w:t>Internal process centralized computer failure or failure in the bank. Risks that are created due to the failure of the solution bank or the failure of the internal process to produce risk are called. Sometimes the risks in the running condition are not computer failure, in addition to the internal process work failure.</w:t>
      </w: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55" w:name="_Toc6610630"/>
      <w:bookmarkStart w:id="156" w:name="_Toc6614053"/>
      <w:r w:rsidRPr="00B3369E">
        <w:rPr>
          <w:rFonts w:ascii="Times New Roman" w:hAnsi="Times New Roman" w:cs="Times New Roman"/>
          <w:color w:val="943634" w:themeColor="accent2" w:themeShade="BF"/>
          <w:sz w:val="24"/>
          <w:szCs w:val="24"/>
        </w:rPr>
        <w:t>4.3.4 Basel II of Three pillars:</w:t>
      </w:r>
      <w:bookmarkEnd w:id="155"/>
      <w:bookmarkEnd w:id="156"/>
    </w:p>
    <w:p w:rsidR="00B3369E" w:rsidRPr="00B3369E" w:rsidRDefault="00B3369E" w:rsidP="00B3369E">
      <w:pPr>
        <w:pStyle w:val="HTMLPreformatted"/>
        <w:shd w:val="clear" w:color="auto" w:fill="FFFFFF"/>
        <w:spacing w:line="276" w:lineRule="auto"/>
        <w:jc w:val="both"/>
        <w:rPr>
          <w:rFonts w:ascii="Times New Roman" w:eastAsiaTheme="minorHAnsi" w:hAnsi="Times New Roman" w:cs="Times New Roman"/>
          <w:sz w:val="22"/>
          <w:szCs w:val="28"/>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bookmarkStart w:id="157" w:name="_Toc6610631"/>
      <w:r w:rsidRPr="00B3369E">
        <w:rPr>
          <w:rStyle w:val="Heading4Char"/>
          <w:rFonts w:ascii="Times New Roman" w:hAnsi="Times New Roman" w:cs="Times New Roman"/>
          <w:i w:val="0"/>
          <w:iCs w:val="0"/>
          <w:color w:val="943634" w:themeColor="accent2" w:themeShade="BF"/>
          <w:sz w:val="24"/>
          <w:szCs w:val="24"/>
        </w:rPr>
        <w:t>4.3.4.1. Pillar 1 Minimum Capital Requirements:</w:t>
      </w:r>
      <w:bookmarkEnd w:id="157"/>
      <w:r w:rsidRPr="00B3369E">
        <w:rPr>
          <w:rFonts w:ascii="Times New Roman" w:hAnsi="Times New Roman" w:cs="Times New Roman"/>
          <w:b/>
          <w:bCs/>
          <w:sz w:val="24"/>
          <w:szCs w:val="24"/>
        </w:rPr>
        <w:t xml:space="preserve"> </w:t>
      </w:r>
      <w:r w:rsidRPr="00B3369E">
        <w:rPr>
          <w:rFonts w:ascii="Times New Roman" w:hAnsi="Times New Roman" w:cs="Times New Roman"/>
          <w:sz w:val="24"/>
          <w:szCs w:val="24"/>
        </w:rPr>
        <w:t>At least for the capital requirements that are intended to create normative rules and to expand, the initiative has been taken out in the 1988. Treaty of exit the capital adequacy ratio should be less than 8% in the case of bank equivalence and wealth. For the three important elements of the risk of the legal capital - a bank that is monitoring is the first pillar contract with maintenance: credit risk, operational risk and market risk. Other risks are not considered perfectly computable at this stage.</w:t>
      </w:r>
      <w:r w:rsidRPr="00B3369E">
        <w:rPr>
          <w:rFonts w:ascii="Times New Roman" w:hAnsi="Times New Roman" w:cs="Times New Roman"/>
          <w:sz w:val="24"/>
          <w:szCs w:val="24"/>
        </w:rPr>
        <w:tab/>
      </w:r>
    </w:p>
    <w:p w:rsidR="00B3369E" w:rsidRPr="00B3369E" w:rsidRDefault="00B3369E" w:rsidP="00B3369E">
      <w:pPr>
        <w:pStyle w:val="Heading5"/>
        <w:spacing w:before="0"/>
        <w:jc w:val="both"/>
        <w:rPr>
          <w:rFonts w:ascii="Times New Roman" w:hAnsi="Times New Roman" w:cs="Times New Roman"/>
          <w:b/>
          <w:bCs/>
          <w:color w:val="943634" w:themeColor="accent2" w:themeShade="BF"/>
          <w:sz w:val="24"/>
          <w:szCs w:val="24"/>
        </w:rPr>
      </w:pPr>
    </w:p>
    <w:p w:rsidR="00B3369E" w:rsidRPr="00B3369E" w:rsidRDefault="00B3369E" w:rsidP="00B3369E">
      <w:pPr>
        <w:pStyle w:val="Heading5"/>
        <w:spacing w:before="0"/>
        <w:jc w:val="both"/>
        <w:rPr>
          <w:rFonts w:ascii="Times New Roman" w:hAnsi="Times New Roman" w:cs="Times New Roman"/>
          <w:b/>
          <w:bCs/>
          <w:color w:val="943634" w:themeColor="accent2" w:themeShade="BF"/>
          <w:sz w:val="24"/>
          <w:szCs w:val="24"/>
        </w:rPr>
      </w:pPr>
      <w:bookmarkStart w:id="158" w:name="_Toc6610632"/>
      <w:r w:rsidRPr="00B3369E">
        <w:rPr>
          <w:rFonts w:ascii="Times New Roman" w:hAnsi="Times New Roman" w:cs="Times New Roman"/>
          <w:b/>
          <w:bCs/>
          <w:color w:val="943634" w:themeColor="accent2" w:themeShade="BF"/>
          <w:sz w:val="24"/>
          <w:szCs w:val="24"/>
        </w:rPr>
        <w:t>4.3.4.1.2 Regular capital Requirements:</w:t>
      </w:r>
      <w:bookmarkEnd w:id="158"/>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rPr>
      </w:pPr>
    </w:p>
    <w:p w:rsidR="00B3369E" w:rsidRPr="00B3369E" w:rsidRDefault="00B3369E" w:rsidP="001B0E2C">
      <w:pPr>
        <w:pStyle w:val="HTMLPreformatted"/>
        <w:numPr>
          <w:ilvl w:val="0"/>
          <w:numId w:val="22"/>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Tier 1 Capital:</w:t>
      </w:r>
      <w:r w:rsidRPr="00B3369E">
        <w:rPr>
          <w:rFonts w:ascii="Times New Roman" w:hAnsi="Times New Roman" w:cs="Times New Roman"/>
          <w:sz w:val="24"/>
          <w:szCs w:val="24"/>
        </w:rPr>
        <w:t xml:space="preserve"> Tier 1 capital a “core capital” composed of the most high-quality capital material, and includes the capital, non-repayable shared accounts, reserves reserve, general reserve, retained income, subsidiary minority interest, non-cumulative integration Share, and the dividend equality account.</w:t>
      </w:r>
    </w:p>
    <w:p w:rsidR="00B3369E" w:rsidRPr="00B3369E" w:rsidRDefault="00B3369E" w:rsidP="001B0E2C">
      <w:pPr>
        <w:pStyle w:val="HTMLPreformatted"/>
        <w:numPr>
          <w:ilvl w:val="0"/>
          <w:numId w:val="22"/>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 xml:space="preserve">Tier 2 Capital: </w:t>
      </w:r>
      <w:r w:rsidRPr="00B3369E">
        <w:rPr>
          <w:rFonts w:ascii="Times New Roman" w:hAnsi="Times New Roman" w:cs="Times New Roman"/>
          <w:color w:val="212121"/>
          <w:sz w:val="24"/>
          <w:szCs w:val="24"/>
        </w:rPr>
        <w:t>Tier 2 Capital called dump supplementary capital is another element which falls short of the characteristics of the core capital, but it represents the overall strength of a bank and represents the general resources, asset revaluation reserved area, all other choices, share perpetual subordinated debt, exchanges Includes equalization account.</w:t>
      </w:r>
    </w:p>
    <w:p w:rsidR="00B3369E" w:rsidRPr="00B3369E" w:rsidRDefault="00B3369E" w:rsidP="001B0E2C">
      <w:pPr>
        <w:pStyle w:val="HTMLPreformatted"/>
        <w:numPr>
          <w:ilvl w:val="0"/>
          <w:numId w:val="22"/>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 xml:space="preserve">Tier 3 Capital: </w:t>
      </w:r>
      <w:r w:rsidRPr="00B3369E">
        <w:rPr>
          <w:rFonts w:ascii="Times New Roman" w:hAnsi="Times New Roman" w:cs="Times New Roman"/>
          <w:sz w:val="24"/>
          <w:szCs w:val="24"/>
        </w:rPr>
        <w:t>Tier 3 capital additionally calls for short supplementary capital supplementary capital consisting (original / residual maturity in less than or equal five years but more than or equal to two years) market risk to meet the capital requirement for meeting a ratio is meant only for.</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Basel II Minimum Capital Requirement (MCR) = Capital / Credit Risk + Market Risk + Operational Risk, more than 8% ratio.</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Also Basel 2 Capital adequacy ratio:</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CAR= (Total capital (Tier1+Tier2+Tier3 Capital)</w:t>
      </w:r>
      <w:proofErr w:type="gramStart"/>
      <w:r w:rsidRPr="00B3369E">
        <w:rPr>
          <w:rFonts w:ascii="Times New Roman" w:hAnsi="Times New Roman" w:cs="Times New Roman"/>
          <w:b/>
          <w:bCs/>
          <w:sz w:val="24"/>
          <w:szCs w:val="24"/>
        </w:rPr>
        <w:t>/</w:t>
      </w:r>
      <w:r w:rsidRPr="00B3369E">
        <w:rPr>
          <w:rFonts w:ascii="Times New Roman" w:hAnsi="Times New Roman" w:cs="Times New Roman"/>
          <w:sz w:val="24"/>
          <w:szCs w:val="24"/>
        </w:rPr>
        <w:t>(</w:t>
      </w:r>
      <w:proofErr w:type="gramEnd"/>
      <w:r w:rsidRPr="00B3369E">
        <w:rPr>
          <w:rFonts w:ascii="Times New Roman" w:hAnsi="Times New Roman" w:cs="Times New Roman"/>
          <w:sz w:val="24"/>
          <w:szCs w:val="24"/>
        </w:rPr>
        <w:t>Credit Risk RWA + Market Risk RWA + Operational Risk RWA) ≥ 8%</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bookmarkStart w:id="159" w:name="_Toc6610633"/>
      <w:r w:rsidRPr="00B3369E">
        <w:rPr>
          <w:rStyle w:val="Heading4Char"/>
          <w:rFonts w:ascii="Times New Roman" w:hAnsi="Times New Roman" w:cs="Times New Roman"/>
          <w:i w:val="0"/>
          <w:iCs w:val="0"/>
          <w:color w:val="943634" w:themeColor="accent2" w:themeShade="BF"/>
          <w:sz w:val="24"/>
          <w:szCs w:val="24"/>
        </w:rPr>
        <w:t>4.3.4.2. Pillar 2 Supervisory Review:</w:t>
      </w:r>
      <w:bookmarkEnd w:id="159"/>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rPr>
        <w:t>Supervisory review process to maintain is the capital adequacy ratio. Basel II, according to traditional traditions, all banks maintain their capital. So Basel's rules made so much to the bank, Basel maintains the traditional bank's donation, and then maintains banks with the issue. The Supervisory Review System recognizes the responsibility of setting an internal capital measurement and capital determination, which is responsible for managing the bank with risk profile and control environment of the proportionate banks. In the infrastructure, bank management ensures that adequate capital of the bank will take responsibility to support its risk beyond basic needs.</w:t>
      </w:r>
    </w:p>
    <w:p w:rsidR="00B3369E" w:rsidRPr="00B3369E" w:rsidRDefault="00B3369E" w:rsidP="00B3369E">
      <w:pPr>
        <w:pStyle w:val="Heading5"/>
        <w:spacing w:before="0"/>
        <w:jc w:val="both"/>
        <w:rPr>
          <w:rFonts w:ascii="Times New Roman" w:hAnsi="Times New Roman" w:cs="Times New Roman"/>
          <w:b/>
          <w:bCs/>
          <w:color w:val="943634" w:themeColor="accent2" w:themeShade="BF"/>
          <w:sz w:val="24"/>
          <w:szCs w:val="24"/>
        </w:rPr>
      </w:pPr>
      <w:bookmarkStart w:id="160" w:name="_Toc6610634"/>
      <w:r w:rsidRPr="00B3369E">
        <w:rPr>
          <w:rFonts w:ascii="Times New Roman" w:hAnsi="Times New Roman" w:cs="Times New Roman"/>
          <w:b/>
          <w:bCs/>
          <w:color w:val="943634" w:themeColor="accent2" w:themeShade="BF"/>
          <w:sz w:val="24"/>
          <w:szCs w:val="24"/>
        </w:rPr>
        <w:t>4.3.4.2.1 There are three main areas that might be particularly suited to treatment under pillar 2:</w:t>
      </w:r>
      <w:bookmarkEnd w:id="160"/>
    </w:p>
    <w:p w:rsidR="00B3369E" w:rsidRPr="00B3369E" w:rsidRDefault="00B3369E" w:rsidP="00B3369E">
      <w:pPr>
        <w:pStyle w:val="Heading4"/>
        <w:rPr>
          <w:rFonts w:ascii="Times New Roman" w:hAnsi="Times New Roman" w:cs="Times New Roman"/>
          <w:i w:val="0"/>
          <w:iCs w:val="0"/>
        </w:rPr>
      </w:pPr>
    </w:p>
    <w:p w:rsidR="00B3369E" w:rsidRPr="00B3369E" w:rsidRDefault="00B3369E" w:rsidP="001B0E2C">
      <w:pPr>
        <w:pStyle w:val="HTMLPreformatted"/>
        <w:numPr>
          <w:ilvl w:val="0"/>
          <w:numId w:val="32"/>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Under the risk Pillar 1 it is considered that the praise is not fully captured by assurance risk.</w:t>
      </w:r>
    </w:p>
    <w:p w:rsidR="00B3369E" w:rsidRPr="00B3369E" w:rsidRDefault="00B3369E" w:rsidP="001B0E2C">
      <w:pPr>
        <w:pStyle w:val="HTMLPreformatted"/>
        <w:numPr>
          <w:ilvl w:val="0"/>
          <w:numId w:val="32"/>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Those did not take into account the pillar 1 process interest rate risk in the element banking books, business and strategic risks.</w:t>
      </w:r>
    </w:p>
    <w:p w:rsidR="00B3369E" w:rsidRPr="00B3369E" w:rsidRDefault="00B3369E" w:rsidP="001B0E2C">
      <w:pPr>
        <w:pStyle w:val="HTMLPreformatted"/>
        <w:numPr>
          <w:ilvl w:val="0"/>
          <w:numId w:val="32"/>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Due to external banking business cycle. Subjectivity with at least values ​​is more demanding than the column head 2. A more urgent pillar 1 method prompts the development of special IRB structures for increased risk, and the increased measurable approaches for the risk of current status.</w:t>
      </w:r>
    </w:p>
    <w:p w:rsidR="00B3369E" w:rsidRPr="00B3369E" w:rsidRDefault="00B3369E" w:rsidP="00B3369E">
      <w:pPr>
        <w:pStyle w:val="Heading5"/>
        <w:spacing w:before="0"/>
        <w:jc w:val="both"/>
        <w:rPr>
          <w:rFonts w:ascii="Times New Roman" w:hAnsi="Times New Roman" w:cs="Times New Roman"/>
          <w:b/>
          <w:bCs/>
          <w:color w:val="943634" w:themeColor="accent2" w:themeShade="BF"/>
          <w:sz w:val="24"/>
          <w:szCs w:val="24"/>
        </w:rPr>
      </w:pPr>
      <w:bookmarkStart w:id="161" w:name="_Toc6610635"/>
      <w:r w:rsidRPr="00B3369E">
        <w:rPr>
          <w:rFonts w:ascii="Times New Roman" w:hAnsi="Times New Roman" w:cs="Times New Roman"/>
          <w:b/>
          <w:bCs/>
          <w:color w:val="943634" w:themeColor="accent2" w:themeShade="BF"/>
          <w:sz w:val="24"/>
          <w:szCs w:val="24"/>
        </w:rPr>
        <w:t>4.3.4.2.2 The four key principles of supervision review:</w:t>
      </w:r>
      <w:bookmarkEnd w:id="161"/>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rPr>
      </w:pPr>
    </w:p>
    <w:p w:rsidR="00B3369E" w:rsidRPr="00B3369E" w:rsidRDefault="00B3369E" w:rsidP="001B0E2C">
      <w:pPr>
        <w:pStyle w:val="HTMLPreformatted"/>
        <w:numPr>
          <w:ilvl w:val="0"/>
          <w:numId w:val="29"/>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Principal 1:</w:t>
      </w:r>
      <w:r w:rsidRPr="00B3369E">
        <w:rPr>
          <w:rFonts w:ascii="Times New Roman" w:hAnsi="Times New Roman" w:cs="Times New Roman"/>
          <w:sz w:val="24"/>
          <w:szCs w:val="24"/>
        </w:rPr>
        <w:t xml:space="preserve"> Their risk profile about the banks to measure their overall capital adequacy should be a strategic step further for the levels to maintain their capital.</w:t>
      </w:r>
    </w:p>
    <w:p w:rsidR="00B3369E" w:rsidRPr="00B3369E" w:rsidRDefault="00B3369E" w:rsidP="001B0E2C">
      <w:pPr>
        <w:pStyle w:val="HTMLPreformatted"/>
        <w:numPr>
          <w:ilvl w:val="0"/>
          <w:numId w:val="29"/>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Principle 2:</w:t>
      </w:r>
      <w:r w:rsidRPr="00B3369E">
        <w:rPr>
          <w:rFonts w:ascii="Times New Roman" w:hAnsi="Times New Roman" w:cs="Times New Roman"/>
          <w:sz w:val="24"/>
          <w:szCs w:val="24"/>
        </w:rPr>
        <w:t xml:space="preserve"> Supervisors banks should review and evaluate internal capital adequacy and strategic planning, and should be reviewed and evaluated to ensure their ability to check their subsistence with the legal capital ratio. The caretaker should take appropriate supervision action if they did not want to be satisfied with the result of this process.</w:t>
      </w:r>
    </w:p>
    <w:p w:rsidR="00B3369E" w:rsidRPr="00B3369E" w:rsidRDefault="00B3369E" w:rsidP="001B0E2C">
      <w:pPr>
        <w:pStyle w:val="HTMLPreformatted"/>
        <w:numPr>
          <w:ilvl w:val="0"/>
          <w:numId w:val="29"/>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Principle 3:</w:t>
      </w:r>
      <w:r w:rsidRPr="00B3369E">
        <w:rPr>
          <w:rFonts w:ascii="Times New Roman" w:hAnsi="Times New Roman" w:cs="Times New Roman"/>
          <w:sz w:val="24"/>
          <w:szCs w:val="24"/>
        </w:rPr>
        <w:t xml:space="preserve"> Supervisors banks should expect to run at least the legal capital ratio and the capability should be required to hold the capital at least for the sake of the bank.</w:t>
      </w:r>
    </w:p>
    <w:p w:rsidR="00B3369E" w:rsidRPr="00B3369E" w:rsidRDefault="00B3369E" w:rsidP="001B0E2C">
      <w:pPr>
        <w:pStyle w:val="HTMLPreformatted"/>
        <w:numPr>
          <w:ilvl w:val="0"/>
          <w:numId w:val="29"/>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Principle 4:</w:t>
      </w:r>
      <w:r w:rsidRPr="00B3369E">
        <w:rPr>
          <w:rFonts w:ascii="Times New Roman" w:hAnsi="Times New Roman" w:cs="Times New Roman"/>
          <w:sz w:val="24"/>
          <w:szCs w:val="24"/>
        </w:rPr>
        <w:t xml:space="preserve"> The supervisors should look at the need for a special bank's risk characteristics at least to intervene at the beginning stage, to prevent it from falling below and a quick correctional action should be required if the capital is not maintained or brought back.</w:t>
      </w:r>
    </w:p>
    <w:p w:rsidR="00B3369E" w:rsidRPr="00B3369E" w:rsidRDefault="00B3369E" w:rsidP="00B3369E">
      <w:pPr>
        <w:pStyle w:val="HTMLPreformatted"/>
        <w:shd w:val="clear" w:color="auto" w:fill="FFFFFF"/>
        <w:ind w:left="720"/>
        <w:jc w:val="both"/>
        <w:rPr>
          <w:rFonts w:ascii="Times New Roman" w:hAnsi="Times New Roman" w:cs="Times New Roman"/>
          <w:sz w:val="24"/>
          <w:szCs w:val="24"/>
        </w:rPr>
      </w:pPr>
    </w:p>
    <w:p w:rsidR="00B3369E" w:rsidRPr="00B3369E" w:rsidRDefault="00B3369E" w:rsidP="00B3369E">
      <w:pPr>
        <w:pStyle w:val="Heading4"/>
        <w:jc w:val="both"/>
        <w:rPr>
          <w:rFonts w:ascii="Times New Roman" w:hAnsi="Times New Roman" w:cs="Times New Roman"/>
          <w:i w:val="0"/>
          <w:iCs w:val="0"/>
          <w:color w:val="943634" w:themeColor="accent2" w:themeShade="BF"/>
          <w:sz w:val="24"/>
          <w:szCs w:val="24"/>
        </w:rPr>
      </w:pPr>
      <w:bookmarkStart w:id="162" w:name="_Toc6610636"/>
      <w:r w:rsidRPr="00B3369E">
        <w:rPr>
          <w:rFonts w:ascii="Times New Roman" w:hAnsi="Times New Roman" w:cs="Times New Roman"/>
          <w:i w:val="0"/>
          <w:iCs w:val="0"/>
          <w:color w:val="943634" w:themeColor="accent2" w:themeShade="BF"/>
          <w:sz w:val="24"/>
          <w:szCs w:val="24"/>
        </w:rPr>
        <w:t>4.3.4.3 Pillar 3 Market discipline:</w:t>
      </w:r>
      <w:bookmarkEnd w:id="162"/>
      <w:r w:rsidRPr="00B3369E">
        <w:rPr>
          <w:rFonts w:ascii="Times New Roman" w:hAnsi="Times New Roman" w:cs="Times New Roman"/>
          <w:i w:val="0"/>
          <w:iCs w:val="0"/>
          <w:color w:val="943634" w:themeColor="accent2" w:themeShade="BF"/>
          <w:sz w:val="24"/>
          <w:szCs w:val="24"/>
        </w:rPr>
        <w:t xml:space="preserve"> </w:t>
      </w:r>
    </w:p>
    <w:p w:rsidR="00B3369E" w:rsidRPr="00B3369E" w:rsidRDefault="00B3369E" w:rsidP="00B3369E">
      <w:pPr>
        <w:spacing w:after="0"/>
        <w:rPr>
          <w:rFonts w:ascii="Times New Roman" w:hAnsi="Times New Roman" w:cs="Times New Roman"/>
        </w:rPr>
      </w:pPr>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s>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Market discipline, which is considered by Central Bank to consider more detailed reports by the ownership of the public, needs more detailed reports, the risks are disclosed, the capital adequacy of the risk profile. By this regular information of this sought information, by the National Bank, every six months and quarterly internationally active banks. Market discipline, it satisfies the rules as a share of information, facilitates banks' guidance through financial institutions, analysts, customers, other banks, and others including rating agencies, which facilitate direct corporate governance. The three pillars that are being run by the market discipline are required to run by applying the application, capital risk, risk disclosure, risk appraisal process, and expansion of the capital adequacy of the institution. It should be consistent as the management of senior management boards should be managed with the risks associated with the organization.</w:t>
      </w: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63" w:name="_Toc6610637"/>
      <w:bookmarkStart w:id="164" w:name="_Toc6614054"/>
      <w:r w:rsidRPr="00B3369E">
        <w:rPr>
          <w:rFonts w:ascii="Times New Roman" w:hAnsi="Times New Roman" w:cs="Times New Roman"/>
          <w:color w:val="943634" w:themeColor="accent2" w:themeShade="BF"/>
          <w:sz w:val="24"/>
          <w:szCs w:val="24"/>
        </w:rPr>
        <w:t>4.3.5 Limitations of Basel II:</w:t>
      </w:r>
      <w:bookmarkEnd w:id="163"/>
      <w:bookmarkEnd w:id="164"/>
    </w:p>
    <w:p w:rsidR="00B3369E" w:rsidRPr="00B3369E" w:rsidRDefault="00B3369E" w:rsidP="00B3369E">
      <w:pPr>
        <w:spacing w:after="0"/>
        <w:rPr>
          <w:rFonts w:ascii="Times New Roman" w:hAnsi="Times New Roman" w:cs="Times New Roman"/>
        </w:rPr>
      </w:pPr>
    </w:p>
    <w:p w:rsidR="00B3369E" w:rsidRPr="00B3369E" w:rsidRDefault="00B3369E" w:rsidP="001B0E2C">
      <w:pPr>
        <w:pStyle w:val="HTMLPreformatted"/>
        <w:numPr>
          <w:ilvl w:val="0"/>
          <w:numId w:val="30"/>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In recent days, financial disaster has opened the full path to weaknesses that take management risk, which was developed through the Basel II process.</w:t>
      </w:r>
    </w:p>
    <w:p w:rsidR="00B3369E" w:rsidRPr="00B3369E" w:rsidRDefault="00B3369E" w:rsidP="001B0E2C">
      <w:pPr>
        <w:pStyle w:val="HTMLPreformatted"/>
        <w:numPr>
          <w:ilvl w:val="0"/>
          <w:numId w:val="30"/>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II has not adequately expected some risks such as a market decline in market liquidity since the safety market price has been deeply rooted by the Hani Bank, the financial self-confidence disappeared.</w:t>
      </w:r>
    </w:p>
    <w:p w:rsidR="00B3369E" w:rsidRPr="00B3369E" w:rsidRDefault="00B3369E" w:rsidP="001B0E2C">
      <w:pPr>
        <w:pStyle w:val="HTMLPreformatted"/>
        <w:numPr>
          <w:ilvl w:val="0"/>
          <w:numId w:val="30"/>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Assessment of the implementation, the training of staff highlights the high price, especially for the Central and Eastern Europe countries.</w:t>
      </w:r>
    </w:p>
    <w:p w:rsidR="00B3369E" w:rsidRPr="00B3369E" w:rsidRDefault="00B3369E" w:rsidP="001B0E2C">
      <w:pPr>
        <w:pStyle w:val="HTMLPreformatted"/>
        <w:numPr>
          <w:ilvl w:val="0"/>
          <w:numId w:val="30"/>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Banks in Discrimination between bank (Small and Large Banks).</w:t>
      </w:r>
    </w:p>
    <w:p w:rsidR="00B3369E" w:rsidRPr="00B3369E" w:rsidRDefault="00B3369E" w:rsidP="001B0E2C">
      <w:pPr>
        <w:pStyle w:val="HTMLPreformatted"/>
        <w:numPr>
          <w:ilvl w:val="0"/>
          <w:numId w:val="30"/>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With a low rating for lower borrowing for the country at the time of transition.</w:t>
      </w:r>
    </w:p>
    <w:p w:rsidR="00B3369E" w:rsidRPr="00B3369E" w:rsidRDefault="00B3369E" w:rsidP="001B0E2C">
      <w:pPr>
        <w:pStyle w:val="HTMLPreformatted"/>
        <w:numPr>
          <w:ilvl w:val="0"/>
          <w:numId w:val="30"/>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Increasing fusions and acquisitions of bank assumption degrees, through the bank in the system.</w:t>
      </w:r>
    </w:p>
    <w:p w:rsidR="00B3369E" w:rsidRPr="00B3369E" w:rsidRDefault="00B3369E" w:rsidP="001B0E2C">
      <w:pPr>
        <w:pStyle w:val="HTMLPreformatted"/>
        <w:numPr>
          <w:ilvl w:val="0"/>
          <w:numId w:val="30"/>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did not have the lowest leverage ratio so that the bank could not accept to maintain total combined assets.</w:t>
      </w:r>
    </w:p>
    <w:p w:rsidR="00B3369E" w:rsidRPr="00B3369E" w:rsidRDefault="00B3369E" w:rsidP="001B0E2C">
      <w:pPr>
        <w:pStyle w:val="HTMLPreformatted"/>
        <w:numPr>
          <w:ilvl w:val="0"/>
          <w:numId w:val="30"/>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Basel II negligees the liquidity coverage ratio, since a bank </w:t>
      </w:r>
      <w:r w:rsidR="003E5C70" w:rsidRPr="00B3369E">
        <w:rPr>
          <w:rFonts w:ascii="Times New Roman" w:hAnsi="Times New Roman" w:cs="Times New Roman"/>
          <w:color w:val="212121"/>
          <w:sz w:val="24"/>
          <w:szCs w:val="24"/>
        </w:rPr>
        <w:t>cannot</w:t>
      </w:r>
      <w:r w:rsidRPr="00B3369E">
        <w:rPr>
          <w:rFonts w:ascii="Times New Roman" w:hAnsi="Times New Roman" w:cs="Times New Roman"/>
          <w:color w:val="212121"/>
          <w:sz w:val="24"/>
          <w:szCs w:val="24"/>
        </w:rPr>
        <w:t xml:space="preserve"> contain enough liquid resources to secure net cash flows</w:t>
      </w:r>
    </w:p>
    <w:p w:rsidR="00B3369E" w:rsidRPr="00B3369E" w:rsidRDefault="00B3369E" w:rsidP="001B0E2C">
      <w:pPr>
        <w:pStyle w:val="HTMLPreformatted"/>
        <w:numPr>
          <w:ilvl w:val="0"/>
          <w:numId w:val="30"/>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II does not have a fixed stable funding ratio, so the deal does not measure the amount of money available to the amount of funds available to the appropriate amount of funds required on expensive pressures.</w:t>
      </w:r>
    </w:p>
    <w:p w:rsidR="00B3369E" w:rsidRPr="00B3369E" w:rsidRDefault="00B3369E" w:rsidP="001B0E2C">
      <w:pPr>
        <w:pStyle w:val="HTMLPreformatted"/>
        <w:numPr>
          <w:ilvl w:val="0"/>
          <w:numId w:val="30"/>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 differentiation of enthusiasm is based on the value of the applicant.</w:t>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65" w:name="_Toc6610638"/>
      <w:bookmarkStart w:id="166" w:name="_Toc6614055"/>
      <w:r w:rsidRPr="00B3369E">
        <w:rPr>
          <w:rFonts w:ascii="Times New Roman" w:hAnsi="Times New Roman" w:cs="Times New Roman"/>
          <w:color w:val="632423" w:themeColor="accent2" w:themeShade="80"/>
          <w:sz w:val="28"/>
          <w:szCs w:val="28"/>
        </w:rPr>
        <w:t>4.4 Basel III</w:t>
      </w:r>
      <w:bookmarkEnd w:id="165"/>
      <w:bookmarkEnd w:id="166"/>
    </w:p>
    <w:p w:rsidR="00B3369E" w:rsidRPr="00B3369E" w:rsidRDefault="00B3369E" w:rsidP="00B3369E">
      <w:pPr>
        <w:spacing w:after="0"/>
        <w:rPr>
          <w:rFonts w:ascii="Times New Roman" w:hAnsi="Times New Roman" w:cs="Times New Roman"/>
        </w:rPr>
      </w:pPr>
    </w:p>
    <w:p w:rsidR="00B3369E" w:rsidRPr="00B3369E" w:rsidRDefault="00B3369E" w:rsidP="00B3369E">
      <w:pPr>
        <w:pStyle w:val="HTMLPreformatted"/>
        <w:spacing w:line="276" w:lineRule="auto"/>
        <w:jc w:val="both"/>
        <w:rPr>
          <w:rFonts w:ascii="Times New Roman" w:hAnsi="Times New Roman" w:cs="Times New Roman"/>
          <w:sz w:val="24"/>
          <w:szCs w:val="24"/>
        </w:rPr>
      </w:pPr>
      <w:r w:rsidRPr="00B3369E">
        <w:rPr>
          <w:rFonts w:ascii="Times New Roman" w:hAnsi="Times New Roman" w:cs="Times New Roman"/>
          <w:color w:val="212121"/>
          <w:sz w:val="24"/>
          <w:szCs w:val="24"/>
        </w:rPr>
        <w:t>In 2008, the United States Lehman Brothers with many financial disasters announced bankruptcy in many banking sectors. The Basel Committee of the supervision decision minimizes the bank's financial disaster banking sector in December 2010 Basel III. After the financial crisis of the current world, the Basel committee felt unable to improve the current Basel II agreement and started working to build a new capital structure known as Basel III. Basel III is a reconstruction step, under the supervision of the banking sector, under the supervision of the banking sector, by the Basel Committee on the banking supervision, to strengthen risk management and to strengthen risk management, a comprehensive aggregation. Basel III measurement:</w:t>
      </w:r>
      <w:r w:rsidRPr="00B3369E">
        <w:rPr>
          <w:rFonts w:ascii="Times New Roman" w:hAnsi="Times New Roman" w:cs="Times New Roman"/>
          <w:sz w:val="24"/>
          <w:szCs w:val="24"/>
        </w:rPr>
        <w:tab/>
      </w: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1B0E2C">
      <w:pPr>
        <w:pStyle w:val="HTMLPreformatted"/>
        <w:numPr>
          <w:ilvl w:val="0"/>
          <w:numId w:val="21"/>
        </w:numPr>
        <w:rPr>
          <w:rFonts w:ascii="Times New Roman" w:hAnsi="Times New Roman" w:cs="Times New Roman"/>
          <w:color w:val="212121"/>
          <w:sz w:val="24"/>
          <w:szCs w:val="24"/>
        </w:rPr>
      </w:pPr>
      <w:r w:rsidRPr="00B3369E">
        <w:rPr>
          <w:rFonts w:ascii="Times New Roman" w:hAnsi="Times New Roman" w:cs="Times New Roman"/>
          <w:color w:val="212121"/>
          <w:sz w:val="24"/>
          <w:szCs w:val="24"/>
        </w:rPr>
        <w:t>Improve the banking sector to afford to absorb rising financial and foreclosure stresses.</w:t>
      </w:r>
    </w:p>
    <w:p w:rsidR="00B3369E" w:rsidRPr="00B3369E" w:rsidRDefault="00B3369E" w:rsidP="001B0E2C">
      <w:pPr>
        <w:pStyle w:val="HTMLPreformatted"/>
        <w:numPr>
          <w:ilvl w:val="0"/>
          <w:numId w:val="21"/>
        </w:numPr>
        <w:shd w:val="clear" w:color="auto" w:fill="FFFFFF"/>
        <w:jc w:val="both"/>
        <w:rPr>
          <w:rFonts w:ascii="Times New Roman" w:hAnsi="Times New Roman" w:cs="Times New Roman"/>
          <w:sz w:val="24"/>
          <w:szCs w:val="24"/>
        </w:rPr>
      </w:pPr>
      <w:r w:rsidRPr="00B3369E">
        <w:rPr>
          <w:rFonts w:ascii="Times New Roman" w:hAnsi="Times New Roman" w:cs="Times New Roman"/>
          <w:color w:val="212121"/>
          <w:sz w:val="24"/>
          <w:szCs w:val="24"/>
        </w:rPr>
        <w:t>Risk management and administration improvements.</w:t>
      </w:r>
    </w:p>
    <w:p w:rsidR="00B3369E" w:rsidRPr="00B3369E" w:rsidRDefault="00B3369E" w:rsidP="001B0E2C">
      <w:pPr>
        <w:pStyle w:val="HTMLPreformatted"/>
        <w:numPr>
          <w:ilvl w:val="0"/>
          <w:numId w:val="21"/>
        </w:numPr>
        <w:rPr>
          <w:rFonts w:ascii="Times New Roman" w:hAnsi="Times New Roman" w:cs="Times New Roman"/>
          <w:color w:val="212121"/>
          <w:sz w:val="24"/>
          <w:szCs w:val="24"/>
        </w:rPr>
      </w:pPr>
      <w:r w:rsidRPr="00B3369E">
        <w:rPr>
          <w:rFonts w:ascii="Times New Roman" w:hAnsi="Times New Roman" w:cs="Times New Roman"/>
          <w:color w:val="212121"/>
          <w:sz w:val="24"/>
          <w:szCs w:val="24"/>
        </w:rPr>
        <w:t>Strengthen bank transparency and release.</w:t>
      </w:r>
    </w:p>
    <w:p w:rsidR="00B3369E" w:rsidRPr="00B3369E" w:rsidRDefault="00B3369E" w:rsidP="001B0E2C">
      <w:pPr>
        <w:pStyle w:val="HTMLPreformatted"/>
        <w:numPr>
          <w:ilvl w:val="0"/>
          <w:numId w:val="21"/>
        </w:numPr>
        <w:rPr>
          <w:rFonts w:ascii="Times New Roman" w:hAnsi="Times New Roman" w:cs="Times New Roman"/>
          <w:color w:val="212121"/>
          <w:sz w:val="24"/>
          <w:szCs w:val="24"/>
        </w:rPr>
      </w:pPr>
      <w:r w:rsidRPr="00B3369E">
        <w:rPr>
          <w:rFonts w:ascii="Times New Roman" w:hAnsi="Times New Roman" w:cs="Times New Roman"/>
          <w:color w:val="212121"/>
          <w:sz w:val="24"/>
          <w:szCs w:val="24"/>
        </w:rPr>
        <w:t>Minimum common equity as a percentage of risk-weighted assets - 2% to 4.5% increase.</w:t>
      </w:r>
    </w:p>
    <w:p w:rsidR="00B3369E" w:rsidRPr="00B3369E" w:rsidRDefault="00B3369E" w:rsidP="001B0E2C">
      <w:pPr>
        <w:pStyle w:val="HTMLPreformatted"/>
        <w:numPr>
          <w:ilvl w:val="0"/>
          <w:numId w:val="21"/>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The minimum Tier 1 is RWA 1% - 4% to 6% increases in capital.</w:t>
      </w:r>
    </w:p>
    <w:p w:rsidR="00B3369E" w:rsidRPr="00B3369E" w:rsidRDefault="00B3369E" w:rsidP="001B0E2C">
      <w:pPr>
        <w:pStyle w:val="HTMLPreformatted"/>
        <w:numPr>
          <w:ilvl w:val="0"/>
          <w:numId w:val="21"/>
        </w:numPr>
        <w:rPr>
          <w:rFonts w:ascii="Times New Roman" w:hAnsi="Times New Roman" w:cs="Times New Roman"/>
          <w:color w:val="212121"/>
          <w:sz w:val="24"/>
          <w:szCs w:val="24"/>
        </w:rPr>
      </w:pPr>
      <w:r w:rsidRPr="00B3369E">
        <w:rPr>
          <w:rFonts w:ascii="Times New Roman" w:hAnsi="Times New Roman" w:cs="Times New Roman"/>
          <w:color w:val="212121"/>
          <w:sz w:val="24"/>
          <w:szCs w:val="24"/>
        </w:rPr>
        <w:t>At least the entire capital Tier 1 and Tier 2 capital being the same level of 8% with both RWA percent.</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In this way we can say that the Basel III policy is aimed at improving the capability of the banks to survive during economic and financial pressure, since the new policy is more stringent than the capital of the bank used in the sector and the beginning of the need for more liquidity.</w:t>
      </w: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bookmarkStart w:id="167" w:name="_Toc6610639"/>
      <w:bookmarkStart w:id="168" w:name="_Toc6614056"/>
      <w:r w:rsidRPr="00B3369E">
        <w:rPr>
          <w:rStyle w:val="Heading3Char"/>
          <w:rFonts w:ascii="Times New Roman" w:hAnsi="Times New Roman" w:cs="Times New Roman"/>
          <w:color w:val="943634" w:themeColor="accent2" w:themeShade="BF"/>
          <w:sz w:val="24"/>
          <w:szCs w:val="24"/>
        </w:rPr>
        <w:t>4.4.1 Basel III: Three Pillars Still Standing:</w:t>
      </w:r>
      <w:bookmarkEnd w:id="167"/>
      <w:bookmarkEnd w:id="168"/>
      <w:r w:rsidRPr="00B3369E">
        <w:rPr>
          <w:rFonts w:ascii="Times New Roman" w:hAnsi="Times New Roman" w:cs="Times New Roman"/>
          <w:b/>
          <w:bCs/>
          <w:sz w:val="24"/>
          <w:szCs w:val="24"/>
        </w:rPr>
        <w:t xml:space="preserve"> </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rPr>
        <w:t>Three Pillar Basel posts are still standing under Basel III. Basel III is designed to address the vulnerabilities faced by the 2008 financial crisis. Basel Committee seems to be preparing banking industry for the future economic downturn. The framework includes macro-prudential regulations to increase bank-specific measures and to help create more stable banking sectors. Basel III's original structure remains unchanged with three mutually strong pillars.</w:t>
      </w:r>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rPr>
      </w:pPr>
    </w:p>
    <w:p w:rsidR="00B3369E" w:rsidRPr="00B3369E" w:rsidRDefault="00B3369E" w:rsidP="001B0E2C">
      <w:pPr>
        <w:pStyle w:val="HTMLPreformatted"/>
        <w:numPr>
          <w:ilvl w:val="0"/>
          <w:numId w:val="31"/>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Pillar 1:</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rPr>
        <w:t>At least the law enforcement capital requirements are based on risk-weighted assets to maintain capital, which is to be appreciated through the risk areas of appreciation, market and current situation.</w:t>
      </w:r>
    </w:p>
    <w:p w:rsidR="00B3369E" w:rsidRPr="00B3369E" w:rsidRDefault="00B3369E" w:rsidP="001B0E2C">
      <w:pPr>
        <w:pStyle w:val="HTMLPreformatted"/>
        <w:numPr>
          <w:ilvl w:val="0"/>
          <w:numId w:val="31"/>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Pillar 2:</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rPr>
        <w:t>Supervisory review processes the process of controlling the risks of the bank that is handling the tools and structures.</w:t>
      </w:r>
    </w:p>
    <w:p w:rsidR="00B3369E" w:rsidRPr="00B3369E" w:rsidRDefault="00B3369E" w:rsidP="001B0E2C">
      <w:pPr>
        <w:pStyle w:val="HTMLPreformatted"/>
        <w:numPr>
          <w:ilvl w:val="0"/>
          <w:numId w:val="31"/>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Pillar 3:</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rPr>
        <w:t>Market disciplines will increase the exposure of banks to increase transparency in banks.</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rPr>
      </w:pPr>
      <w:bookmarkStart w:id="169" w:name="_Toc6610640"/>
      <w:bookmarkStart w:id="170" w:name="_Toc6614057"/>
      <w:r w:rsidRPr="00B3369E">
        <w:rPr>
          <w:rStyle w:val="Heading3Char"/>
          <w:rFonts w:ascii="Times New Roman" w:hAnsi="Times New Roman" w:cs="Times New Roman"/>
          <w:color w:val="943634" w:themeColor="accent2" w:themeShade="BF"/>
          <w:sz w:val="24"/>
          <w:szCs w:val="24"/>
        </w:rPr>
        <w:t>4.4.2 Key Points of Basel III accord:</w:t>
      </w:r>
      <w:bookmarkEnd w:id="169"/>
      <w:bookmarkEnd w:id="170"/>
      <w:r w:rsidRPr="00B3369E">
        <w:rPr>
          <w:rFonts w:ascii="Times New Roman" w:hAnsi="Times New Roman" w:cs="Times New Roman"/>
          <w:b/>
          <w:bCs/>
          <w:sz w:val="24"/>
          <w:szCs w:val="24"/>
        </w:rPr>
        <w:t xml:space="preserve"> </w:t>
      </w:r>
      <w:r w:rsidRPr="00B3369E">
        <w:rPr>
          <w:rFonts w:ascii="Times New Roman" w:hAnsi="Times New Roman" w:cs="Times New Roman"/>
          <w:color w:val="212121"/>
          <w:sz w:val="24"/>
          <w:szCs w:val="24"/>
        </w:rPr>
        <w:t>Banks should increase their main Tier 1 capital ratio by 4.5% by 2015. Additionally, 2.5% of their 2019 "counter-cyclical" capital savings will be borne by buffer. No bank fails to meet new requirements. It is expected that the shareholders will be banned from paying dividends until it develops its balance sheet. Financial Supervision: G20 wants more surveillance of regular risks at international and local levels.</w:t>
      </w:r>
    </w:p>
    <w:p w:rsidR="00B3369E" w:rsidRPr="00B3369E" w:rsidRDefault="00B3369E" w:rsidP="00B3369E">
      <w:pPr>
        <w:pStyle w:val="HTMLPreformatted"/>
        <w:shd w:val="clear" w:color="auto" w:fill="FFFFFF"/>
        <w:spacing w:line="360" w:lineRule="auto"/>
        <w:jc w:val="both"/>
        <w:rPr>
          <w:rFonts w:ascii="Times New Roman" w:hAnsi="Times New Roman" w:cs="Times New Roman"/>
          <w:sz w:val="24"/>
          <w:szCs w:val="24"/>
        </w:rPr>
      </w:pPr>
    </w:p>
    <w:p w:rsidR="00B3369E" w:rsidRPr="00B3369E" w:rsidRDefault="00B3369E" w:rsidP="001B0E2C">
      <w:pPr>
        <w:pStyle w:val="HTMLPreformatted"/>
        <w:numPr>
          <w:ilvl w:val="0"/>
          <w:numId w:val="33"/>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Derivatives:</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shd w:val="clear" w:color="auto" w:fill="FFFFFF"/>
        </w:rPr>
        <w:t>By the end of 2012, G20 has called for greater clearing and privatizing, central clearing over-the-counter contracts.</w:t>
      </w:r>
    </w:p>
    <w:p w:rsidR="00B3369E" w:rsidRPr="00B3369E" w:rsidRDefault="00B3369E" w:rsidP="001B0E2C">
      <w:pPr>
        <w:pStyle w:val="HTMLPreformatted"/>
        <w:numPr>
          <w:ilvl w:val="0"/>
          <w:numId w:val="33"/>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Hedge funds:</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rPr>
        <w:t>Any specific sizes of funds that are in line with the G20 commitment should be approved and the supervisors should force them to report the data. There are private equity groups and restrictions on non-EU fund managers seeking European investors in a draft EU law.</w:t>
      </w:r>
    </w:p>
    <w:p w:rsidR="00B3369E" w:rsidRPr="00B3369E" w:rsidRDefault="00B3369E" w:rsidP="001B0E2C">
      <w:pPr>
        <w:pStyle w:val="HTMLPreformatted"/>
        <w:numPr>
          <w:ilvl w:val="0"/>
          <w:numId w:val="33"/>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Accounting:</w:t>
      </w:r>
      <w:r w:rsidRPr="00B3369E">
        <w:rPr>
          <w:rFonts w:ascii="Times New Roman" w:hAnsi="Times New Roman" w:cs="Times New Roman"/>
          <w:sz w:val="24"/>
          <w:szCs w:val="24"/>
        </w:rPr>
        <w:t xml:space="preserve"> The </w:t>
      </w:r>
      <w:r w:rsidRPr="00B3369E">
        <w:rPr>
          <w:rFonts w:ascii="Times New Roman" w:hAnsi="Times New Roman" w:cs="Times New Roman"/>
          <w:color w:val="212121"/>
          <w:sz w:val="24"/>
          <w:szCs w:val="24"/>
        </w:rPr>
        <w:t>G20 Central-2011 wants general common global accounting rules.</w:t>
      </w:r>
    </w:p>
    <w:p w:rsidR="00B3369E" w:rsidRPr="00B3369E" w:rsidRDefault="00B3369E" w:rsidP="001B0E2C">
      <w:pPr>
        <w:pStyle w:val="HTMLPreformatted"/>
        <w:numPr>
          <w:ilvl w:val="0"/>
          <w:numId w:val="33"/>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Credit rating agencies:</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rPr>
        <w:t>G20 wants to be registered and supervised by the end of 2009. The EU has adopted a law for registration and direct supervision to implement this article. US law passed similar legislation this year.</w:t>
      </w:r>
    </w:p>
    <w:p w:rsidR="00B3369E" w:rsidRPr="00B3369E" w:rsidRDefault="00B3369E" w:rsidP="001B0E2C">
      <w:pPr>
        <w:pStyle w:val="HTMLPreformatted"/>
        <w:numPr>
          <w:ilvl w:val="0"/>
          <w:numId w:val="33"/>
        </w:numPr>
        <w:shd w:val="clear" w:color="auto" w:fill="FFFFFF"/>
        <w:jc w:val="both"/>
        <w:rPr>
          <w:rFonts w:ascii="Times New Roman" w:hAnsi="Times New Roman" w:cs="Times New Roman"/>
          <w:sz w:val="24"/>
          <w:szCs w:val="24"/>
        </w:rPr>
      </w:pPr>
      <w:r w:rsidRPr="00B3369E">
        <w:rPr>
          <w:rFonts w:ascii="Times New Roman" w:hAnsi="Times New Roman" w:cs="Times New Roman"/>
          <w:b/>
          <w:bCs/>
          <w:sz w:val="24"/>
          <w:szCs w:val="24"/>
        </w:rPr>
        <w:t>Pay:</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rPr>
        <w:t>The G20 supports schemes designed to stop bonus schemes in banks, encouraging recognition of very short-term risks.</w:t>
      </w: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71" w:name="_Toc6610641"/>
      <w:bookmarkStart w:id="172" w:name="_Toc6614058"/>
      <w:r w:rsidRPr="00B3369E">
        <w:rPr>
          <w:rFonts w:ascii="Times New Roman" w:hAnsi="Times New Roman" w:cs="Times New Roman"/>
          <w:color w:val="943634" w:themeColor="accent2" w:themeShade="BF"/>
          <w:sz w:val="24"/>
          <w:szCs w:val="24"/>
        </w:rPr>
        <w:t>4.4.3 Basel III Accords the main features:</w:t>
      </w:r>
      <w:bookmarkEnd w:id="171"/>
      <w:bookmarkEnd w:id="172"/>
    </w:p>
    <w:p w:rsidR="00B3369E" w:rsidRPr="00B3369E" w:rsidRDefault="00B3369E" w:rsidP="00B3369E">
      <w:pPr>
        <w:spacing w:after="0"/>
        <w:rPr>
          <w:rFonts w:ascii="Times New Roman" w:hAnsi="Times New Roman" w:cs="Times New Roman"/>
        </w:rPr>
      </w:pPr>
    </w:p>
    <w:p w:rsidR="00B3369E" w:rsidRPr="00B3369E" w:rsidRDefault="00B3369E" w:rsidP="001B0E2C">
      <w:pPr>
        <w:pStyle w:val="HTMLPreformatted"/>
        <w:numPr>
          <w:ilvl w:val="0"/>
          <w:numId w:val="35"/>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An additional common parity level - Capital Savings buffer inflation is 2.5%, which violates the demand for at least the common equity, for payment restrictions.</w:t>
      </w:r>
    </w:p>
    <w:p w:rsidR="00B3369E" w:rsidRPr="00B3369E" w:rsidRDefault="00B3369E" w:rsidP="001B0E2C">
      <w:pPr>
        <w:pStyle w:val="HTMLPreformatted"/>
        <w:numPr>
          <w:ilvl w:val="0"/>
          <w:numId w:val="35"/>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Counter calculator is a capitalist known capitalist corporation, which limits the participation of banks during the economic growth, to reduce the risk of purchasing praise, which usually starts as following the economic cycle.</w:t>
      </w:r>
    </w:p>
    <w:p w:rsidR="00B3369E" w:rsidRPr="00B3369E" w:rsidRDefault="00B3369E" w:rsidP="001B0E2C">
      <w:pPr>
        <w:pStyle w:val="HTMLPreformatted"/>
        <w:numPr>
          <w:ilvl w:val="0"/>
          <w:numId w:val="35"/>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It offers additional capital and liquidity, which will be assumed by the important bank, the legal bank, whose failure will threaten the banking system completely.</w:t>
      </w:r>
    </w:p>
    <w:p w:rsidR="00B3369E" w:rsidRPr="00B3369E" w:rsidRDefault="00B3369E" w:rsidP="001B0E2C">
      <w:pPr>
        <w:pStyle w:val="HTMLPreformatted"/>
        <w:numPr>
          <w:ilvl w:val="0"/>
          <w:numId w:val="35"/>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One way ratio - the risk weight of the risk, the loss-drying capital of the capital is related to any bank's asset and unbalanced sheet exposure is initiated.</w:t>
      </w:r>
    </w:p>
    <w:p w:rsidR="00B3369E" w:rsidRPr="00B3369E" w:rsidRDefault="00B3369E" w:rsidP="001B0E2C">
      <w:pPr>
        <w:pStyle w:val="HTMLPreformatted"/>
        <w:numPr>
          <w:ilvl w:val="0"/>
          <w:numId w:val="35"/>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Seeking the liquidity of the bank - he has a minimum liquidity ratio that allows the fund to cover enough cash for 30-day pressures.</w:t>
      </w:r>
    </w:p>
    <w:p w:rsidR="00B3369E" w:rsidRPr="00B3369E" w:rsidRDefault="00B3369E" w:rsidP="001B0E2C">
      <w:pPr>
        <w:pStyle w:val="HTMLPreformatted"/>
        <w:numPr>
          <w:ilvl w:val="0"/>
          <w:numId w:val="35"/>
        </w:numPr>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Additional proposals for the emergency bank, along with the improved capital and cross border supervision, and with a strong system for resolution.</w:t>
      </w: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Applying Basel III Treatment has been implemented in the Federal Reserve United States banks. It will be done step by step and will be completed by 2019. The Basel III Treaty has been criticized and it is further improved.</w:t>
      </w: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73" w:name="_Toc6610642"/>
      <w:bookmarkStart w:id="174" w:name="_Toc6614059"/>
      <w:r w:rsidRPr="00B3369E">
        <w:rPr>
          <w:rFonts w:ascii="Times New Roman" w:hAnsi="Times New Roman" w:cs="Times New Roman"/>
          <w:color w:val="943634" w:themeColor="accent2" w:themeShade="BF"/>
          <w:sz w:val="24"/>
          <w:szCs w:val="24"/>
        </w:rPr>
        <w:t>4.4.5 Difference between Basel II to Basel III Regulatory Capital Ratio:</w:t>
      </w:r>
      <w:bookmarkEnd w:id="173"/>
      <w:bookmarkEnd w:id="174"/>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u w:val="single"/>
        </w:rPr>
      </w:pPr>
    </w:p>
    <w:p w:rsidR="00B3369E" w:rsidRPr="00B3369E" w:rsidRDefault="00B3369E" w:rsidP="00B3369E">
      <w:pPr>
        <w:pStyle w:val="Tables"/>
      </w:pPr>
      <w:bookmarkStart w:id="175" w:name="_Toc6620259"/>
      <w:r w:rsidRPr="00B3369E">
        <w:t xml:space="preserve">Table 4: </w:t>
      </w:r>
      <w:r w:rsidR="00276A72">
        <w:fldChar w:fldCharType="begin"/>
      </w:r>
      <w:r w:rsidR="002324C7">
        <w:instrText xml:space="preserve"> SEQ Table_3: \* ARABIC </w:instrText>
      </w:r>
      <w:r w:rsidR="00276A72">
        <w:fldChar w:fldCharType="separate"/>
      </w:r>
      <w:r w:rsidRPr="00B3369E">
        <w:rPr>
          <w:noProof/>
        </w:rPr>
        <w:t>4</w:t>
      </w:r>
      <w:r w:rsidR="00276A72">
        <w:rPr>
          <w:noProof/>
        </w:rPr>
        <w:fldChar w:fldCharType="end"/>
      </w:r>
      <w:r w:rsidRPr="00B3369E">
        <w:t xml:space="preserve"> Difference between asking for the full capital of 8% and tier 1 is met with tier 2 capital</w:t>
      </w:r>
      <w:bookmarkEnd w:id="175"/>
    </w:p>
    <w:tbl>
      <w:tblPr>
        <w:tblStyle w:val="TableGrid"/>
        <w:tblW w:w="5000" w:type="pct"/>
        <w:jc w:val="center"/>
        <w:tblLook w:val="04A0"/>
      </w:tblPr>
      <w:tblGrid>
        <w:gridCol w:w="1471"/>
        <w:gridCol w:w="2595"/>
        <w:gridCol w:w="1618"/>
        <w:gridCol w:w="3559"/>
      </w:tblGrid>
      <w:tr w:rsidR="00B3369E" w:rsidRPr="00B3369E" w:rsidTr="004838D2">
        <w:trPr>
          <w:jc w:val="center"/>
        </w:trPr>
        <w:tc>
          <w:tcPr>
            <w:tcW w:w="796"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Particular</w:t>
            </w:r>
          </w:p>
        </w:tc>
        <w:tc>
          <w:tcPr>
            <w:tcW w:w="1404"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Tier 1 Capital Ratio</w:t>
            </w:r>
          </w:p>
        </w:tc>
        <w:tc>
          <w:tcPr>
            <w:tcW w:w="875"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Core Tier 1</w:t>
            </w:r>
          </w:p>
        </w:tc>
        <w:tc>
          <w:tcPr>
            <w:tcW w:w="1925"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Capital Conservation Buffer</w:t>
            </w:r>
          </w:p>
        </w:tc>
      </w:tr>
      <w:tr w:rsidR="00B3369E" w:rsidRPr="00B3369E" w:rsidTr="004838D2">
        <w:trPr>
          <w:jc w:val="center"/>
        </w:trPr>
        <w:tc>
          <w:tcPr>
            <w:tcW w:w="796"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Basel II</w:t>
            </w:r>
          </w:p>
        </w:tc>
        <w:tc>
          <w:tcPr>
            <w:tcW w:w="1404" w:type="pct"/>
            <w:shd w:val="clear" w:color="auto" w:fill="auto"/>
          </w:tcPr>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4%</w:t>
            </w:r>
          </w:p>
        </w:tc>
        <w:tc>
          <w:tcPr>
            <w:tcW w:w="875" w:type="pct"/>
            <w:shd w:val="clear" w:color="auto" w:fill="auto"/>
          </w:tcPr>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2%</w:t>
            </w:r>
          </w:p>
        </w:tc>
        <w:tc>
          <w:tcPr>
            <w:tcW w:w="1925" w:type="pct"/>
            <w:shd w:val="clear" w:color="auto" w:fill="auto"/>
          </w:tcPr>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None</w:t>
            </w:r>
          </w:p>
        </w:tc>
      </w:tr>
      <w:tr w:rsidR="00B3369E" w:rsidRPr="00B3369E" w:rsidTr="004838D2">
        <w:trPr>
          <w:jc w:val="center"/>
        </w:trPr>
        <w:tc>
          <w:tcPr>
            <w:tcW w:w="796" w:type="pct"/>
            <w:shd w:val="clear" w:color="auto" w:fill="auto"/>
          </w:tcPr>
          <w:p w:rsidR="00B3369E" w:rsidRPr="00B3369E" w:rsidRDefault="00B3369E" w:rsidP="004838D2">
            <w:pPr>
              <w:pStyle w:val="HTMLPreformatted"/>
              <w:jc w:val="center"/>
              <w:rPr>
                <w:rFonts w:ascii="Times New Roman" w:hAnsi="Times New Roman" w:cs="Times New Roman"/>
                <w:b/>
                <w:bCs/>
                <w:sz w:val="24"/>
                <w:szCs w:val="24"/>
              </w:rPr>
            </w:pPr>
            <w:r w:rsidRPr="00B3369E">
              <w:rPr>
                <w:rFonts w:ascii="Times New Roman" w:hAnsi="Times New Roman" w:cs="Times New Roman"/>
                <w:b/>
                <w:bCs/>
                <w:sz w:val="24"/>
                <w:szCs w:val="24"/>
              </w:rPr>
              <w:t>Basel III</w:t>
            </w:r>
          </w:p>
        </w:tc>
        <w:tc>
          <w:tcPr>
            <w:tcW w:w="1404" w:type="pct"/>
            <w:shd w:val="clear" w:color="auto" w:fill="auto"/>
          </w:tcPr>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2013=4.5%</w:t>
            </w:r>
          </w:p>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2014=5.5%</w:t>
            </w:r>
          </w:p>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2015=6%</w:t>
            </w:r>
          </w:p>
        </w:tc>
        <w:tc>
          <w:tcPr>
            <w:tcW w:w="875" w:type="pct"/>
            <w:shd w:val="clear" w:color="auto" w:fill="auto"/>
          </w:tcPr>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2013=2%</w:t>
            </w:r>
          </w:p>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2014=3.5%</w:t>
            </w:r>
          </w:p>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2015=4.5%</w:t>
            </w:r>
          </w:p>
        </w:tc>
        <w:tc>
          <w:tcPr>
            <w:tcW w:w="1925" w:type="pct"/>
            <w:shd w:val="clear" w:color="auto" w:fill="auto"/>
          </w:tcPr>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2016=0.6252%</w:t>
            </w:r>
          </w:p>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2017=1.25%</w:t>
            </w:r>
          </w:p>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2018=1.875%</w:t>
            </w:r>
          </w:p>
          <w:p w:rsidR="00B3369E" w:rsidRPr="00B3369E" w:rsidRDefault="00B3369E" w:rsidP="004838D2">
            <w:pPr>
              <w:pStyle w:val="HTMLPreformatted"/>
              <w:jc w:val="both"/>
              <w:rPr>
                <w:rFonts w:ascii="Times New Roman" w:hAnsi="Times New Roman" w:cs="Times New Roman"/>
                <w:b/>
                <w:bCs/>
                <w:sz w:val="24"/>
                <w:szCs w:val="24"/>
              </w:rPr>
            </w:pPr>
            <w:r w:rsidRPr="00B3369E">
              <w:rPr>
                <w:rFonts w:ascii="Times New Roman" w:hAnsi="Times New Roman" w:cs="Times New Roman"/>
                <w:b/>
                <w:bCs/>
                <w:sz w:val="24"/>
                <w:szCs w:val="24"/>
              </w:rPr>
              <w:t>2019=2.5%</w:t>
            </w:r>
          </w:p>
        </w:tc>
      </w:tr>
    </w:tbl>
    <w:p w:rsidR="00B3369E" w:rsidRPr="00B3369E" w:rsidRDefault="00B3369E" w:rsidP="00B3369E">
      <w:pPr>
        <w:pStyle w:val="Heading2"/>
        <w:jc w:val="both"/>
        <w:rPr>
          <w:rFonts w:ascii="Times New Roman" w:hAnsi="Times New Roman" w:cs="Times New Roman"/>
          <w:color w:val="632423" w:themeColor="accent2" w:themeShade="80"/>
          <w:sz w:val="28"/>
          <w:szCs w:val="28"/>
        </w:rPr>
      </w:pPr>
      <w:bookmarkStart w:id="176" w:name="_Toc6610643"/>
      <w:bookmarkStart w:id="177" w:name="_Toc6614060"/>
      <w:r w:rsidRPr="00B3369E">
        <w:rPr>
          <w:rFonts w:ascii="Times New Roman" w:hAnsi="Times New Roman" w:cs="Times New Roman"/>
          <w:color w:val="632423" w:themeColor="accent2" w:themeShade="80"/>
          <w:sz w:val="28"/>
          <w:szCs w:val="28"/>
        </w:rPr>
        <w:t>4.5 Basel-III differs from Basel I and II</w:t>
      </w:r>
      <w:bookmarkEnd w:id="176"/>
      <w:bookmarkEnd w:id="177"/>
    </w:p>
    <w:p w:rsidR="00B3369E" w:rsidRPr="00B3369E" w:rsidRDefault="00B3369E" w:rsidP="00B3369E">
      <w:pPr>
        <w:pStyle w:val="HTMLPreformatted"/>
        <w:shd w:val="clear" w:color="auto" w:fill="FFFFFF"/>
        <w:jc w:val="both"/>
        <w:rPr>
          <w:rFonts w:ascii="Times New Roman" w:hAnsi="Times New Roman" w:cs="Times New Roman"/>
          <w:b/>
          <w:bCs/>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 banks are divided into legal capital Tier 1and Tier 2 capitals. Tier 1 is subdivided into general equities Tier 1 and additional capital. Distinguishing is important because the safety instrument Tier 1 included in the capital is the highest level of subsistence. It is revealed that banks should be given more transparency.</w:t>
      </w: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Tables"/>
      </w:pPr>
      <w:bookmarkStart w:id="178" w:name="_Toc6620260"/>
      <w:r w:rsidRPr="00B3369E">
        <w:t xml:space="preserve">Table 4: </w:t>
      </w:r>
      <w:r w:rsidR="00276A72">
        <w:fldChar w:fldCharType="begin"/>
      </w:r>
      <w:r w:rsidR="002324C7">
        <w:instrText xml:space="preserve"> SEQ Table_3: \* ARABIC </w:instrText>
      </w:r>
      <w:r w:rsidR="00276A72">
        <w:fldChar w:fldCharType="separate"/>
      </w:r>
      <w:r w:rsidRPr="00B3369E">
        <w:rPr>
          <w:noProof/>
        </w:rPr>
        <w:t>5</w:t>
      </w:r>
      <w:r w:rsidR="00276A72">
        <w:rPr>
          <w:noProof/>
        </w:rPr>
        <w:fldChar w:fldCharType="end"/>
      </w:r>
      <w:r w:rsidRPr="00B3369E">
        <w:t xml:space="preserve"> Summaries of Basel I, II and III</w:t>
      </w:r>
      <w:bookmarkEnd w:id="178"/>
    </w:p>
    <w:tbl>
      <w:tblPr>
        <w:tblStyle w:val="TableGrid"/>
        <w:tblW w:w="5000" w:type="pct"/>
        <w:jc w:val="center"/>
        <w:tblLook w:val="04A0"/>
      </w:tblPr>
      <w:tblGrid>
        <w:gridCol w:w="2418"/>
        <w:gridCol w:w="3716"/>
        <w:gridCol w:w="3109"/>
      </w:tblGrid>
      <w:tr w:rsidR="00B3369E" w:rsidRPr="00B3369E" w:rsidTr="004838D2">
        <w:trPr>
          <w:jc w:val="center"/>
        </w:trPr>
        <w:tc>
          <w:tcPr>
            <w:tcW w:w="1308" w:type="pct"/>
            <w:shd w:val="clear" w:color="auto" w:fill="auto"/>
          </w:tcPr>
          <w:p w:rsidR="00B3369E" w:rsidRPr="00B3369E" w:rsidRDefault="00B3369E" w:rsidP="004838D2">
            <w:pPr>
              <w:tabs>
                <w:tab w:val="center" w:pos="1432"/>
                <w:tab w:val="right" w:pos="2865"/>
              </w:tabs>
              <w:rPr>
                <w:rFonts w:ascii="Times New Roman" w:hAnsi="Times New Roman" w:cs="Times New Roman"/>
                <w:b/>
                <w:bCs/>
                <w:sz w:val="24"/>
                <w:szCs w:val="24"/>
              </w:rPr>
            </w:pPr>
            <w:r w:rsidRPr="00B3369E">
              <w:rPr>
                <w:rFonts w:ascii="Times New Roman" w:hAnsi="Times New Roman" w:cs="Times New Roman"/>
                <w:b/>
                <w:bCs/>
                <w:sz w:val="24"/>
                <w:szCs w:val="24"/>
              </w:rPr>
              <w:tab/>
              <w:t>Basel I</w:t>
            </w:r>
            <w:r w:rsidRPr="00B3369E">
              <w:rPr>
                <w:rFonts w:ascii="Times New Roman" w:hAnsi="Times New Roman" w:cs="Times New Roman"/>
                <w:b/>
                <w:bCs/>
                <w:sz w:val="24"/>
                <w:szCs w:val="24"/>
              </w:rPr>
              <w:tab/>
            </w:r>
          </w:p>
        </w:tc>
        <w:tc>
          <w:tcPr>
            <w:tcW w:w="2010" w:type="pct"/>
            <w:shd w:val="clear" w:color="auto" w:fill="auto"/>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Basel II</w:t>
            </w:r>
          </w:p>
        </w:tc>
        <w:tc>
          <w:tcPr>
            <w:tcW w:w="1682" w:type="pct"/>
            <w:shd w:val="clear" w:color="auto" w:fill="auto"/>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Basel III</w:t>
            </w:r>
          </w:p>
        </w:tc>
      </w:tr>
      <w:tr w:rsidR="00B3369E" w:rsidRPr="00B3369E" w:rsidTr="004838D2">
        <w:trPr>
          <w:jc w:val="center"/>
        </w:trPr>
        <w:tc>
          <w:tcPr>
            <w:tcW w:w="1308" w:type="pct"/>
            <w:shd w:val="clear" w:color="auto" w:fill="auto"/>
          </w:tcPr>
          <w:p w:rsidR="00B3369E" w:rsidRPr="00B3369E" w:rsidRDefault="00B3369E" w:rsidP="004838D2">
            <w:pPr>
              <w:pStyle w:val="HTMLPreformatted"/>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I increase the overall level of capital in the financial market.</w:t>
            </w:r>
          </w:p>
          <w:p w:rsidR="00B3369E" w:rsidRPr="00B3369E" w:rsidRDefault="00B3369E" w:rsidP="004838D2">
            <w:pPr>
              <w:jc w:val="both"/>
              <w:rPr>
                <w:rFonts w:ascii="Times New Roman" w:hAnsi="Times New Roman" w:cs="Times New Roman"/>
                <w:sz w:val="24"/>
                <w:szCs w:val="24"/>
              </w:rPr>
            </w:pPr>
          </w:p>
        </w:tc>
        <w:tc>
          <w:tcPr>
            <w:tcW w:w="2010" w:type="pct"/>
            <w:shd w:val="clear" w:color="auto" w:fill="auto"/>
          </w:tcPr>
          <w:p w:rsidR="00B3369E" w:rsidRPr="00B3369E" w:rsidRDefault="00B3369E" w:rsidP="004838D2">
            <w:pPr>
              <w:pStyle w:val="HTMLPreformatted"/>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II aims to redistribute capital on the average of the overall capital but with a more effective allocation of capital to maintain the same level.</w:t>
            </w:r>
          </w:p>
          <w:p w:rsidR="00B3369E" w:rsidRPr="00B3369E" w:rsidRDefault="00B3369E" w:rsidP="004838D2">
            <w:pPr>
              <w:jc w:val="both"/>
              <w:rPr>
                <w:rFonts w:ascii="Times New Roman" w:hAnsi="Times New Roman" w:cs="Times New Roman"/>
                <w:sz w:val="24"/>
                <w:szCs w:val="24"/>
              </w:rPr>
            </w:pPr>
          </w:p>
        </w:tc>
        <w:tc>
          <w:tcPr>
            <w:tcW w:w="1682" w:type="pct"/>
            <w:shd w:val="clear" w:color="auto" w:fill="auto"/>
          </w:tcPr>
          <w:p w:rsidR="00B3369E" w:rsidRPr="00B3369E" w:rsidRDefault="00B3369E" w:rsidP="004838D2">
            <w:pPr>
              <w:pStyle w:val="HTMLPreformatted"/>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III is aimed at increasing the government bonds in the bank's capital and solving their liquidity problems.</w:t>
            </w:r>
          </w:p>
          <w:p w:rsidR="00B3369E" w:rsidRPr="00B3369E" w:rsidRDefault="00B3369E" w:rsidP="004838D2">
            <w:pPr>
              <w:jc w:val="both"/>
              <w:rPr>
                <w:rFonts w:ascii="Times New Roman" w:hAnsi="Times New Roman" w:cs="Times New Roman"/>
                <w:sz w:val="24"/>
                <w:szCs w:val="24"/>
              </w:rPr>
            </w:pPr>
          </w:p>
        </w:tc>
      </w:tr>
    </w:tbl>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79" w:name="_Toc6610644"/>
      <w:bookmarkStart w:id="180" w:name="_Toc6614061"/>
    </w:p>
    <w:p w:rsidR="00B3369E" w:rsidRPr="00B3369E" w:rsidRDefault="00B3369E" w:rsidP="00B3369E">
      <w:pPr>
        <w:rPr>
          <w:rFonts w:ascii="Times New Roman" w:hAnsi="Times New Roman" w:cs="Times New Roman"/>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r w:rsidRPr="00B3369E">
        <w:rPr>
          <w:rFonts w:ascii="Times New Roman" w:hAnsi="Times New Roman" w:cs="Times New Roman"/>
          <w:color w:val="632423" w:themeColor="accent2" w:themeShade="80"/>
          <w:sz w:val="28"/>
          <w:szCs w:val="28"/>
        </w:rPr>
        <w:t>4.6 Basel Committee Secretariat:</w:t>
      </w:r>
      <w:bookmarkEnd w:id="179"/>
      <w:bookmarkEnd w:id="180"/>
    </w:p>
    <w:p w:rsidR="00B3369E" w:rsidRPr="00B3369E" w:rsidRDefault="00B3369E" w:rsidP="00B3369E">
      <w:pPr>
        <w:tabs>
          <w:tab w:val="left" w:pos="8031"/>
        </w:tabs>
        <w:spacing w:after="0"/>
        <w:jc w:val="both"/>
        <w:rPr>
          <w:rFonts w:ascii="Times New Roman" w:hAnsi="Times New Roman" w:cs="Times New Roman"/>
          <w:color w:val="212121"/>
          <w:sz w:val="24"/>
          <w:szCs w:val="24"/>
        </w:rPr>
      </w:pPr>
    </w:p>
    <w:p w:rsidR="00B3369E" w:rsidRPr="00B3369E" w:rsidRDefault="00B3369E" w:rsidP="00B3369E">
      <w:pPr>
        <w:tabs>
          <w:tab w:val="left" w:pos="8031"/>
        </w:tabs>
        <w:spacing w:after="0"/>
        <w:jc w:val="both"/>
        <w:rPr>
          <w:rFonts w:ascii="Times New Roman" w:hAnsi="Times New Roman" w:cs="Times New Roman"/>
          <w:color w:val="000000" w:themeColor="text1"/>
          <w:sz w:val="24"/>
          <w:szCs w:val="24"/>
        </w:rPr>
      </w:pPr>
      <w:r w:rsidRPr="00B3369E">
        <w:rPr>
          <w:rFonts w:ascii="Times New Roman" w:hAnsi="Times New Roman" w:cs="Times New Roman"/>
          <w:color w:val="000000" w:themeColor="text1"/>
          <w:sz w:val="24"/>
          <w:szCs w:val="24"/>
        </w:rPr>
        <w:t>The Secretariat Committee is preserved by the bank for international management of the bank. The principal member of the Secretariat is appointed by the professional supervisor on temporary security from the organization. FSI Organization Previously, the Secretariat organized a seminar for a yearly Supervisory Seminar in BIS for Bank Supervisors as a representative of a close Judiciary. In addition, the Secretariat operates in different training areas at the regional annual position. Secretariat's FSI and Supervisory area Group and others participate in organized seminary of the government group.</w:t>
      </w:r>
    </w:p>
    <w:p w:rsidR="00B3369E" w:rsidRPr="00B3369E" w:rsidRDefault="00B3369E" w:rsidP="00B3369E">
      <w:pPr>
        <w:tabs>
          <w:tab w:val="left" w:pos="8031"/>
        </w:tabs>
        <w:spacing w:after="0"/>
        <w:jc w:val="both"/>
        <w:rPr>
          <w:rFonts w:ascii="Times New Roman" w:hAnsi="Times New Roman" w:cs="Times New Roman"/>
          <w:b/>
          <w:bCs/>
          <w:color w:val="000000" w:themeColor="text1"/>
          <w:sz w:val="24"/>
          <w:szCs w:val="24"/>
          <w:u w:val="single"/>
        </w:rPr>
      </w:pPr>
    </w:p>
    <w:p w:rsidR="00B3369E" w:rsidRPr="00B3369E" w:rsidRDefault="00B3369E" w:rsidP="00B3369E">
      <w:pPr>
        <w:pStyle w:val="Heading1"/>
        <w:jc w:val="center"/>
        <w:rPr>
          <w:rFonts w:ascii="Times New Roman" w:hAnsi="Times New Roman" w:cs="Times New Roman"/>
          <w:color w:val="002060"/>
          <w:sz w:val="36"/>
          <w:szCs w:val="36"/>
        </w:rPr>
      </w:pPr>
      <w:bookmarkStart w:id="181" w:name="_Toc6610645"/>
      <w:bookmarkStart w:id="182" w:name="_Toc6614062"/>
      <w:r w:rsidRPr="00B3369E">
        <w:rPr>
          <w:rFonts w:ascii="Times New Roman" w:hAnsi="Times New Roman" w:cs="Times New Roman"/>
          <w:color w:val="002060"/>
          <w:sz w:val="36"/>
          <w:szCs w:val="36"/>
        </w:rPr>
        <w:t>Chapter-5</w:t>
      </w:r>
      <w:bookmarkEnd w:id="181"/>
      <w:bookmarkEnd w:id="182"/>
    </w:p>
    <w:p w:rsidR="00B3369E" w:rsidRPr="00B3369E" w:rsidRDefault="00B3369E" w:rsidP="00B3369E">
      <w:pPr>
        <w:pStyle w:val="Heading5"/>
        <w:rPr>
          <w:rFonts w:ascii="Times New Roman" w:hAnsi="Times New Roman" w:cs="Times New Roman"/>
          <w:b/>
          <w:bCs/>
          <w:sz w:val="28"/>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83" w:name="_Toc6610646"/>
      <w:bookmarkStart w:id="184" w:name="_Toc6614063"/>
      <w:r w:rsidRPr="00B3369E">
        <w:rPr>
          <w:rFonts w:ascii="Times New Roman" w:hAnsi="Times New Roman" w:cs="Times New Roman"/>
          <w:color w:val="632423" w:themeColor="accent2" w:themeShade="80"/>
          <w:sz w:val="28"/>
          <w:szCs w:val="28"/>
        </w:rPr>
        <w:t>5.1 Implementation of the Basel III in Bangladesh Bank</w:t>
      </w:r>
      <w:bookmarkEnd w:id="183"/>
      <w:bookmarkEnd w:id="184"/>
    </w:p>
    <w:p w:rsidR="00B3369E" w:rsidRPr="00B3369E" w:rsidRDefault="00B3369E" w:rsidP="00B3369E">
      <w:pPr>
        <w:pStyle w:val="HTMLPreformatted"/>
        <w:spacing w:line="276" w:lineRule="auto"/>
        <w:jc w:val="both"/>
        <w:rPr>
          <w:rFonts w:ascii="Times New Roman" w:eastAsiaTheme="minorHAnsi" w:hAnsi="Times New Roman" w:cs="Times New Roman"/>
          <w:sz w:val="22"/>
          <w:szCs w:val="28"/>
        </w:rPr>
      </w:pPr>
    </w:p>
    <w:p w:rsidR="00B3369E" w:rsidRPr="00B3369E" w:rsidRDefault="00B3369E" w:rsidP="00B3369E">
      <w:pPr>
        <w:pStyle w:val="HTMLPreformatted"/>
        <w:spacing w:line="276" w:lineRule="auto"/>
        <w:jc w:val="both"/>
        <w:rPr>
          <w:rFonts w:ascii="Times New Roman" w:hAnsi="Times New Roman" w:cs="Times New Roman"/>
          <w:sz w:val="24"/>
          <w:szCs w:val="24"/>
          <w:shd w:val="clear" w:color="auto" w:fill="FFFFFF"/>
        </w:rPr>
      </w:pPr>
      <w:r w:rsidRPr="00B3369E">
        <w:rPr>
          <w:rFonts w:ascii="Times New Roman" w:hAnsi="Times New Roman" w:cs="Times New Roman"/>
          <w:sz w:val="24"/>
          <w:szCs w:val="24"/>
        </w:rPr>
        <w:t xml:space="preserve">Basel III refers to the capital and liquidity of the International Banking System to agree to the stability of the International Banking System by the Bank for International Settlements (BIS). </w:t>
      </w:r>
      <w:r w:rsidRPr="00B3369E">
        <w:rPr>
          <w:rFonts w:ascii="Times New Roman" w:hAnsi="Times New Roman" w:cs="Times New Roman"/>
          <w:sz w:val="24"/>
          <w:szCs w:val="24"/>
          <w:shd w:val="clear" w:color="auto" w:fill="FFFFFF"/>
        </w:rPr>
        <w:t>BIS is an international financial institution, BIS acts as a bank of central bank.</w:t>
      </w:r>
      <w:r w:rsidRPr="00B3369E">
        <w:rPr>
          <w:rFonts w:ascii="Times New Roman" w:hAnsi="Times New Roman" w:cs="Times New Roman"/>
          <w:sz w:val="24"/>
          <w:szCs w:val="24"/>
        </w:rPr>
        <w:t xml:space="preserve"> </w:t>
      </w:r>
      <w:r w:rsidRPr="00B3369E">
        <w:rPr>
          <w:rFonts w:ascii="Times New Roman" w:hAnsi="Times New Roman" w:cs="Times New Roman"/>
          <w:sz w:val="24"/>
          <w:szCs w:val="24"/>
          <w:shd w:val="clear" w:color="auto" w:fill="FFFFFF"/>
        </w:rPr>
        <w:t>In Bangladesh, Basel-I was launched in 1996 and 2010 Basel-II was launched (Parallel Run Basel I start year 2009).</w:t>
      </w:r>
      <w:r w:rsidRPr="00B3369E">
        <w:rPr>
          <w:rFonts w:ascii="Times New Roman" w:hAnsi="Times New Roman" w:cs="Times New Roman"/>
          <w:sz w:val="24"/>
          <w:szCs w:val="24"/>
        </w:rPr>
        <w:t xml:space="preserve"> </w:t>
      </w:r>
      <w:r w:rsidRPr="00B3369E">
        <w:rPr>
          <w:rFonts w:ascii="Times New Roman" w:hAnsi="Times New Roman" w:cs="Times New Roman"/>
          <w:sz w:val="24"/>
          <w:szCs w:val="24"/>
          <w:shd w:val="clear" w:color="auto" w:fill="FFFFFF"/>
        </w:rPr>
        <w:t>In line with Basel III, the Bangladesh Bank publishes “Guide lines on Risk Based Capital Adequacy” through BRPD circular number the 18-21th December 2014 and Basel III is growing implementation has started from 1st January 2015. Basel III complete implementation in Bangladesh will start from January 2019.</w:t>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85" w:name="_Toc6610647"/>
      <w:bookmarkStart w:id="186" w:name="_Toc6614064"/>
      <w:r w:rsidRPr="00B3369E">
        <w:rPr>
          <w:rFonts w:ascii="Times New Roman" w:hAnsi="Times New Roman" w:cs="Times New Roman"/>
          <w:color w:val="632423" w:themeColor="accent2" w:themeShade="80"/>
          <w:sz w:val="28"/>
          <w:szCs w:val="28"/>
        </w:rPr>
        <w:t>5.2 Basel III Means for Bangladesh banking system:</w:t>
      </w:r>
      <w:bookmarkEnd w:id="185"/>
      <w:bookmarkEnd w:id="186"/>
    </w:p>
    <w:p w:rsidR="00B3369E" w:rsidRPr="00B3369E" w:rsidRDefault="00B3369E" w:rsidP="00B3369E">
      <w:pPr>
        <w:pStyle w:val="HTMLPreformatted"/>
        <w:shd w:val="clear" w:color="auto" w:fill="FFFFFF"/>
        <w:spacing w:line="276" w:lineRule="auto"/>
        <w:jc w:val="both"/>
        <w:rPr>
          <w:rFonts w:ascii="Times New Roman" w:eastAsiaTheme="minorHAnsi" w:hAnsi="Times New Roman" w:cs="Times New Roman"/>
          <w:sz w:val="22"/>
          <w:szCs w:val="28"/>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III Capital Rule is a criticism for the banking sector in Bangladesh. Banking sector as push the financial and economic pressure, which has reduced the risk of the fall of the source thus, has to be overtaken by the financial sector to take advantage of these real economies to be exploited.</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187" w:name="_Toc6610648"/>
      <w:bookmarkStart w:id="188" w:name="_Toc6614065"/>
      <w:r w:rsidRPr="00B3369E">
        <w:rPr>
          <w:rFonts w:ascii="Times New Roman" w:hAnsi="Times New Roman" w:cs="Times New Roman"/>
          <w:color w:val="632423" w:themeColor="accent2" w:themeShade="80"/>
          <w:sz w:val="28"/>
          <w:szCs w:val="28"/>
        </w:rPr>
        <w:t>5.3 Key Issues for Bangladesh Banking Sector</w:t>
      </w:r>
      <w:bookmarkEnd w:id="187"/>
      <w:bookmarkEnd w:id="188"/>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II is the third pillar of market discipline, which is related to further publication. The market participant should publish a more informed decision by the bank to make a more informed decision. Basel 3 strengthened the need for publishing any further publications, where any combination of the legal capital and legal capital of the bank. The demand for high capital also comes with the price. Trying to meet the bank inside, they might use a combination of strategic plans which may have adverse effects on the overall economic activity as a whole. In order to seek the new capital, the bank could introduce new simulations or increased retained income. However, it can be achieved by reducing dividend payments, increasing operating efficiency, reducing compensation and other costs, raising interest rates, increasing non-interest income. In addition, reducing the size of the debt reduces the risk-weighted assets, reducing the debt contract, reducing the term of the loan, reducing or decreasing unwanted resources, exposure to well-rated lenders and more.</w:t>
      </w:r>
      <w:r w:rsidRPr="00B3369E">
        <w:rPr>
          <w:rFonts w:ascii="Times New Roman" w:hAnsi="Times New Roman" w:cs="Times New Roman"/>
          <w:sz w:val="24"/>
          <w:szCs w:val="24"/>
          <w:shd w:val="clear" w:color="auto" w:fill="FFFFFF"/>
        </w:rPr>
        <w:tab/>
      </w:r>
      <w:r w:rsidRPr="00B3369E">
        <w:rPr>
          <w:rFonts w:ascii="Times New Roman" w:hAnsi="Times New Roman" w:cs="Times New Roman"/>
          <w:sz w:val="24"/>
          <w:szCs w:val="24"/>
          <w:shd w:val="clear" w:color="auto" w:fill="FFFFFF"/>
        </w:rPr>
        <w:tab/>
      </w:r>
      <w:r w:rsidRPr="00B3369E">
        <w:rPr>
          <w:rFonts w:ascii="Times New Roman" w:hAnsi="Times New Roman" w:cs="Times New Roman"/>
          <w:sz w:val="24"/>
          <w:szCs w:val="24"/>
          <w:shd w:val="clear" w:color="auto" w:fill="FFFFFF"/>
        </w:rPr>
        <w:tab/>
      </w:r>
      <w:r w:rsidRPr="00B3369E">
        <w:rPr>
          <w:rFonts w:ascii="Times New Roman" w:hAnsi="Times New Roman" w:cs="Times New Roman"/>
          <w:sz w:val="24"/>
          <w:szCs w:val="24"/>
          <w:shd w:val="clear" w:color="auto" w:fill="FFFFFF"/>
        </w:rPr>
        <w:tab/>
      </w:r>
    </w:p>
    <w:p w:rsidR="00B3369E" w:rsidRPr="00B3369E" w:rsidRDefault="00B3369E" w:rsidP="00B3369E">
      <w:pPr>
        <w:pStyle w:val="Heading3"/>
        <w:jc w:val="both"/>
        <w:rPr>
          <w:rFonts w:ascii="Times New Roman" w:hAnsi="Times New Roman" w:cs="Times New Roman"/>
          <w:color w:val="943634" w:themeColor="accent2" w:themeShade="BF"/>
          <w:sz w:val="24"/>
          <w:szCs w:val="24"/>
          <w:shd w:val="clear" w:color="auto" w:fill="FFFFFF"/>
        </w:rPr>
      </w:pPr>
      <w:bookmarkStart w:id="189" w:name="_Toc6610649"/>
      <w:bookmarkStart w:id="190" w:name="_Toc6614066"/>
      <w:r w:rsidRPr="00B3369E">
        <w:rPr>
          <w:rFonts w:ascii="Times New Roman" w:hAnsi="Times New Roman" w:cs="Times New Roman"/>
          <w:color w:val="943634" w:themeColor="accent2" w:themeShade="BF"/>
          <w:sz w:val="24"/>
          <w:szCs w:val="24"/>
          <w:shd w:val="clear" w:color="auto" w:fill="FFFFFF"/>
        </w:rPr>
        <w:t>5.3.1 Capital Standard</w:t>
      </w:r>
      <w:bookmarkEnd w:id="189"/>
      <w:bookmarkEnd w:id="190"/>
    </w:p>
    <w:p w:rsidR="00B3369E" w:rsidRPr="00B3369E" w:rsidRDefault="00B3369E" w:rsidP="00B3369E">
      <w:pPr>
        <w:pStyle w:val="HTMLPreformatted"/>
        <w:spacing w:line="276" w:lineRule="auto"/>
        <w:jc w:val="both"/>
        <w:rPr>
          <w:rFonts w:ascii="Times New Roman" w:hAnsi="Times New Roman" w:cs="Times New Roman"/>
          <w:b/>
          <w:bCs/>
          <w:sz w:val="24"/>
          <w:szCs w:val="24"/>
          <w:shd w:val="clear" w:color="auto" w:fill="FFFFFF"/>
        </w:rPr>
      </w:pPr>
    </w:p>
    <w:p w:rsidR="00B3369E" w:rsidRPr="00B3369E" w:rsidRDefault="00B3369E" w:rsidP="00B3369E">
      <w:pPr>
        <w:pStyle w:val="HTMLPreformatted"/>
        <w:spacing w:line="276" w:lineRule="auto"/>
        <w:jc w:val="both"/>
        <w:rPr>
          <w:rFonts w:ascii="Times New Roman" w:hAnsi="Times New Roman" w:cs="Times New Roman"/>
          <w:sz w:val="24"/>
          <w:szCs w:val="24"/>
          <w:shd w:val="clear" w:color="auto" w:fill="FFFFFF"/>
        </w:rPr>
      </w:pPr>
      <w:r w:rsidRPr="00B3369E">
        <w:rPr>
          <w:rFonts w:ascii="Times New Roman" w:hAnsi="Times New Roman" w:cs="Times New Roman"/>
          <w:sz w:val="24"/>
          <w:szCs w:val="24"/>
        </w:rPr>
        <w:t>B</w:t>
      </w:r>
      <w:r w:rsidRPr="00B3369E">
        <w:rPr>
          <w:rFonts w:ascii="Times New Roman" w:hAnsi="Times New Roman" w:cs="Times New Roman"/>
          <w:sz w:val="24"/>
          <w:szCs w:val="24"/>
          <w:shd w:val="clear" w:color="auto" w:fill="FFFFFF"/>
        </w:rPr>
        <w:t>efore discuss that Basel III has two parts: Capital Standard and Liquidity Standard. Basel III's capital is composed of three layers, which are known as three pillars:</w:t>
      </w:r>
    </w:p>
    <w:p w:rsidR="00B3369E" w:rsidRPr="00B3369E" w:rsidRDefault="00B3369E" w:rsidP="00B3369E">
      <w:pPr>
        <w:pStyle w:val="HTMLPreformatted"/>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shd w:val="clear" w:color="auto" w:fill="FFFFFF"/>
        </w:rPr>
        <w:t xml:space="preserve">1. </w:t>
      </w:r>
      <w:r w:rsidRPr="00B3369E">
        <w:rPr>
          <w:rFonts w:ascii="Times New Roman" w:hAnsi="Times New Roman" w:cs="Times New Roman"/>
          <w:sz w:val="24"/>
          <w:szCs w:val="24"/>
        </w:rPr>
        <w:t>The covers of Pillar 1 the minimum capital, capital buffer and leverage</w:t>
      </w:r>
    </w:p>
    <w:p w:rsidR="00B3369E" w:rsidRPr="00B3369E" w:rsidRDefault="00B3369E" w:rsidP="00B3369E">
      <w:pPr>
        <w:pStyle w:val="HTMLPreformatted"/>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2. The covers of Pillar 2 Risk Management and Supervision</w:t>
      </w:r>
    </w:p>
    <w:p w:rsidR="00B3369E" w:rsidRPr="00B3369E" w:rsidRDefault="00B3369E" w:rsidP="00B3369E">
      <w:pPr>
        <w:pStyle w:val="HTMLPreformatted"/>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3. The covers of Pillar 3 Market Discipline</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Capital Standard's Pillar 1 defines some aspect related to capital, which banks must maintain as the minimum capital. These two main factors are risk-weighted asset ratio (CRAR) and leverage ratio from the capital.</w:t>
      </w: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91" w:name="_Toc6610650"/>
      <w:bookmarkStart w:id="192" w:name="_Toc6614067"/>
      <w:r w:rsidRPr="00B3369E">
        <w:rPr>
          <w:rFonts w:ascii="Times New Roman" w:hAnsi="Times New Roman" w:cs="Times New Roman"/>
          <w:color w:val="943634" w:themeColor="accent2" w:themeShade="BF"/>
          <w:sz w:val="24"/>
          <w:szCs w:val="24"/>
        </w:rPr>
        <w:t>5.3.2 Capital to Risk-weighted Asset Ratio</w:t>
      </w:r>
      <w:bookmarkEnd w:id="191"/>
      <w:bookmarkEnd w:id="192"/>
    </w:p>
    <w:p w:rsidR="00B3369E" w:rsidRPr="00B3369E" w:rsidRDefault="00B3369E" w:rsidP="00B3369E">
      <w:pPr>
        <w:pStyle w:val="HTMLPreformatted"/>
        <w:shd w:val="clear" w:color="auto" w:fill="FFFFFF"/>
        <w:spacing w:line="276" w:lineRule="auto"/>
        <w:rPr>
          <w:rFonts w:ascii="Times New Roman" w:hAnsi="Times New Roman" w:cs="Times New Roman"/>
          <w:b/>
          <w:bCs/>
          <w:sz w:val="24"/>
          <w:szCs w:val="24"/>
        </w:rPr>
      </w:pPr>
    </w:p>
    <w:p w:rsidR="00B3369E" w:rsidRPr="00B3369E" w:rsidRDefault="00B3369E" w:rsidP="00B3369E">
      <w:pPr>
        <w:pStyle w:val="HTMLPreformatted"/>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(CRAR= Total Eligible Capital/Risk Weighted Asset)</w:t>
      </w:r>
    </w:p>
    <w:p w:rsidR="00B3369E" w:rsidRPr="00B3369E" w:rsidRDefault="00B3369E" w:rsidP="00B3369E">
      <w:pPr>
        <w:pStyle w:val="HTMLPreformatted"/>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(CET 1 Capital to RWA= CET 1/Total RWA)</w:t>
      </w:r>
    </w:p>
    <w:p w:rsidR="00B3369E" w:rsidRPr="00B3369E" w:rsidRDefault="00B3369E" w:rsidP="00B3369E">
      <w:pPr>
        <w:pStyle w:val="HTMLPreformatted"/>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(Tier 1 Capital to RWA= Total Tier 1 Capital/Total RWA)</w:t>
      </w:r>
    </w:p>
    <w:p w:rsidR="00B3369E" w:rsidRPr="00B3369E" w:rsidRDefault="00B3369E" w:rsidP="00B3369E">
      <w:pPr>
        <w:pStyle w:val="HTMLPreformatted"/>
        <w:shd w:val="clear" w:color="auto" w:fill="FFFFFF"/>
        <w:jc w:val="both"/>
        <w:rPr>
          <w:rFonts w:ascii="Times New Roman" w:hAnsi="Times New Roman" w:cs="Times New Roman"/>
          <w:sz w:val="24"/>
          <w:szCs w:val="24"/>
        </w:rPr>
      </w:pPr>
      <w:r w:rsidRPr="00B3369E">
        <w:rPr>
          <w:rFonts w:ascii="Times New Roman" w:hAnsi="Times New Roman" w:cs="Times New Roman"/>
          <w:sz w:val="24"/>
          <w:szCs w:val="24"/>
        </w:rPr>
        <w:t>(Tier 2 Capital to RWA= Tier 2 capital/Total RWA)</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All Bangladeshi Banks should maintain minimum capital ratio of 10% or more sustainable in 400 million which is higher 3. Along with this minimum capital, a capital conservation buffer (CCB) of 2.5% will be developed gradually by 2019. The upper ratio has two parts: appropriate capital and risk weight resources, as explained below.</w:t>
      </w: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93" w:name="_Toc6610651"/>
      <w:bookmarkStart w:id="194" w:name="_Toc6614068"/>
      <w:r w:rsidRPr="00B3369E">
        <w:rPr>
          <w:rFonts w:ascii="Times New Roman" w:hAnsi="Times New Roman" w:cs="Times New Roman"/>
          <w:color w:val="943634" w:themeColor="accent2" w:themeShade="BF"/>
          <w:sz w:val="24"/>
          <w:szCs w:val="24"/>
        </w:rPr>
        <w:t>5.3.3 Leverage Ratio</w:t>
      </w:r>
      <w:bookmarkEnd w:id="193"/>
      <w:bookmarkEnd w:id="194"/>
    </w:p>
    <w:p w:rsidR="00B3369E" w:rsidRPr="00B3369E" w:rsidRDefault="00B3369E" w:rsidP="00B3369E">
      <w:pPr>
        <w:spacing w:after="0"/>
        <w:rPr>
          <w:rFonts w:ascii="Times New Roman" w:hAnsi="Times New Roman" w:cs="Times New Roman"/>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To complement CRAR, a general non-risk-based leverage ratio has been introduced. CRAR risks using indicators as risk weighted asset/using total leverage ratio exposure. The leverage ratio is calculated as follows:</w:t>
      </w:r>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rPr>
      </w:pPr>
      <w:r w:rsidRPr="00B3369E">
        <w:rPr>
          <w:rFonts w:ascii="Times New Roman" w:hAnsi="Times New Roman" w:cs="Times New Roman"/>
          <w:b/>
          <w:bCs/>
          <w:sz w:val="24"/>
          <w:szCs w:val="24"/>
        </w:rPr>
        <w:t>(Leverage Ratio= Tier 1 Capital/Total Exposure)</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Banks should maintain minimum leverage ratio of 3%. In Bangladesh, the calculation of the leverage ratio will be monitored in 2016 and the need for reconsideration will be made in 2017. Banks will be forced to maintain leverage ratio since 2018.</w:t>
      </w:r>
    </w:p>
    <w:p w:rsidR="00B3369E" w:rsidRPr="00B3369E" w:rsidRDefault="00B3369E" w:rsidP="00B3369E">
      <w:pPr>
        <w:pStyle w:val="Heading3"/>
        <w:jc w:val="both"/>
        <w:rPr>
          <w:rFonts w:ascii="Times New Roman" w:hAnsi="Times New Roman" w:cs="Times New Roman"/>
          <w:color w:val="943634" w:themeColor="accent2" w:themeShade="BF"/>
          <w:sz w:val="24"/>
          <w:szCs w:val="24"/>
          <w:shd w:val="clear" w:color="auto" w:fill="FFFFFF"/>
        </w:rPr>
      </w:pPr>
      <w:bookmarkStart w:id="195" w:name="_Toc6610652"/>
      <w:bookmarkStart w:id="196" w:name="_Toc6614069"/>
      <w:r w:rsidRPr="00B3369E">
        <w:rPr>
          <w:rFonts w:ascii="Times New Roman" w:hAnsi="Times New Roman" w:cs="Times New Roman"/>
          <w:color w:val="943634" w:themeColor="accent2" w:themeShade="BF"/>
          <w:sz w:val="24"/>
          <w:szCs w:val="24"/>
          <w:shd w:val="clear" w:color="auto" w:fill="FFFFFF"/>
        </w:rPr>
        <w:t>5.3.4 Liquidity Standard</w:t>
      </w:r>
      <w:bookmarkEnd w:id="195"/>
      <w:bookmarkEnd w:id="196"/>
    </w:p>
    <w:p w:rsidR="00B3369E" w:rsidRPr="00B3369E" w:rsidRDefault="00B3369E" w:rsidP="00B3369E">
      <w:pPr>
        <w:spacing w:after="0"/>
        <w:rPr>
          <w:rFonts w:ascii="Times New Roman" w:hAnsi="Times New Roman" w:cs="Times New Roman"/>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shd w:val="clear" w:color="auto" w:fill="FFFFFF"/>
        </w:rPr>
        <w:t xml:space="preserve">Basel iii means the capital of liquidity standard as a supplement to the capital. It made two minimum values ​​for liquidity. </w:t>
      </w:r>
      <w:r w:rsidRPr="00B3369E">
        <w:rPr>
          <w:rFonts w:ascii="Times New Roman" w:hAnsi="Times New Roman" w:cs="Times New Roman"/>
          <w:sz w:val="24"/>
          <w:szCs w:val="24"/>
        </w:rPr>
        <w:t>It is Liquidity coverage ratio (LCR) and Net stable Funding Ratio (NSFR). In keeping with Basel III, the Bangladesh Bank has circulated "Guidelines Note on Liquidity Coverage Ratio (LCR) and Net Stable Fund Ratio (NSFR)” Given Disk Operating System Circular Number One date 1st January, 2015.</w:t>
      </w:r>
    </w:p>
    <w:p w:rsidR="00B3369E" w:rsidRPr="00B3369E" w:rsidRDefault="00B3369E" w:rsidP="00B3369E">
      <w:pPr>
        <w:pStyle w:val="Heading3"/>
        <w:jc w:val="both"/>
        <w:rPr>
          <w:rFonts w:ascii="Times New Roman" w:hAnsi="Times New Roman" w:cs="Times New Roman"/>
          <w:color w:val="943634" w:themeColor="accent2" w:themeShade="BF"/>
          <w:sz w:val="24"/>
          <w:szCs w:val="24"/>
        </w:rPr>
      </w:pPr>
      <w:bookmarkStart w:id="197" w:name="_Toc6610653"/>
      <w:bookmarkStart w:id="198" w:name="_Toc6614070"/>
      <w:r w:rsidRPr="00B3369E">
        <w:rPr>
          <w:rFonts w:ascii="Times New Roman" w:hAnsi="Times New Roman" w:cs="Times New Roman"/>
          <w:color w:val="943634" w:themeColor="accent2" w:themeShade="BF"/>
          <w:sz w:val="24"/>
          <w:szCs w:val="24"/>
        </w:rPr>
        <w:t>5.3.5 Liquidity Coverage Ratio</w:t>
      </w:r>
      <w:bookmarkEnd w:id="197"/>
      <w:bookmarkEnd w:id="198"/>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shd w:val="clear" w:color="auto" w:fill="FFFFFF"/>
        </w:rPr>
      </w:pPr>
      <w:r w:rsidRPr="00B3369E">
        <w:rPr>
          <w:rFonts w:ascii="Times New Roman" w:hAnsi="Times New Roman" w:cs="Times New Roman"/>
          <w:sz w:val="24"/>
          <w:szCs w:val="24"/>
          <w:shd w:val="clear" w:color="auto" w:fill="FFFFFF"/>
        </w:rPr>
        <w:t>To ensure the liquidity coverage ratio, a bank is determined to meet its liquidity requirements for 30 calendar days in a difficult time, which maintains a sufficient level of easy-to-replaceable assets of high quality cash, which is converted into cash. To calculate the LCR equation as below:</w:t>
      </w:r>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shd w:val="clear" w:color="auto" w:fill="FFFFFF"/>
        </w:rPr>
      </w:pPr>
      <w:r w:rsidRPr="00B3369E">
        <w:rPr>
          <w:rFonts w:ascii="Times New Roman" w:hAnsi="Times New Roman" w:cs="Times New Roman"/>
          <w:b/>
          <w:bCs/>
          <w:sz w:val="24"/>
          <w:szCs w:val="24"/>
          <w:shd w:val="clear" w:color="auto" w:fill="FFFFFF"/>
        </w:rPr>
        <w:t>LCR=Stock of high quality liquid assets / Total net cash outflows over the next 30 days≥100%</w:t>
      </w:r>
    </w:p>
    <w:p w:rsidR="00B3369E" w:rsidRPr="00B3369E" w:rsidRDefault="00B3369E" w:rsidP="00B3369E">
      <w:pPr>
        <w:pStyle w:val="Heading3"/>
        <w:jc w:val="both"/>
        <w:rPr>
          <w:rFonts w:ascii="Times New Roman" w:hAnsi="Times New Roman" w:cs="Times New Roman"/>
          <w:color w:val="943634" w:themeColor="accent2" w:themeShade="BF"/>
          <w:sz w:val="24"/>
          <w:szCs w:val="24"/>
          <w:shd w:val="clear" w:color="auto" w:fill="FFFFFF"/>
        </w:rPr>
      </w:pPr>
      <w:bookmarkStart w:id="199" w:name="_Toc6610654"/>
      <w:bookmarkStart w:id="200" w:name="_Toc6614071"/>
      <w:r w:rsidRPr="00B3369E">
        <w:rPr>
          <w:rFonts w:ascii="Times New Roman" w:hAnsi="Times New Roman" w:cs="Times New Roman"/>
          <w:color w:val="943634" w:themeColor="accent2" w:themeShade="BF"/>
          <w:sz w:val="24"/>
          <w:szCs w:val="24"/>
          <w:shd w:val="clear" w:color="auto" w:fill="FFFFFF"/>
        </w:rPr>
        <w:t>5.3.6 Net Stable Funding Ratio</w:t>
      </w:r>
      <w:bookmarkEnd w:id="199"/>
      <w:bookmarkEnd w:id="200"/>
    </w:p>
    <w:p w:rsidR="00B3369E" w:rsidRPr="00B3369E" w:rsidRDefault="00B3369E" w:rsidP="00B3369E">
      <w:pPr>
        <w:pStyle w:val="HTMLPreformatted"/>
        <w:shd w:val="clear" w:color="auto" w:fill="FFFFFF"/>
        <w:spacing w:line="276" w:lineRule="auto"/>
        <w:jc w:val="both"/>
        <w:rPr>
          <w:rFonts w:ascii="Times New Roman" w:eastAsiaTheme="majorEastAsia" w:hAnsi="Times New Roman" w:cs="Times New Roman"/>
          <w:b/>
          <w:bCs/>
          <w:color w:val="4F81BD" w:themeColor="accent1"/>
          <w:sz w:val="24"/>
          <w:szCs w:val="24"/>
          <w:shd w:val="clear" w:color="auto" w:fill="FFFFFF"/>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The purpose of NSFR is to increase stability in the one-year horizon, through which banks provide to the funds through more stable sources of funding. NSFR limits the dependency on short-term funds during the market liquidity.</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The equation to calculate NSFR as below:</w:t>
      </w:r>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rPr>
      </w:pPr>
      <w:r w:rsidRPr="00B3369E">
        <w:rPr>
          <w:rFonts w:ascii="Times New Roman" w:hAnsi="Times New Roman" w:cs="Times New Roman"/>
          <w:b/>
          <w:bCs/>
          <w:sz w:val="24"/>
          <w:szCs w:val="24"/>
        </w:rPr>
        <w:t>NSFR=Available amount of stable funding / required amount of stable funding</w:t>
      </w:r>
    </w:p>
    <w:p w:rsidR="00B3369E" w:rsidRPr="00B3369E" w:rsidRDefault="00B3369E" w:rsidP="00B3369E">
      <w:pPr>
        <w:pStyle w:val="HTMLPreformatted"/>
        <w:shd w:val="clear" w:color="auto" w:fill="FFFFFF"/>
        <w:spacing w:line="276" w:lineRule="auto"/>
        <w:jc w:val="both"/>
        <w:rPr>
          <w:rFonts w:ascii="Times New Roman" w:hAnsi="Times New Roman" w:cs="Times New Roman"/>
          <w:sz w:val="24"/>
          <w:szCs w:val="24"/>
        </w:rPr>
      </w:pPr>
      <w:r w:rsidRPr="00B3369E">
        <w:rPr>
          <w:rFonts w:ascii="Times New Roman" w:hAnsi="Times New Roman" w:cs="Times New Roman"/>
          <w:sz w:val="24"/>
          <w:szCs w:val="24"/>
        </w:rPr>
        <w:t>The minimum standard for NSFR shall be greater than 100.</w:t>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201" w:name="_Toc6610655"/>
      <w:bookmarkStart w:id="202" w:name="_Toc6614072"/>
      <w:r w:rsidRPr="00B3369E">
        <w:rPr>
          <w:rFonts w:ascii="Times New Roman" w:hAnsi="Times New Roman" w:cs="Times New Roman"/>
          <w:color w:val="632423" w:themeColor="accent2" w:themeShade="80"/>
          <w:sz w:val="28"/>
          <w:szCs w:val="28"/>
        </w:rPr>
        <w:t>5.4 Bangladesh Bank Capital Accord Basel III</w:t>
      </w:r>
      <w:bookmarkEnd w:id="201"/>
      <w:bookmarkEnd w:id="202"/>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With the best international practice of Bangladesh bank issued guidelines on risk-based capital equality (Corrected Regulatory Capital Framework for Line Bank Basel III through BRPD Circular No. 18 on December 23) 2014. BB is the main feature of this new regulatory guide the capital measurements are as follows:</w:t>
      </w:r>
    </w:p>
    <w:p w:rsidR="00B3369E" w:rsidRPr="00B3369E" w:rsidRDefault="00B3369E" w:rsidP="00B3369E">
      <w:pPr>
        <w:pStyle w:val="HTMLPreformatted"/>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A.</w:t>
      </w:r>
      <w:r w:rsidRPr="00B3369E">
        <w:rPr>
          <w:rFonts w:ascii="Times New Roman" w:hAnsi="Times New Roman" w:cs="Times New Roman"/>
          <w:color w:val="212121"/>
          <w:sz w:val="24"/>
          <w:szCs w:val="24"/>
        </w:rPr>
        <w:t xml:space="preserve"> To ensure the quality of the capital and the level increase that bank is able to absorb well unexpected Damage associated with banking operation. For this Finish, the capital component is divided into 2 (two) Tiers, namely,</w:t>
      </w:r>
    </w:p>
    <w:p w:rsidR="00B3369E" w:rsidRPr="00B3369E" w:rsidRDefault="00B3369E" w:rsidP="00B3369E">
      <w:pPr>
        <w:pStyle w:val="HTMLPreformatted"/>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1. Formed Tier 1 capital</w:t>
      </w:r>
    </w:p>
    <w:p w:rsidR="00B3369E" w:rsidRPr="00B3369E" w:rsidRDefault="00B3369E" w:rsidP="00B3369E">
      <w:pPr>
        <w:pStyle w:val="HTMLPreformatted"/>
        <w:shd w:val="clear" w:color="auto" w:fill="FFFFFF"/>
        <w:spacing w:line="276" w:lineRule="auto"/>
        <w:rPr>
          <w:rFonts w:ascii="Times New Roman" w:hAnsi="Times New Roman" w:cs="Times New Roman"/>
          <w:color w:val="212121"/>
          <w:sz w:val="24"/>
          <w:szCs w:val="24"/>
        </w:rPr>
      </w:pPr>
    </w:p>
    <w:p w:rsidR="00B3369E" w:rsidRPr="00B3369E" w:rsidRDefault="00B3369E" w:rsidP="00B3369E">
      <w:pPr>
        <w:pStyle w:val="HTMLPreformatted"/>
        <w:shd w:val="clear" w:color="auto" w:fill="FFFFFF"/>
        <w:ind w:left="720"/>
        <w:rPr>
          <w:rFonts w:ascii="Times New Roman" w:hAnsi="Times New Roman" w:cs="Times New Roman"/>
          <w:color w:val="212121"/>
          <w:sz w:val="24"/>
          <w:szCs w:val="24"/>
        </w:rPr>
      </w:pPr>
      <w:r w:rsidRPr="00B3369E">
        <w:rPr>
          <w:rFonts w:ascii="Times New Roman" w:hAnsi="Times New Roman" w:cs="Times New Roman"/>
          <w:color w:val="212121"/>
          <w:sz w:val="24"/>
          <w:szCs w:val="24"/>
        </w:rPr>
        <w:t>I. General Equity Level 1 (CE1) - mainly included</w:t>
      </w:r>
    </w:p>
    <w:p w:rsidR="00B3369E" w:rsidRPr="00B3369E" w:rsidRDefault="00B3369E" w:rsidP="00B3369E">
      <w:pPr>
        <w:pStyle w:val="HTMLPreformatted"/>
        <w:shd w:val="clear" w:color="auto" w:fill="FFFFFF"/>
        <w:rPr>
          <w:rFonts w:ascii="Times New Roman" w:hAnsi="Times New Roman" w:cs="Times New Roman"/>
          <w:color w:val="212121"/>
          <w:sz w:val="24"/>
          <w:szCs w:val="24"/>
        </w:rPr>
      </w:pPr>
    </w:p>
    <w:p w:rsidR="00B3369E" w:rsidRPr="00B3369E" w:rsidRDefault="00B3369E" w:rsidP="001B0E2C">
      <w:pPr>
        <w:pStyle w:val="HTMLPreformatted"/>
        <w:numPr>
          <w:ilvl w:val="0"/>
          <w:numId w:val="37"/>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Paid-up share capital</w:t>
      </w:r>
    </w:p>
    <w:p w:rsidR="00B3369E" w:rsidRPr="00B3369E" w:rsidRDefault="00B3369E" w:rsidP="001B0E2C">
      <w:pPr>
        <w:pStyle w:val="HTMLPreformatted"/>
        <w:numPr>
          <w:ilvl w:val="0"/>
          <w:numId w:val="37"/>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Non-repayable share premium</w:t>
      </w:r>
    </w:p>
    <w:p w:rsidR="00B3369E" w:rsidRPr="00B3369E" w:rsidRDefault="00B3369E" w:rsidP="001B0E2C">
      <w:pPr>
        <w:pStyle w:val="HTMLPreformatted"/>
        <w:numPr>
          <w:ilvl w:val="0"/>
          <w:numId w:val="37"/>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Statutory reserve</w:t>
      </w:r>
    </w:p>
    <w:p w:rsidR="00B3369E" w:rsidRPr="00B3369E" w:rsidRDefault="00B3369E" w:rsidP="001B0E2C">
      <w:pPr>
        <w:pStyle w:val="HTMLPreformatted"/>
        <w:numPr>
          <w:ilvl w:val="0"/>
          <w:numId w:val="37"/>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Retained earning</w:t>
      </w:r>
    </w:p>
    <w:p w:rsidR="00B3369E" w:rsidRPr="00B3369E" w:rsidRDefault="00B3369E" w:rsidP="001B0E2C">
      <w:pPr>
        <w:pStyle w:val="HTMLPreformatted"/>
        <w:numPr>
          <w:ilvl w:val="0"/>
          <w:numId w:val="37"/>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Dividend equalization account etc</w:t>
      </w:r>
    </w:p>
    <w:p w:rsidR="00B3369E" w:rsidRPr="00B3369E" w:rsidRDefault="00B3369E" w:rsidP="00B3369E">
      <w:pPr>
        <w:pStyle w:val="HTMLPreformatted"/>
        <w:shd w:val="clear" w:color="auto" w:fill="FFFFFF"/>
        <w:ind w:left="720"/>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ind w:left="720"/>
        <w:rPr>
          <w:rFonts w:ascii="Times New Roman" w:hAnsi="Times New Roman" w:cs="Times New Roman"/>
          <w:color w:val="212121"/>
          <w:sz w:val="24"/>
          <w:szCs w:val="24"/>
        </w:rPr>
      </w:pPr>
      <w:r w:rsidRPr="00B3369E">
        <w:rPr>
          <w:rFonts w:ascii="Times New Roman" w:hAnsi="Times New Roman" w:cs="Times New Roman"/>
          <w:color w:val="212121"/>
          <w:sz w:val="24"/>
          <w:szCs w:val="24"/>
          <w:shd w:val="clear" w:color="auto" w:fill="FFFFFF"/>
        </w:rPr>
        <w:t>II. Extra Tier 1 capital, included</w:t>
      </w:r>
    </w:p>
    <w:p w:rsidR="00B3369E" w:rsidRPr="00B3369E" w:rsidRDefault="00B3369E" w:rsidP="00B3369E">
      <w:pPr>
        <w:pStyle w:val="HTMLPreformatted"/>
        <w:shd w:val="clear" w:color="auto" w:fill="FFFFFF"/>
        <w:ind w:left="720"/>
        <w:rPr>
          <w:rFonts w:ascii="Times New Roman" w:hAnsi="Times New Roman" w:cs="Times New Roman"/>
          <w:color w:val="212121"/>
          <w:sz w:val="24"/>
          <w:szCs w:val="24"/>
        </w:rPr>
      </w:pPr>
    </w:p>
    <w:p w:rsidR="00B3369E" w:rsidRPr="00B3369E" w:rsidRDefault="00B3369E" w:rsidP="001B0E2C">
      <w:pPr>
        <w:pStyle w:val="HTMLPreformatted"/>
        <w:numPr>
          <w:ilvl w:val="0"/>
          <w:numId w:val="38"/>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Bank paid instruments (such as bonds) Subject to the following criteria</w:t>
      </w:r>
    </w:p>
    <w:p w:rsidR="00B3369E" w:rsidRPr="00B3369E" w:rsidRDefault="00B3369E" w:rsidP="00B3369E">
      <w:pPr>
        <w:pStyle w:val="HTMLPreformatted"/>
        <w:shd w:val="clear" w:color="auto" w:fill="FFFFFF"/>
        <w:ind w:left="1440"/>
        <w:rPr>
          <w:rFonts w:ascii="Times New Roman" w:hAnsi="Times New Roman" w:cs="Times New Roman"/>
          <w:color w:val="212121"/>
          <w:sz w:val="24"/>
          <w:szCs w:val="24"/>
        </w:rPr>
      </w:pPr>
    </w:p>
    <w:p w:rsidR="00B3369E" w:rsidRPr="00B3369E" w:rsidRDefault="00B3369E" w:rsidP="001B0E2C">
      <w:pPr>
        <w:pStyle w:val="HTMLPreformatted"/>
        <w:numPr>
          <w:ilvl w:val="0"/>
          <w:numId w:val="39"/>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Maturity time - shall be the instrument be permanent, such as a certain maturity;</w:t>
      </w:r>
    </w:p>
    <w:p w:rsidR="00B3369E" w:rsidRPr="00B3369E" w:rsidRDefault="00B3369E" w:rsidP="001B0E2C">
      <w:pPr>
        <w:pStyle w:val="HTMLPreformatted"/>
        <w:numPr>
          <w:ilvl w:val="0"/>
          <w:numId w:val="39"/>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Repurchase / buy-back / redemption-Principal of the device can be repurchase / repaid by releasing Only with BB's prior approval;</w:t>
      </w:r>
    </w:p>
    <w:p w:rsidR="00B3369E" w:rsidRPr="00B3369E" w:rsidRDefault="00B3369E" w:rsidP="001B0E2C">
      <w:pPr>
        <w:pStyle w:val="HTMLPreformatted"/>
        <w:numPr>
          <w:ilvl w:val="0"/>
          <w:numId w:val="39"/>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shd w:val="clear" w:color="auto" w:fill="FFFFFF"/>
        </w:rPr>
        <w:t>Dividend Discretion - Bank must be of course there are always complete considerations for cancellation Distribution / Payment.</w:t>
      </w:r>
    </w:p>
    <w:p w:rsidR="00B3369E" w:rsidRPr="00B3369E" w:rsidRDefault="00B3369E" w:rsidP="00B3369E">
      <w:pPr>
        <w:pStyle w:val="HTMLPreformatted"/>
        <w:shd w:val="clear" w:color="auto" w:fill="FFFFFF"/>
        <w:rPr>
          <w:rFonts w:ascii="Times New Roman" w:hAnsi="Times New Roman" w:cs="Times New Roman"/>
          <w:color w:val="212121"/>
          <w:sz w:val="24"/>
          <w:szCs w:val="24"/>
        </w:rPr>
      </w:pPr>
    </w:p>
    <w:p w:rsidR="00B3369E" w:rsidRPr="00B3369E" w:rsidRDefault="00B3369E" w:rsidP="00B3369E">
      <w:pPr>
        <w:pStyle w:val="HTMLPreformatted"/>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2. Formed Tier 2 Capital</w:t>
      </w:r>
    </w:p>
    <w:p w:rsidR="00B3369E" w:rsidRPr="00B3369E" w:rsidRDefault="00B3369E" w:rsidP="001B0E2C">
      <w:pPr>
        <w:pStyle w:val="HTMLPreformatted"/>
        <w:numPr>
          <w:ilvl w:val="0"/>
          <w:numId w:val="40"/>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General provisions in unclassified debt and exposure to off balance sheet; And</w:t>
      </w:r>
    </w:p>
    <w:p w:rsidR="00B3369E" w:rsidRPr="00B3369E" w:rsidRDefault="00B3369E" w:rsidP="001B0E2C">
      <w:pPr>
        <w:pStyle w:val="HTMLPreformatted"/>
        <w:numPr>
          <w:ilvl w:val="0"/>
          <w:numId w:val="40"/>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Loan / instrument under issued by the bank.</w:t>
      </w:r>
    </w:p>
    <w:p w:rsidR="00B3369E" w:rsidRPr="00B3369E" w:rsidRDefault="00B3369E" w:rsidP="00B3369E">
      <w:pPr>
        <w:pStyle w:val="HTMLPreformatted"/>
        <w:shd w:val="clear" w:color="auto" w:fill="FFFFFF"/>
        <w:spacing w:line="276" w:lineRule="auto"/>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BB also determined the necessary deductions from Tier 1 and Tier 2 capital.</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B.</w:t>
      </w:r>
      <w:r w:rsidRPr="00B3369E">
        <w:rPr>
          <w:rFonts w:ascii="Times New Roman" w:hAnsi="Times New Roman" w:cs="Times New Roman"/>
          <w:color w:val="212121"/>
          <w:sz w:val="24"/>
          <w:szCs w:val="24"/>
        </w:rPr>
        <w:t xml:space="preserve"> Increase the risk coverage of the capital structure;</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C.</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shd w:val="clear" w:color="auto" w:fill="FFFFFF"/>
        </w:rPr>
        <w:t>Serve as a backstop to introduce leverage ratio Risk based capital measurement;</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D.</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shd w:val="clear" w:color="auto" w:fill="FFFFFF"/>
        </w:rPr>
        <w:t>Raise standards for supervisory review Process;</w:t>
      </w:r>
    </w:p>
    <w:p w:rsidR="00B3369E" w:rsidRPr="00B3369E" w:rsidRDefault="00B3369E" w:rsidP="00B3369E">
      <w:pPr>
        <w:pStyle w:val="HTMLPreformatted"/>
        <w:shd w:val="clear" w:color="auto" w:fill="FFFFFF"/>
        <w:spacing w:line="276" w:lineRule="auto"/>
        <w:rPr>
          <w:rFonts w:ascii="Times New Roman" w:hAnsi="Times New Roman" w:cs="Times New Roman"/>
          <w:color w:val="212121"/>
          <w:sz w:val="24"/>
          <w:szCs w:val="24"/>
        </w:rPr>
      </w:pPr>
      <w:r w:rsidRPr="00B3369E">
        <w:rPr>
          <w:rFonts w:ascii="Times New Roman" w:hAnsi="Times New Roman" w:cs="Times New Roman"/>
          <w:b/>
          <w:bCs/>
          <w:color w:val="212121"/>
          <w:sz w:val="24"/>
          <w:szCs w:val="24"/>
          <w:shd w:val="clear" w:color="auto" w:fill="FFFFFF"/>
        </w:rPr>
        <w:t>E.</w:t>
      </w:r>
      <w:r w:rsidRPr="00B3369E">
        <w:rPr>
          <w:rFonts w:ascii="Times New Roman" w:hAnsi="Times New Roman" w:cs="Times New Roman"/>
          <w:color w:val="212121"/>
          <w:sz w:val="24"/>
          <w:szCs w:val="24"/>
          <w:shd w:val="clear" w:color="auto" w:fill="FFFFFF"/>
        </w:rPr>
        <w:t xml:space="preserve"> </w:t>
      </w:r>
      <w:r w:rsidRPr="00B3369E">
        <w:rPr>
          <w:rFonts w:ascii="Times New Roman" w:hAnsi="Times New Roman" w:cs="Times New Roman"/>
          <w:color w:val="212121"/>
          <w:sz w:val="24"/>
          <w:szCs w:val="24"/>
        </w:rPr>
        <w:t>Expand quantitative and qualitative expression the direction for the stakeholders.</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BB also sets the minimum and maximum limit Ratio for a capital adequacy ratio starting from January 2015, full phases Implementation of capital ratio from January 2020 under:</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1B0E2C">
      <w:pPr>
        <w:pStyle w:val="HTMLPreformatted"/>
        <w:numPr>
          <w:ilvl w:val="0"/>
          <w:numId w:val="41"/>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Total Risk Weighted Assets (RWA) at least 4.50% Common Equity Level 1 (CET1);</w:t>
      </w:r>
    </w:p>
    <w:p w:rsidR="00B3369E" w:rsidRPr="00B3369E" w:rsidRDefault="00B3369E" w:rsidP="001B0E2C">
      <w:pPr>
        <w:pStyle w:val="HTMLPreformatted"/>
        <w:numPr>
          <w:ilvl w:val="0"/>
          <w:numId w:val="41"/>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Tier 1 capital will be at least 6.0% of the total RWA;</w:t>
      </w:r>
    </w:p>
    <w:p w:rsidR="00B3369E" w:rsidRPr="00B3369E" w:rsidRDefault="00B3369E" w:rsidP="001B0E2C">
      <w:pPr>
        <w:pStyle w:val="HTMLPreformatted"/>
        <w:numPr>
          <w:ilvl w:val="0"/>
          <w:numId w:val="41"/>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Minimum capital from risk-weighted asset ratio (CRAR) will be 10% of RWA;</w:t>
      </w:r>
    </w:p>
    <w:p w:rsidR="00B3369E" w:rsidRPr="00B3369E" w:rsidRDefault="00B3369E" w:rsidP="001B0E2C">
      <w:pPr>
        <w:pStyle w:val="HTMLPreformatted"/>
        <w:numPr>
          <w:ilvl w:val="0"/>
          <w:numId w:val="41"/>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Minor CRAR, besides capital, Reserve buffer (CCB) @ 2.50% should be maintained in the form of CET1;</w:t>
      </w:r>
    </w:p>
    <w:p w:rsidR="00B3369E" w:rsidRPr="00B3369E" w:rsidRDefault="00B3369E" w:rsidP="001B0E2C">
      <w:pPr>
        <w:pStyle w:val="HTMLPreformatted"/>
        <w:numPr>
          <w:ilvl w:val="0"/>
          <w:numId w:val="41"/>
        </w:numPr>
        <w:shd w:val="clear" w:color="auto" w:fill="FFFFFF"/>
        <w:rPr>
          <w:rFonts w:ascii="Times New Roman" w:hAnsi="Times New Roman" w:cs="Times New Roman"/>
          <w:color w:val="212121"/>
          <w:sz w:val="24"/>
          <w:szCs w:val="24"/>
        </w:rPr>
      </w:pPr>
      <w:r w:rsidRPr="00B3369E">
        <w:rPr>
          <w:rFonts w:ascii="Times New Roman" w:hAnsi="Times New Roman" w:cs="Times New Roman"/>
          <w:color w:val="212121"/>
          <w:sz w:val="24"/>
          <w:szCs w:val="24"/>
        </w:rPr>
        <w:t>Tier 2 capital can be admitted up to the highest total RWA 4.0% or CET1's 88.89% to 4.0% which is higher;</w:t>
      </w:r>
    </w:p>
    <w:p w:rsidR="00B3369E" w:rsidRPr="00B3369E" w:rsidRDefault="00B3369E" w:rsidP="001B0E2C">
      <w:pPr>
        <w:pStyle w:val="HTMLPreformatted"/>
        <w:numPr>
          <w:ilvl w:val="0"/>
          <w:numId w:val="41"/>
        </w:numPr>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shd w:val="clear" w:color="auto" w:fill="FFFFFF"/>
        </w:rPr>
        <w:t>Minimum total capital plus capital reserve Buffer should be 12.50%.</w:t>
      </w:r>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shd w:val="clear" w:color="auto" w:fill="FFFFFF"/>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shd w:val="clear" w:color="auto" w:fill="FFFFFF"/>
        </w:rPr>
      </w:pPr>
      <w:bookmarkStart w:id="203" w:name="_Toc6610656"/>
      <w:bookmarkStart w:id="204" w:name="_Toc6614073"/>
      <w:r w:rsidRPr="00B3369E">
        <w:rPr>
          <w:rStyle w:val="Heading3Char"/>
          <w:rFonts w:ascii="Times New Roman" w:hAnsi="Times New Roman" w:cs="Times New Roman"/>
          <w:color w:val="943634" w:themeColor="accent2" w:themeShade="BF"/>
          <w:sz w:val="24"/>
          <w:szCs w:val="24"/>
        </w:rPr>
        <w:t>5.4.1 Capital Conservation Buffer:</w:t>
      </w:r>
      <w:bookmarkEnd w:id="203"/>
      <w:bookmarkEnd w:id="204"/>
      <w:r w:rsidRPr="00B3369E">
        <w:rPr>
          <w:rFonts w:ascii="Times New Roman" w:hAnsi="Times New Roman" w:cs="Times New Roman"/>
          <w:b/>
          <w:bCs/>
          <w:sz w:val="24"/>
          <w:szCs w:val="24"/>
          <w:shd w:val="clear" w:color="auto" w:fill="FFFFFF"/>
        </w:rPr>
        <w:t xml:space="preserve"> </w:t>
      </w:r>
      <w:r w:rsidRPr="00B3369E">
        <w:rPr>
          <w:rFonts w:ascii="Times New Roman" w:hAnsi="Times New Roman" w:cs="Times New Roman"/>
          <w:color w:val="212121"/>
          <w:sz w:val="24"/>
          <w:szCs w:val="24"/>
        </w:rPr>
        <w:t xml:space="preserve">Banks should maintain 2.5% capital saving buffer, with a minimum of 10% controller minimum capital requirement, with the existing equity Tier 1 capital. If the capital level falls within this limit, the banks cannot distribute the capital (i.e. dividend or bonus by any means). </w:t>
      </w:r>
      <w:r w:rsidRPr="00B3369E">
        <w:rPr>
          <w:rFonts w:ascii="Times New Roman" w:hAnsi="Times New Roman" w:cs="Times New Roman"/>
          <w:sz w:val="24"/>
          <w:szCs w:val="24"/>
        </w:rPr>
        <w:t xml:space="preserve"> </w:t>
      </w:r>
      <w:r w:rsidRPr="00B3369E">
        <w:rPr>
          <w:rFonts w:ascii="Times New Roman" w:hAnsi="Times New Roman" w:cs="Times New Roman"/>
          <w:color w:val="212121"/>
          <w:sz w:val="24"/>
          <w:szCs w:val="24"/>
          <w:shd w:val="clear" w:color="auto" w:fill="FFFFFF"/>
        </w:rPr>
        <w:t>However, when they fall in the familiar environment due to the unfolding of their capital, they will be able to manage as normal business as usual. Therefore, the imposed limitations are not only related to distribution and operations of banks. When the banks increase their range of capital levels, the restrictions that are distributed to banks are "The levels of capital reach the lowest requirements." Basel III, the new capital reserve market in Bangladesh is still not implemented in most banks.</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 general equity Tier 1 ratio used to be used to meet 4.5% of the general equity Tier 1 capital requirement, but to meet any additional common equity Tier 1 requirement 7% Tier 1 and 10% of the entire capital to be pruned. For example, a bank common equity Tier 1 maintains 8% capital, 1% additional rows 1 and 1% tier 2 capitals. Therefore, all the capital's capital came to be sought, but there was a zero conservation conflict, and therefore, the bank was 100% limited by the bonus, as per the requirement of share-buybacks and bonus on the distribution of capital. If a bank has no less than 7% fixed income and there is a general equity Tier 1 ratio, it should not make sure net distribution.</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Tables"/>
      </w:pPr>
      <w:bookmarkStart w:id="205" w:name="_Toc6620261"/>
      <w:r w:rsidRPr="00B3369E">
        <w:t xml:space="preserve">Table 5: </w:t>
      </w:r>
      <w:r w:rsidR="00276A72">
        <w:fldChar w:fldCharType="begin"/>
      </w:r>
      <w:r w:rsidR="002324C7">
        <w:instrText xml:space="preserve"> SEQ Table_4: \* ARABIC </w:instrText>
      </w:r>
      <w:r w:rsidR="00276A72">
        <w:fldChar w:fldCharType="separate"/>
      </w:r>
      <w:r w:rsidRPr="00B3369E">
        <w:rPr>
          <w:noProof/>
        </w:rPr>
        <w:t>1</w:t>
      </w:r>
      <w:r w:rsidR="00276A72">
        <w:rPr>
          <w:noProof/>
        </w:rPr>
        <w:fldChar w:fldCharType="end"/>
      </w:r>
      <w:r w:rsidRPr="00B3369E">
        <w:t xml:space="preserve"> Individual bank’s minimum capital conservation standards</w:t>
      </w:r>
      <w:bookmarkEnd w:id="205"/>
    </w:p>
    <w:tbl>
      <w:tblPr>
        <w:tblStyle w:val="TableGrid"/>
        <w:tblW w:w="5000" w:type="pct"/>
        <w:jc w:val="center"/>
        <w:tblLook w:val="04A0"/>
      </w:tblPr>
      <w:tblGrid>
        <w:gridCol w:w="2268"/>
        <w:gridCol w:w="6975"/>
      </w:tblGrid>
      <w:tr w:rsidR="00B3369E" w:rsidRPr="00B3369E" w:rsidTr="004838D2">
        <w:trPr>
          <w:trHeight w:val="380"/>
          <w:jc w:val="center"/>
        </w:trPr>
        <w:tc>
          <w:tcPr>
            <w:tcW w:w="1227" w:type="pct"/>
          </w:tcPr>
          <w:p w:rsidR="00B3369E" w:rsidRPr="00B3369E" w:rsidRDefault="00B3369E" w:rsidP="004838D2">
            <w:pPr>
              <w:pStyle w:val="Default"/>
              <w:jc w:val="center"/>
            </w:pPr>
            <w:r w:rsidRPr="00B3369E">
              <w:t>CET1 Ratio</w:t>
            </w:r>
          </w:p>
          <w:p w:rsidR="00B3369E" w:rsidRPr="00B3369E" w:rsidRDefault="00B3369E" w:rsidP="004838D2">
            <w:pPr>
              <w:pStyle w:val="HTMLPreformatted"/>
              <w:jc w:val="both"/>
              <w:rPr>
                <w:rFonts w:ascii="Times New Roman" w:hAnsi="Times New Roman" w:cs="Times New Roman"/>
                <w:color w:val="212121"/>
                <w:sz w:val="24"/>
                <w:szCs w:val="24"/>
              </w:rPr>
            </w:pPr>
          </w:p>
        </w:tc>
        <w:tc>
          <w:tcPr>
            <w:tcW w:w="3773" w:type="pct"/>
          </w:tcPr>
          <w:p w:rsidR="00B3369E" w:rsidRPr="00B3369E" w:rsidRDefault="00B3369E" w:rsidP="004838D2">
            <w:pPr>
              <w:pStyle w:val="Default"/>
              <w:jc w:val="both"/>
            </w:pPr>
            <w:r w:rsidRPr="00B3369E">
              <w:t xml:space="preserve">Minimum Capital Conservation Ratio  (expressed as percentage of earnings) </w:t>
            </w:r>
          </w:p>
        </w:tc>
      </w:tr>
      <w:tr w:rsidR="00B3369E" w:rsidRPr="00B3369E" w:rsidTr="004838D2">
        <w:trPr>
          <w:trHeight w:val="239"/>
          <w:jc w:val="center"/>
        </w:trPr>
        <w:tc>
          <w:tcPr>
            <w:tcW w:w="1227" w:type="pct"/>
          </w:tcPr>
          <w:p w:rsidR="00B3369E" w:rsidRPr="00B3369E" w:rsidRDefault="00B3369E" w:rsidP="004838D2">
            <w:pPr>
              <w:pStyle w:val="Default"/>
            </w:pPr>
            <w:r w:rsidRPr="00B3369E">
              <w:t>4.5% - 5.125%</w:t>
            </w:r>
          </w:p>
          <w:p w:rsidR="00B3369E" w:rsidRPr="00B3369E" w:rsidRDefault="00B3369E" w:rsidP="004838D2">
            <w:pPr>
              <w:pStyle w:val="HTMLPreformatted"/>
              <w:tabs>
                <w:tab w:val="left" w:pos="1523"/>
              </w:tabs>
              <w:rPr>
                <w:rFonts w:ascii="Times New Roman" w:hAnsi="Times New Roman" w:cs="Times New Roman"/>
                <w:color w:val="212121"/>
                <w:sz w:val="24"/>
                <w:szCs w:val="24"/>
              </w:rPr>
            </w:pPr>
          </w:p>
        </w:tc>
        <w:tc>
          <w:tcPr>
            <w:tcW w:w="3773" w:type="pct"/>
          </w:tcPr>
          <w:p w:rsidR="00B3369E" w:rsidRPr="00B3369E" w:rsidRDefault="00B3369E" w:rsidP="004838D2">
            <w:pPr>
              <w:pStyle w:val="Default"/>
              <w:jc w:val="center"/>
            </w:pPr>
            <w:r w:rsidRPr="00B3369E">
              <w:t>100%</w:t>
            </w:r>
          </w:p>
          <w:p w:rsidR="00B3369E" w:rsidRPr="00B3369E" w:rsidRDefault="00B3369E" w:rsidP="004838D2">
            <w:pPr>
              <w:pStyle w:val="HTMLPreformatted"/>
              <w:jc w:val="center"/>
              <w:rPr>
                <w:rFonts w:ascii="Times New Roman" w:hAnsi="Times New Roman" w:cs="Times New Roman"/>
                <w:color w:val="212121"/>
                <w:sz w:val="24"/>
                <w:szCs w:val="24"/>
              </w:rPr>
            </w:pPr>
          </w:p>
        </w:tc>
      </w:tr>
      <w:tr w:rsidR="00B3369E" w:rsidRPr="00B3369E" w:rsidTr="004838D2">
        <w:trPr>
          <w:trHeight w:val="380"/>
          <w:jc w:val="center"/>
        </w:trPr>
        <w:tc>
          <w:tcPr>
            <w:tcW w:w="1227" w:type="pct"/>
          </w:tcPr>
          <w:p w:rsidR="00B3369E" w:rsidRPr="00B3369E" w:rsidRDefault="00B3369E" w:rsidP="004838D2">
            <w:pPr>
              <w:pStyle w:val="Default"/>
            </w:pPr>
            <w:r w:rsidRPr="00B3369E">
              <w:t>&gt;5.125% - 5.75%</w:t>
            </w:r>
          </w:p>
          <w:p w:rsidR="00B3369E" w:rsidRPr="00B3369E" w:rsidRDefault="00B3369E" w:rsidP="004838D2">
            <w:pPr>
              <w:pStyle w:val="HTMLPreformatted"/>
              <w:rPr>
                <w:rFonts w:ascii="Times New Roman" w:hAnsi="Times New Roman" w:cs="Times New Roman"/>
                <w:color w:val="212121"/>
                <w:sz w:val="24"/>
                <w:szCs w:val="24"/>
              </w:rPr>
            </w:pPr>
          </w:p>
        </w:tc>
        <w:tc>
          <w:tcPr>
            <w:tcW w:w="3773" w:type="pct"/>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80%</w:t>
            </w:r>
          </w:p>
        </w:tc>
      </w:tr>
      <w:tr w:rsidR="00B3369E" w:rsidRPr="00B3369E" w:rsidTr="004838D2">
        <w:trPr>
          <w:trHeight w:val="370"/>
          <w:jc w:val="center"/>
        </w:trPr>
        <w:tc>
          <w:tcPr>
            <w:tcW w:w="1227" w:type="pct"/>
          </w:tcPr>
          <w:p w:rsidR="00B3369E" w:rsidRPr="00B3369E" w:rsidRDefault="00B3369E" w:rsidP="004838D2">
            <w:pPr>
              <w:pStyle w:val="Default"/>
            </w:pPr>
            <w:r w:rsidRPr="00B3369E">
              <w:t>&gt;5.75% - 6.375%</w:t>
            </w:r>
          </w:p>
          <w:p w:rsidR="00B3369E" w:rsidRPr="00B3369E" w:rsidRDefault="00B3369E" w:rsidP="004838D2">
            <w:pPr>
              <w:pStyle w:val="HTMLPreformatted"/>
              <w:rPr>
                <w:rFonts w:ascii="Times New Roman" w:hAnsi="Times New Roman" w:cs="Times New Roman"/>
                <w:color w:val="212121"/>
                <w:sz w:val="24"/>
                <w:szCs w:val="24"/>
              </w:rPr>
            </w:pPr>
          </w:p>
        </w:tc>
        <w:tc>
          <w:tcPr>
            <w:tcW w:w="3773" w:type="pct"/>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60%</w:t>
            </w:r>
          </w:p>
        </w:tc>
      </w:tr>
      <w:tr w:rsidR="00B3369E" w:rsidRPr="00B3369E" w:rsidTr="004838D2">
        <w:trPr>
          <w:trHeight w:val="380"/>
          <w:jc w:val="center"/>
        </w:trPr>
        <w:tc>
          <w:tcPr>
            <w:tcW w:w="1227" w:type="pct"/>
          </w:tcPr>
          <w:p w:rsidR="00B3369E" w:rsidRPr="00B3369E" w:rsidRDefault="00B3369E" w:rsidP="004838D2">
            <w:pPr>
              <w:pStyle w:val="Default"/>
            </w:pPr>
            <w:r w:rsidRPr="00B3369E">
              <w:t>&gt;6.375% - 7.0%</w:t>
            </w:r>
          </w:p>
          <w:p w:rsidR="00B3369E" w:rsidRPr="00B3369E" w:rsidRDefault="00B3369E" w:rsidP="004838D2">
            <w:pPr>
              <w:pStyle w:val="HTMLPreformatted"/>
              <w:rPr>
                <w:rFonts w:ascii="Times New Roman" w:hAnsi="Times New Roman" w:cs="Times New Roman"/>
                <w:color w:val="212121"/>
                <w:sz w:val="24"/>
                <w:szCs w:val="24"/>
              </w:rPr>
            </w:pPr>
          </w:p>
        </w:tc>
        <w:tc>
          <w:tcPr>
            <w:tcW w:w="3773" w:type="pct"/>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40%</w:t>
            </w:r>
          </w:p>
        </w:tc>
      </w:tr>
      <w:tr w:rsidR="00B3369E" w:rsidRPr="00B3369E" w:rsidTr="004838D2">
        <w:trPr>
          <w:trHeight w:val="138"/>
          <w:jc w:val="center"/>
        </w:trPr>
        <w:tc>
          <w:tcPr>
            <w:tcW w:w="1227" w:type="pct"/>
          </w:tcPr>
          <w:p w:rsidR="00B3369E" w:rsidRPr="00B3369E" w:rsidRDefault="00B3369E" w:rsidP="004838D2">
            <w:pPr>
              <w:pStyle w:val="Default"/>
            </w:pPr>
            <w:r w:rsidRPr="00B3369E">
              <w:t>&gt;7.0%</w:t>
            </w:r>
          </w:p>
          <w:p w:rsidR="00B3369E" w:rsidRPr="00B3369E" w:rsidRDefault="00B3369E" w:rsidP="004838D2">
            <w:pPr>
              <w:pStyle w:val="HTMLPreformatted"/>
              <w:rPr>
                <w:rFonts w:ascii="Times New Roman" w:hAnsi="Times New Roman" w:cs="Times New Roman"/>
                <w:color w:val="212121"/>
                <w:sz w:val="24"/>
                <w:szCs w:val="24"/>
              </w:rPr>
            </w:pPr>
          </w:p>
        </w:tc>
        <w:tc>
          <w:tcPr>
            <w:tcW w:w="3773" w:type="pct"/>
          </w:tcPr>
          <w:p w:rsidR="00B3369E" w:rsidRPr="00B3369E" w:rsidRDefault="00B3369E" w:rsidP="004838D2">
            <w:pPr>
              <w:pStyle w:val="HTMLPreformatted"/>
              <w:keepNext/>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0%</w:t>
            </w:r>
          </w:p>
        </w:tc>
      </w:tr>
    </w:tbl>
    <w:p w:rsidR="00B3369E" w:rsidRPr="00B3369E" w:rsidRDefault="00B3369E" w:rsidP="00B3369E">
      <w:pPr>
        <w:pStyle w:val="Caption"/>
        <w:spacing w:after="0" w:line="276" w:lineRule="auto"/>
        <w:rPr>
          <w:rFonts w:ascii="Times New Roman" w:hAnsi="Times New Roman" w:cs="Times New Roman"/>
          <w:b w:val="0"/>
          <w:bCs w:val="0"/>
          <w:color w:val="auto"/>
          <w:sz w:val="20"/>
          <w:szCs w:val="20"/>
          <w:shd w:val="clear" w:color="auto" w:fill="FFFFFF"/>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shd w:val="clear" w:color="auto" w:fill="FFFFFF"/>
        </w:rPr>
      </w:pPr>
      <w:bookmarkStart w:id="206" w:name="_Toc6610657"/>
      <w:bookmarkStart w:id="207" w:name="_Toc6614074"/>
      <w:r w:rsidRPr="00B3369E">
        <w:rPr>
          <w:rStyle w:val="Heading3Char"/>
          <w:rFonts w:ascii="Times New Roman" w:hAnsi="Times New Roman" w:cs="Times New Roman"/>
          <w:color w:val="943634" w:themeColor="accent2" w:themeShade="BF"/>
          <w:sz w:val="24"/>
          <w:szCs w:val="24"/>
        </w:rPr>
        <w:t>5.4.2 Transitional arrangements:</w:t>
      </w:r>
      <w:bookmarkEnd w:id="206"/>
      <w:bookmarkEnd w:id="207"/>
      <w:r w:rsidRPr="00B3369E">
        <w:rPr>
          <w:rFonts w:ascii="Times New Roman" w:hAnsi="Times New Roman" w:cs="Times New Roman"/>
          <w:color w:val="212121"/>
          <w:sz w:val="24"/>
          <w:szCs w:val="24"/>
        </w:rPr>
        <w:t xml:space="preserve"> The commencement of the commence changes in the new value which helps ensure that the banking sector can meet the high capital values ​​through imposing reasonable income and withdrawing the capital, although the economy still has to support lending. In line with the Basel III structure, the Bangladesh Bank has introduced a transitional arrangement for implementation of Basel III. In order to implement Basel III in Bangladesh phase-in will be followed as follows:</w:t>
      </w:r>
    </w:p>
    <w:p w:rsidR="00B3369E" w:rsidRPr="00B3369E" w:rsidRDefault="00B3369E" w:rsidP="00B3369E">
      <w:pPr>
        <w:pStyle w:val="HTMLPreformatted"/>
        <w:shd w:val="clear" w:color="auto" w:fill="FFFFFF"/>
        <w:spacing w:line="276" w:lineRule="auto"/>
        <w:jc w:val="both"/>
        <w:rPr>
          <w:rFonts w:ascii="Times New Roman" w:hAnsi="Times New Roman" w:cs="Times New Roman"/>
          <w:b/>
          <w:bCs/>
          <w:sz w:val="24"/>
          <w:szCs w:val="24"/>
          <w:shd w:val="clear" w:color="auto" w:fill="FFFFFF"/>
        </w:rPr>
      </w:pPr>
    </w:p>
    <w:p w:rsidR="00B3369E" w:rsidRPr="00B3369E" w:rsidRDefault="00B3369E" w:rsidP="00B3369E">
      <w:pPr>
        <w:pStyle w:val="Tables"/>
      </w:pPr>
      <w:bookmarkStart w:id="208" w:name="_Toc6620262"/>
      <w:r w:rsidRPr="00B3369E">
        <w:t xml:space="preserve">Table 5: </w:t>
      </w:r>
      <w:r w:rsidR="00276A72">
        <w:fldChar w:fldCharType="begin"/>
      </w:r>
      <w:r w:rsidR="002324C7">
        <w:instrText xml:space="preserve"> SEQ Table_4: \* ARABIC </w:instrText>
      </w:r>
      <w:r w:rsidR="00276A72">
        <w:fldChar w:fldCharType="separate"/>
      </w:r>
      <w:r w:rsidRPr="00B3369E">
        <w:rPr>
          <w:noProof/>
        </w:rPr>
        <w:t>2</w:t>
      </w:r>
      <w:r w:rsidR="00276A72">
        <w:rPr>
          <w:noProof/>
        </w:rPr>
        <w:fldChar w:fldCharType="end"/>
      </w:r>
      <w:r w:rsidRPr="00B3369E">
        <w:t xml:space="preserve"> Phase-in systems for Basel III Roadmap implementation in Bangladesh</w:t>
      </w:r>
      <w:bookmarkEnd w:id="208"/>
    </w:p>
    <w:tbl>
      <w:tblPr>
        <w:tblStyle w:val="TableGrid"/>
        <w:tblW w:w="5000" w:type="pct"/>
        <w:jc w:val="center"/>
        <w:tblLook w:val="04A0"/>
      </w:tblPr>
      <w:tblGrid>
        <w:gridCol w:w="4226"/>
        <w:gridCol w:w="736"/>
        <w:gridCol w:w="816"/>
        <w:gridCol w:w="1176"/>
        <w:gridCol w:w="816"/>
        <w:gridCol w:w="736"/>
        <w:gridCol w:w="737"/>
      </w:tblGrid>
      <w:tr w:rsidR="00B3369E" w:rsidRPr="00B3369E" w:rsidTr="004838D2">
        <w:trPr>
          <w:trHeight w:val="404"/>
          <w:jc w:val="center"/>
        </w:trPr>
        <w:tc>
          <w:tcPr>
            <w:tcW w:w="2287"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Particulars</w:t>
            </w: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2015</w:t>
            </w: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2016</w:t>
            </w: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2017</w:t>
            </w: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2018</w:t>
            </w: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2019</w:t>
            </w: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2020</w:t>
            </w:r>
          </w:p>
        </w:tc>
      </w:tr>
      <w:tr w:rsidR="00B3369E" w:rsidRPr="00B3369E" w:rsidTr="004838D2">
        <w:trPr>
          <w:trHeight w:val="404"/>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 xml:space="preserve">Minimum Common Equity Tier-1 (CET-1) Capital Ratio </w:t>
            </w:r>
          </w:p>
          <w:p w:rsidR="00B3369E" w:rsidRPr="00B3369E" w:rsidRDefault="00B3369E" w:rsidP="004838D2">
            <w:pPr>
              <w:pStyle w:val="HTMLPreformatted"/>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4.50%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5.50%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6.00%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6.00%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6.00%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tcPr>
          <w:p w:rsidR="00B3369E" w:rsidRPr="00B3369E" w:rsidRDefault="00B3369E" w:rsidP="004838D2">
            <w:pPr>
              <w:pStyle w:val="Default"/>
              <w:jc w:val="center"/>
              <w:rPr>
                <w:b/>
                <w:bCs/>
                <w:color w:val="auto"/>
                <w:sz w:val="16"/>
                <w:szCs w:val="16"/>
              </w:rPr>
            </w:pPr>
            <w:r w:rsidRPr="00B3369E">
              <w:rPr>
                <w:b/>
                <w:bCs/>
                <w:color w:val="auto"/>
                <w:sz w:val="16"/>
                <w:szCs w:val="16"/>
              </w:rPr>
              <w:t>6.00%</w:t>
            </w:r>
          </w:p>
          <w:p w:rsidR="00B3369E" w:rsidRPr="00B3369E" w:rsidRDefault="00B3369E" w:rsidP="004838D2">
            <w:pPr>
              <w:pStyle w:val="Default"/>
              <w:jc w:val="center"/>
              <w:rPr>
                <w:b/>
                <w:bCs/>
                <w:color w:val="auto"/>
                <w:sz w:val="16"/>
                <w:szCs w:val="16"/>
              </w:rPr>
            </w:pPr>
          </w:p>
        </w:tc>
      </w:tr>
      <w:tr w:rsidR="00B3369E" w:rsidRPr="00B3369E" w:rsidTr="004838D2">
        <w:trPr>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 xml:space="preserve">Plus Capital Conservation Buffer </w:t>
            </w:r>
          </w:p>
          <w:p w:rsidR="00B3369E" w:rsidRPr="00B3369E" w:rsidRDefault="00B3369E" w:rsidP="004838D2">
            <w:pPr>
              <w:pStyle w:val="HTMLPreformatted"/>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0.625%</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1.25%</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1.875%</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2.50%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tcPr>
          <w:p w:rsidR="00B3369E" w:rsidRPr="00B3369E" w:rsidRDefault="00B3369E" w:rsidP="004838D2">
            <w:pPr>
              <w:pStyle w:val="Default"/>
              <w:jc w:val="center"/>
              <w:rPr>
                <w:b/>
                <w:bCs/>
                <w:color w:val="auto"/>
                <w:sz w:val="16"/>
                <w:szCs w:val="16"/>
              </w:rPr>
            </w:pPr>
            <w:r w:rsidRPr="00B3369E">
              <w:rPr>
                <w:b/>
                <w:bCs/>
                <w:color w:val="auto"/>
                <w:sz w:val="16"/>
                <w:szCs w:val="16"/>
              </w:rPr>
              <w:t>2.50%</w:t>
            </w:r>
          </w:p>
          <w:p w:rsidR="00B3369E" w:rsidRPr="00B3369E" w:rsidRDefault="00B3369E" w:rsidP="004838D2">
            <w:pPr>
              <w:pStyle w:val="Default"/>
              <w:jc w:val="center"/>
              <w:rPr>
                <w:b/>
                <w:bCs/>
                <w:color w:val="auto"/>
                <w:sz w:val="16"/>
                <w:szCs w:val="16"/>
              </w:rPr>
            </w:pPr>
          </w:p>
        </w:tc>
      </w:tr>
      <w:tr w:rsidR="00B3369E" w:rsidRPr="00B3369E" w:rsidTr="004838D2">
        <w:trPr>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 xml:space="preserve">Minimum CET-1 plus Capital Conservation Buffer </w:t>
            </w:r>
          </w:p>
          <w:p w:rsidR="00B3369E" w:rsidRPr="00B3369E" w:rsidRDefault="00B3369E" w:rsidP="004838D2">
            <w:pPr>
              <w:pStyle w:val="HTMLPreformatted"/>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4. 50%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6.125%</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7.75%</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7.875%</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8.50%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tcPr>
          <w:p w:rsidR="00B3369E" w:rsidRPr="00B3369E" w:rsidRDefault="00B3369E" w:rsidP="004838D2">
            <w:pPr>
              <w:pStyle w:val="Default"/>
              <w:jc w:val="center"/>
              <w:rPr>
                <w:b/>
                <w:bCs/>
                <w:color w:val="auto"/>
                <w:sz w:val="16"/>
                <w:szCs w:val="16"/>
              </w:rPr>
            </w:pPr>
            <w:r w:rsidRPr="00B3369E">
              <w:rPr>
                <w:b/>
                <w:bCs/>
                <w:color w:val="auto"/>
                <w:sz w:val="16"/>
                <w:szCs w:val="16"/>
              </w:rPr>
              <w:t>8.50%</w:t>
            </w:r>
          </w:p>
          <w:p w:rsidR="00B3369E" w:rsidRPr="00B3369E" w:rsidRDefault="00B3369E" w:rsidP="004838D2">
            <w:pPr>
              <w:pStyle w:val="Default"/>
              <w:jc w:val="center"/>
              <w:rPr>
                <w:b/>
                <w:bCs/>
                <w:color w:val="auto"/>
                <w:sz w:val="16"/>
                <w:szCs w:val="16"/>
              </w:rPr>
            </w:pPr>
          </w:p>
        </w:tc>
      </w:tr>
      <w:tr w:rsidR="00B3369E" w:rsidRPr="00B3369E" w:rsidTr="004838D2">
        <w:trPr>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 xml:space="preserve">Minimum T-1 Capital Ratio </w:t>
            </w:r>
          </w:p>
          <w:p w:rsidR="00B3369E" w:rsidRPr="00B3369E" w:rsidRDefault="00B3369E" w:rsidP="004838D2">
            <w:pPr>
              <w:pStyle w:val="HTMLPreformatted"/>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5.50%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5.50%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6.00%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6.00%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6.00%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tcPr>
          <w:p w:rsidR="00B3369E" w:rsidRPr="00B3369E" w:rsidRDefault="00B3369E" w:rsidP="004838D2">
            <w:pPr>
              <w:pStyle w:val="Default"/>
              <w:jc w:val="center"/>
              <w:rPr>
                <w:b/>
                <w:bCs/>
                <w:color w:val="auto"/>
                <w:sz w:val="16"/>
                <w:szCs w:val="16"/>
              </w:rPr>
            </w:pPr>
            <w:r w:rsidRPr="00B3369E">
              <w:rPr>
                <w:b/>
                <w:bCs/>
                <w:color w:val="auto"/>
                <w:sz w:val="16"/>
                <w:szCs w:val="16"/>
              </w:rPr>
              <w:t>6.00%</w:t>
            </w:r>
          </w:p>
          <w:p w:rsidR="00B3369E" w:rsidRPr="00B3369E" w:rsidRDefault="00B3369E" w:rsidP="004838D2">
            <w:pPr>
              <w:pStyle w:val="Default"/>
              <w:jc w:val="center"/>
              <w:rPr>
                <w:b/>
                <w:bCs/>
                <w:color w:val="auto"/>
                <w:sz w:val="16"/>
                <w:szCs w:val="16"/>
              </w:rPr>
            </w:pPr>
          </w:p>
        </w:tc>
      </w:tr>
      <w:tr w:rsidR="00B3369E" w:rsidRPr="00B3369E" w:rsidTr="004838D2">
        <w:trPr>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 xml:space="preserve">Minimum T-2 Capital Ratio </w:t>
            </w:r>
          </w:p>
          <w:p w:rsidR="00B3369E" w:rsidRPr="00B3369E" w:rsidRDefault="00B3369E" w:rsidP="004838D2">
            <w:pPr>
              <w:pStyle w:val="Default"/>
              <w:rPr>
                <w:b/>
                <w:bCs/>
                <w:color w:val="auto"/>
                <w:sz w:val="16"/>
                <w:szCs w:val="16"/>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4.5%</w:t>
            </w: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4.5%</w:t>
            </w: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4.0%</w:t>
            </w: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4.0%</w:t>
            </w: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4.0%</w:t>
            </w: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4.0%</w:t>
            </w:r>
          </w:p>
        </w:tc>
      </w:tr>
      <w:tr w:rsidR="00B3369E" w:rsidRPr="00B3369E" w:rsidTr="004838D2">
        <w:trPr>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 xml:space="preserve">Minimum Total Capital Ratio </w:t>
            </w:r>
          </w:p>
          <w:p w:rsidR="00B3369E" w:rsidRPr="00B3369E" w:rsidRDefault="00B3369E" w:rsidP="004838D2">
            <w:pPr>
              <w:pStyle w:val="HTMLPreformatted"/>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10.00%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10.00%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10.00%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10.00%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10.00%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tcPr>
          <w:p w:rsidR="00B3369E" w:rsidRPr="00B3369E" w:rsidRDefault="00B3369E" w:rsidP="004838D2">
            <w:pPr>
              <w:pStyle w:val="Default"/>
              <w:jc w:val="center"/>
              <w:rPr>
                <w:b/>
                <w:bCs/>
                <w:color w:val="auto"/>
                <w:sz w:val="16"/>
                <w:szCs w:val="16"/>
              </w:rPr>
            </w:pPr>
            <w:r w:rsidRPr="00B3369E">
              <w:rPr>
                <w:b/>
                <w:bCs/>
                <w:color w:val="auto"/>
                <w:sz w:val="16"/>
                <w:szCs w:val="16"/>
              </w:rPr>
              <w:t>10.00%</w:t>
            </w:r>
          </w:p>
        </w:tc>
      </w:tr>
      <w:tr w:rsidR="00B3369E" w:rsidRPr="00B3369E" w:rsidTr="004838D2">
        <w:trPr>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 xml:space="preserve">Minimum Total Capital plus Capital Conservation Buffer </w:t>
            </w:r>
          </w:p>
          <w:p w:rsidR="00B3369E" w:rsidRPr="00B3369E" w:rsidRDefault="00B3369E" w:rsidP="004838D2">
            <w:pPr>
              <w:pStyle w:val="HTMLPreformatted"/>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10.00%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10.625%</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11.25%</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11.875%</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12.50%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tcPr>
          <w:p w:rsidR="00B3369E" w:rsidRPr="00B3369E" w:rsidRDefault="00B3369E" w:rsidP="004838D2">
            <w:pPr>
              <w:pStyle w:val="Default"/>
              <w:jc w:val="center"/>
              <w:rPr>
                <w:b/>
                <w:bCs/>
                <w:color w:val="auto"/>
                <w:sz w:val="16"/>
                <w:szCs w:val="16"/>
              </w:rPr>
            </w:pPr>
            <w:r w:rsidRPr="00B3369E">
              <w:rPr>
                <w:b/>
                <w:bCs/>
                <w:color w:val="auto"/>
                <w:sz w:val="16"/>
                <w:szCs w:val="16"/>
              </w:rPr>
              <w:t>12.50%</w:t>
            </w:r>
          </w:p>
        </w:tc>
      </w:tr>
      <w:tr w:rsidR="00B3369E" w:rsidRPr="00B3369E" w:rsidTr="004838D2">
        <w:trPr>
          <w:jc w:val="center"/>
        </w:trPr>
        <w:tc>
          <w:tcPr>
            <w:tcW w:w="5000" w:type="pct"/>
            <w:gridSpan w:val="7"/>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Phase-in of deductions from CET1</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r>
      <w:tr w:rsidR="00B3369E" w:rsidRPr="00B3369E" w:rsidTr="004838D2">
        <w:trPr>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Excess Investment over 10% of a bank’s equity in the equity of banking, financial and insurance entities2</w:t>
            </w:r>
          </w:p>
          <w:p w:rsidR="00B3369E" w:rsidRPr="00B3369E" w:rsidRDefault="00B3369E" w:rsidP="004838D2">
            <w:pPr>
              <w:pStyle w:val="HTMLPreformatted"/>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w:t>
            </w: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40%</w:t>
            </w: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60%</w:t>
            </w: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80%</w:t>
            </w: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100%</w:t>
            </w: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100%</w:t>
            </w:r>
          </w:p>
        </w:tc>
      </w:tr>
      <w:tr w:rsidR="00B3369E" w:rsidRPr="00B3369E" w:rsidTr="004838D2">
        <w:trPr>
          <w:jc w:val="center"/>
        </w:trPr>
        <w:tc>
          <w:tcPr>
            <w:tcW w:w="5000" w:type="pct"/>
            <w:gridSpan w:val="7"/>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Phase-in of deductions from Tier 2 Revaluation Reserves (RR)3</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r>
      <w:tr w:rsidR="00B3369E" w:rsidRPr="00B3369E" w:rsidTr="004838D2">
        <w:trPr>
          <w:trHeight w:val="224"/>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 xml:space="preserve">RR for Fixed Assets, Securities and Equity Securities </w:t>
            </w:r>
          </w:p>
          <w:p w:rsidR="00B3369E" w:rsidRPr="00B3369E" w:rsidRDefault="00B3369E" w:rsidP="004838D2">
            <w:pPr>
              <w:pStyle w:val="HTMLPreformatted"/>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40%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60%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80%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100%</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398" w:type="pct"/>
            <w:shd w:val="clear" w:color="auto" w:fill="auto"/>
          </w:tcPr>
          <w:p w:rsidR="00B3369E" w:rsidRPr="00B3369E" w:rsidRDefault="00B3369E" w:rsidP="004838D2">
            <w:pPr>
              <w:pStyle w:val="Default"/>
              <w:jc w:val="center"/>
              <w:rPr>
                <w:b/>
                <w:bCs/>
                <w:color w:val="auto"/>
                <w:sz w:val="16"/>
                <w:szCs w:val="16"/>
              </w:rPr>
            </w:pPr>
            <w:r w:rsidRPr="00B3369E">
              <w:rPr>
                <w:b/>
                <w:bCs/>
                <w:color w:val="auto"/>
                <w:sz w:val="16"/>
                <w:szCs w:val="16"/>
              </w:rPr>
              <w:t>100%</w:t>
            </w:r>
          </w:p>
        </w:tc>
      </w:tr>
      <w:tr w:rsidR="00B3369E" w:rsidRPr="00B3369E" w:rsidTr="004838D2">
        <w:trPr>
          <w:trHeight w:val="224"/>
          <w:jc w:val="center"/>
        </w:trPr>
        <w:tc>
          <w:tcPr>
            <w:tcW w:w="5000" w:type="pct"/>
            <w:gridSpan w:val="7"/>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For Liquidity management, BBI Introduced different ratios under:</w:t>
            </w:r>
          </w:p>
        </w:tc>
      </w:tr>
      <w:tr w:rsidR="00B3369E" w:rsidRPr="00B3369E" w:rsidTr="004838D2">
        <w:trPr>
          <w:trHeight w:val="224"/>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Particulars</w:t>
            </w: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2015</w:t>
            </w: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2016</w:t>
            </w: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2017</w:t>
            </w: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2018</w:t>
            </w:r>
          </w:p>
        </w:tc>
        <w:tc>
          <w:tcPr>
            <w:tcW w:w="796" w:type="pct"/>
            <w:gridSpan w:val="2"/>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2019</w:t>
            </w:r>
          </w:p>
        </w:tc>
      </w:tr>
      <w:tr w:rsidR="00B3369E" w:rsidRPr="00B3369E" w:rsidTr="004838D2">
        <w:trPr>
          <w:trHeight w:val="206"/>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 xml:space="preserve">Leverage Ratio </w:t>
            </w:r>
          </w:p>
          <w:p w:rsidR="00B3369E" w:rsidRPr="00B3369E" w:rsidRDefault="00B3369E" w:rsidP="004838D2">
            <w:pPr>
              <w:pStyle w:val="HTMLPreformatted"/>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3% </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3% </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3% </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r w:rsidRPr="00B3369E">
              <w:rPr>
                <w:rFonts w:ascii="Times New Roman" w:hAnsi="Times New Roman" w:cs="Times New Roman"/>
                <w:b/>
                <w:bCs/>
                <w:sz w:val="16"/>
                <w:szCs w:val="16"/>
              </w:rPr>
              <w:t xml:space="preserve">Readjustment </w:t>
            </w:r>
          </w:p>
        </w:tc>
        <w:tc>
          <w:tcPr>
            <w:tcW w:w="1238" w:type="pct"/>
            <w:gridSpan w:val="3"/>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Migration to Pillar 1 </w:t>
            </w:r>
          </w:p>
          <w:p w:rsidR="00B3369E" w:rsidRPr="00B3369E" w:rsidRDefault="00B3369E" w:rsidP="004838D2">
            <w:pPr>
              <w:pStyle w:val="Default"/>
              <w:jc w:val="center"/>
              <w:rPr>
                <w:b/>
                <w:bCs/>
                <w:color w:val="auto"/>
                <w:sz w:val="16"/>
                <w:szCs w:val="16"/>
              </w:rPr>
            </w:pPr>
          </w:p>
        </w:tc>
      </w:tr>
      <w:tr w:rsidR="00B3369E" w:rsidRPr="00B3369E" w:rsidTr="004838D2">
        <w:trPr>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Liquidity Coverage Ratio  (LCR)</w:t>
            </w:r>
          </w:p>
          <w:p w:rsidR="00B3369E" w:rsidRPr="00B3369E" w:rsidRDefault="00B3369E" w:rsidP="004838D2">
            <w:pPr>
              <w:pStyle w:val="HTMLPreformatted"/>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≥100% </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r w:rsidRPr="00B3369E">
              <w:rPr>
                <w:rFonts w:ascii="Times New Roman" w:hAnsi="Times New Roman" w:cs="Times New Roman"/>
                <w:b/>
                <w:bCs/>
                <w:sz w:val="16"/>
                <w:szCs w:val="16"/>
              </w:rPr>
              <w:t xml:space="preserve">(From Sep.) </w:t>
            </w: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≥100% </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≥100% </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≥100% </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796" w:type="pct"/>
            <w:gridSpan w:val="2"/>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≥100% </w:t>
            </w:r>
          </w:p>
          <w:p w:rsidR="00B3369E" w:rsidRPr="00B3369E" w:rsidRDefault="00B3369E" w:rsidP="004838D2">
            <w:pPr>
              <w:pStyle w:val="Default"/>
              <w:jc w:val="center"/>
              <w:rPr>
                <w:b/>
                <w:bCs/>
                <w:color w:val="auto"/>
                <w:sz w:val="16"/>
                <w:szCs w:val="16"/>
              </w:rPr>
            </w:pPr>
          </w:p>
        </w:tc>
      </w:tr>
      <w:tr w:rsidR="00B3369E" w:rsidRPr="00B3369E" w:rsidTr="004838D2">
        <w:trPr>
          <w:jc w:val="center"/>
        </w:trPr>
        <w:tc>
          <w:tcPr>
            <w:tcW w:w="2287" w:type="pct"/>
            <w:shd w:val="clear" w:color="auto" w:fill="auto"/>
            <w:vAlign w:val="center"/>
          </w:tcPr>
          <w:p w:rsidR="00B3369E" w:rsidRPr="00B3369E" w:rsidRDefault="00B3369E" w:rsidP="004838D2">
            <w:pPr>
              <w:pStyle w:val="Default"/>
              <w:rPr>
                <w:b/>
                <w:bCs/>
                <w:color w:val="auto"/>
                <w:sz w:val="16"/>
                <w:szCs w:val="16"/>
              </w:rPr>
            </w:pPr>
            <w:r w:rsidRPr="00B3369E">
              <w:rPr>
                <w:b/>
                <w:bCs/>
                <w:color w:val="auto"/>
                <w:sz w:val="16"/>
                <w:szCs w:val="16"/>
              </w:rPr>
              <w:t>Net Stable Funding Ratio  (NSFR)</w:t>
            </w:r>
          </w:p>
          <w:p w:rsidR="00B3369E" w:rsidRPr="00B3369E" w:rsidRDefault="00B3369E" w:rsidP="004838D2">
            <w:pPr>
              <w:pStyle w:val="HTMLPreformatted"/>
              <w:rPr>
                <w:rFonts w:ascii="Times New Roman" w:hAnsi="Times New Roman" w:cs="Times New Roman"/>
                <w:b/>
                <w:bCs/>
                <w:sz w:val="16"/>
                <w:szCs w:val="16"/>
                <w:shd w:val="clear" w:color="auto" w:fill="FFFFFF"/>
              </w:rPr>
            </w:pPr>
          </w:p>
        </w:tc>
        <w:tc>
          <w:tcPr>
            <w:tcW w:w="398"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&gt; 100% </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r w:rsidRPr="00B3369E">
              <w:rPr>
                <w:rFonts w:ascii="Times New Roman" w:hAnsi="Times New Roman" w:cs="Times New Roman"/>
                <w:b/>
                <w:bCs/>
                <w:sz w:val="16"/>
                <w:szCs w:val="16"/>
              </w:rPr>
              <w:t xml:space="preserve">(From Sep.) </w:t>
            </w: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&gt;100% </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636"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&gt;100% </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441" w:type="pct"/>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&gt;100% </w:t>
            </w:r>
          </w:p>
          <w:p w:rsidR="00B3369E" w:rsidRPr="00B3369E" w:rsidRDefault="00B3369E" w:rsidP="004838D2">
            <w:pPr>
              <w:pStyle w:val="HTMLPreformatted"/>
              <w:jc w:val="center"/>
              <w:rPr>
                <w:rFonts w:ascii="Times New Roman" w:hAnsi="Times New Roman" w:cs="Times New Roman"/>
                <w:b/>
                <w:bCs/>
                <w:sz w:val="16"/>
                <w:szCs w:val="16"/>
                <w:shd w:val="clear" w:color="auto" w:fill="FFFFFF"/>
              </w:rPr>
            </w:pPr>
          </w:p>
        </w:tc>
        <w:tc>
          <w:tcPr>
            <w:tcW w:w="796" w:type="pct"/>
            <w:gridSpan w:val="2"/>
            <w:shd w:val="clear" w:color="auto" w:fill="auto"/>
            <w:vAlign w:val="center"/>
          </w:tcPr>
          <w:p w:rsidR="00B3369E" w:rsidRPr="00B3369E" w:rsidRDefault="00B3369E" w:rsidP="004838D2">
            <w:pPr>
              <w:pStyle w:val="Default"/>
              <w:jc w:val="center"/>
              <w:rPr>
                <w:b/>
                <w:bCs/>
                <w:color w:val="auto"/>
                <w:sz w:val="16"/>
                <w:szCs w:val="16"/>
              </w:rPr>
            </w:pPr>
            <w:r w:rsidRPr="00B3369E">
              <w:rPr>
                <w:b/>
                <w:bCs/>
                <w:color w:val="auto"/>
                <w:sz w:val="16"/>
                <w:szCs w:val="16"/>
              </w:rPr>
              <w:t xml:space="preserve">&gt;100% </w:t>
            </w:r>
          </w:p>
          <w:p w:rsidR="00B3369E" w:rsidRPr="00B3369E" w:rsidRDefault="00B3369E" w:rsidP="004838D2">
            <w:pPr>
              <w:pStyle w:val="Default"/>
              <w:jc w:val="center"/>
              <w:rPr>
                <w:b/>
                <w:bCs/>
                <w:color w:val="auto"/>
                <w:sz w:val="16"/>
                <w:szCs w:val="16"/>
              </w:rPr>
            </w:pPr>
          </w:p>
        </w:tc>
      </w:tr>
    </w:tbl>
    <w:p w:rsidR="00B3369E" w:rsidRPr="00B3369E" w:rsidRDefault="00B3369E" w:rsidP="00B3369E">
      <w:pPr>
        <w:rPr>
          <w:rFonts w:ascii="Times New Roman" w:hAnsi="Times New Roman" w:cs="Times New Roman"/>
        </w:rPr>
      </w:pPr>
    </w:p>
    <w:p w:rsidR="00B3369E" w:rsidRPr="00B3369E" w:rsidRDefault="00B3369E" w:rsidP="00B3369E">
      <w:pPr>
        <w:pStyle w:val="Heading1"/>
        <w:jc w:val="center"/>
        <w:rPr>
          <w:rFonts w:ascii="Times New Roman" w:hAnsi="Times New Roman" w:cs="Times New Roman"/>
          <w:color w:val="002060"/>
          <w:sz w:val="32"/>
          <w:szCs w:val="32"/>
        </w:rPr>
      </w:pPr>
      <w:bookmarkStart w:id="209" w:name="_Toc6610658"/>
      <w:bookmarkStart w:id="210" w:name="_Toc6614075"/>
      <w:r w:rsidRPr="00B3369E">
        <w:rPr>
          <w:rFonts w:ascii="Times New Roman" w:hAnsi="Times New Roman" w:cs="Times New Roman"/>
          <w:color w:val="002060"/>
          <w:sz w:val="32"/>
          <w:szCs w:val="32"/>
        </w:rPr>
        <w:t>Chapter-6: DBBL Basel III Risk Based Capital Adequacy Ratio</w:t>
      </w:r>
      <w:bookmarkEnd w:id="209"/>
      <w:bookmarkEnd w:id="210"/>
      <w:r w:rsidR="003E5752">
        <w:rPr>
          <w:rFonts w:ascii="Times New Roman" w:hAnsi="Times New Roman" w:cs="Times New Roman"/>
          <w:color w:val="002060"/>
          <w:sz w:val="32"/>
          <w:szCs w:val="32"/>
        </w:rPr>
        <w:t>s</w:t>
      </w:r>
    </w:p>
    <w:p w:rsidR="00B3369E" w:rsidRPr="00B3369E" w:rsidRDefault="00B3369E" w:rsidP="00B3369E">
      <w:pPr>
        <w:rPr>
          <w:rFonts w:ascii="Times New Roman" w:hAnsi="Times New Roman" w:cs="Times New Roman"/>
        </w:rPr>
      </w:pPr>
    </w:p>
    <w:p w:rsidR="00B3369E" w:rsidRPr="00B3369E" w:rsidRDefault="00B3369E" w:rsidP="00B3369E">
      <w:pPr>
        <w:pStyle w:val="Heading2"/>
        <w:spacing w:before="0"/>
        <w:jc w:val="both"/>
        <w:rPr>
          <w:rFonts w:ascii="Times New Roman" w:hAnsi="Times New Roman" w:cs="Times New Roman"/>
          <w:color w:val="632423" w:themeColor="accent2" w:themeShade="80"/>
          <w:sz w:val="24"/>
          <w:szCs w:val="24"/>
        </w:rPr>
      </w:pPr>
      <w:bookmarkStart w:id="211" w:name="_Toc6610659"/>
      <w:bookmarkStart w:id="212" w:name="_Toc6614076"/>
      <w:r w:rsidRPr="00B3369E">
        <w:rPr>
          <w:rFonts w:ascii="Times New Roman" w:hAnsi="Times New Roman" w:cs="Times New Roman"/>
          <w:color w:val="632423" w:themeColor="accent2" w:themeShade="80"/>
          <w:sz w:val="24"/>
          <w:szCs w:val="24"/>
        </w:rPr>
        <w:t>6.1 Basel III (Risk Based Capital Adequacy Ratio for banks) Implementation in Dutch-Bangla Bank Limited</w:t>
      </w:r>
      <w:bookmarkEnd w:id="211"/>
      <w:bookmarkEnd w:id="212"/>
      <w:r w:rsidRPr="00B3369E">
        <w:rPr>
          <w:rFonts w:ascii="Times New Roman" w:hAnsi="Times New Roman" w:cs="Times New Roman"/>
          <w:color w:val="632423" w:themeColor="accent2" w:themeShade="80"/>
          <w:sz w:val="24"/>
          <w:szCs w:val="24"/>
        </w:rPr>
        <w:t xml:space="preserve"> </w:t>
      </w:r>
    </w:p>
    <w:p w:rsidR="00B3369E" w:rsidRPr="00B3369E" w:rsidRDefault="00B3369E" w:rsidP="00B3369E">
      <w:pPr>
        <w:pStyle w:val="HTMLPreformatted"/>
        <w:spacing w:line="276" w:lineRule="auto"/>
        <w:jc w:val="both"/>
        <w:rPr>
          <w:rFonts w:ascii="Times New Roman" w:eastAsiaTheme="minorHAnsi" w:hAnsi="Times New Roman" w:cs="Times New Roman"/>
          <w:sz w:val="22"/>
          <w:szCs w:val="28"/>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sz w:val="24"/>
          <w:szCs w:val="24"/>
        </w:rPr>
        <w:t xml:space="preserve">The implementation of Basel III of DBBL was started in 2015, the bank fulfill all the major requirements of Bangladesh Bank. DBBL Bank has fulfilled all the reporting requirements set by the central bank by 2015. </w:t>
      </w:r>
      <w:r w:rsidRPr="00B3369E">
        <w:rPr>
          <w:rFonts w:ascii="Times New Roman" w:hAnsi="Times New Roman" w:cs="Times New Roman"/>
          <w:color w:val="212121"/>
          <w:sz w:val="24"/>
          <w:szCs w:val="24"/>
          <w:shd w:val="clear" w:color="auto" w:fill="FFFFFF"/>
        </w:rPr>
        <w:t xml:space="preserve">In addition to </w:t>
      </w:r>
      <w:r w:rsidRPr="00B3369E">
        <w:rPr>
          <w:rFonts w:ascii="Times New Roman" w:eastAsia="Klavika-Bold" w:hAnsi="Times New Roman" w:cs="Times New Roman"/>
          <w:sz w:val="24"/>
          <w:szCs w:val="24"/>
        </w:rPr>
        <w:t>Capital to risk-weighted asset ratio [CRAR]</w:t>
      </w:r>
      <w:r w:rsidRPr="00B3369E">
        <w:rPr>
          <w:rFonts w:ascii="Times New Roman" w:hAnsi="Times New Roman" w:cs="Times New Roman"/>
          <w:color w:val="212121"/>
          <w:sz w:val="24"/>
          <w:szCs w:val="24"/>
          <w:shd w:val="clear" w:color="auto" w:fill="FFFFFF"/>
        </w:rPr>
        <w:t xml:space="preserve">, DBBL evaluates liquidity Coverage Ratio (LCR), Net Stable Fund Ratio (NSFR) and leverage ratio and submit the same in Bangladesh Bank Scheduled time. </w:t>
      </w:r>
      <w:r w:rsidRPr="00B3369E">
        <w:rPr>
          <w:rFonts w:ascii="Times New Roman" w:hAnsi="Times New Roman" w:cs="Times New Roman"/>
          <w:color w:val="212121"/>
          <w:sz w:val="24"/>
          <w:szCs w:val="24"/>
        </w:rPr>
        <w:t xml:space="preserve">An implementation committee headed by the Operation Committee has been formed. Basel III provides good training for proper training at office and abroad and executes better Basel III. DBBL have issued BDT 6.5 billion worth of bond to meet its Tier 2 Capital. </w:t>
      </w: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eading2"/>
        <w:spacing w:before="0"/>
        <w:jc w:val="both"/>
        <w:rPr>
          <w:rFonts w:ascii="Times New Roman" w:hAnsi="Times New Roman" w:cs="Times New Roman"/>
          <w:color w:val="632423" w:themeColor="accent2" w:themeShade="80"/>
          <w:sz w:val="24"/>
          <w:szCs w:val="24"/>
          <w:shd w:val="clear" w:color="auto" w:fill="FFFFFF"/>
        </w:rPr>
      </w:pPr>
      <w:bookmarkStart w:id="213" w:name="_Toc6610660"/>
      <w:bookmarkStart w:id="214" w:name="_Toc6614077"/>
      <w:r w:rsidRPr="00B3369E">
        <w:rPr>
          <w:rFonts w:ascii="Times New Roman" w:hAnsi="Times New Roman" w:cs="Times New Roman"/>
          <w:color w:val="632423" w:themeColor="accent2" w:themeShade="80"/>
          <w:sz w:val="24"/>
          <w:szCs w:val="24"/>
          <w:shd w:val="clear" w:color="auto" w:fill="FFFFFF"/>
        </w:rPr>
        <w:t>6.2 The comparative fixed of the controlling capital position Basel III is as follows 31 December 2017-2015 is as under:</w:t>
      </w:r>
      <w:bookmarkEnd w:id="213"/>
      <w:bookmarkEnd w:id="214"/>
    </w:p>
    <w:p w:rsidR="00B3369E" w:rsidRPr="00B3369E" w:rsidRDefault="00B3369E" w:rsidP="00B3369E">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A. Amount of Common Equity Tier 1 (CET1)</w:t>
      </w:r>
      <w:r w:rsidRPr="00B3369E">
        <w:rPr>
          <w:rFonts w:ascii="Times New Roman" w:hAnsi="Times New Roman" w:cs="Times New Roman"/>
          <w:b/>
          <w:bCs/>
          <w:sz w:val="24"/>
          <w:szCs w:val="24"/>
          <w:shd w:val="clear" w:color="auto" w:fill="FFFFFF"/>
        </w:rPr>
        <w:tab/>
        <w:t xml:space="preserve">                                         in million taka</w:t>
      </w:r>
    </w:p>
    <w:tbl>
      <w:tblPr>
        <w:tblStyle w:val="TableGrid"/>
        <w:tblW w:w="5000" w:type="pct"/>
        <w:tblLook w:val="04A0"/>
      </w:tblPr>
      <w:tblGrid>
        <w:gridCol w:w="5258"/>
        <w:gridCol w:w="1329"/>
        <w:gridCol w:w="1329"/>
        <w:gridCol w:w="1327"/>
      </w:tblGrid>
      <w:tr w:rsidR="00B3369E" w:rsidRPr="00B3369E" w:rsidTr="004838D2">
        <w:tc>
          <w:tcPr>
            <w:tcW w:w="2844"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hAnsi="Times New Roman" w:cs="Times New Roman"/>
                <w:b/>
                <w:bCs/>
                <w:sz w:val="24"/>
                <w:szCs w:val="24"/>
              </w:rPr>
              <w:t>Particulars</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2017</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2016</w:t>
            </w:r>
          </w:p>
        </w:tc>
        <w:tc>
          <w:tcPr>
            <w:tcW w:w="718"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2015</w:t>
            </w:r>
          </w:p>
        </w:tc>
      </w:tr>
      <w:tr w:rsidR="00B3369E" w:rsidRPr="00B3369E" w:rsidTr="004838D2">
        <w:tc>
          <w:tcPr>
            <w:tcW w:w="2844" w:type="pct"/>
          </w:tcPr>
          <w:p w:rsidR="00B3369E" w:rsidRPr="00B3369E" w:rsidRDefault="00B3369E" w:rsidP="004838D2">
            <w:pPr>
              <w:rPr>
                <w:rFonts w:ascii="Times New Roman" w:hAnsi="Times New Roman" w:cs="Times New Roman"/>
                <w:b/>
                <w:bCs/>
                <w:sz w:val="24"/>
                <w:szCs w:val="24"/>
              </w:rPr>
            </w:pPr>
            <w:r w:rsidRPr="00B3369E">
              <w:rPr>
                <w:rFonts w:ascii="Times New Roman" w:eastAsia="Klavika-Light" w:hAnsi="Times New Roman" w:cs="Times New Roman"/>
                <w:sz w:val="24"/>
                <w:szCs w:val="24"/>
              </w:rPr>
              <w:t>Paid up share capital</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2000.0</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2000.0</w:t>
            </w:r>
          </w:p>
        </w:tc>
        <w:tc>
          <w:tcPr>
            <w:tcW w:w="718"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2000.0</w:t>
            </w:r>
          </w:p>
        </w:tc>
      </w:tr>
      <w:tr w:rsidR="00B3369E" w:rsidRPr="00B3369E" w:rsidTr="004838D2">
        <w:tc>
          <w:tcPr>
            <w:tcW w:w="2844" w:type="pct"/>
          </w:tcPr>
          <w:p w:rsidR="00B3369E" w:rsidRPr="00B3369E" w:rsidRDefault="00B3369E" w:rsidP="004838D2">
            <w:pPr>
              <w:rPr>
                <w:rFonts w:ascii="Times New Roman" w:hAnsi="Times New Roman" w:cs="Times New Roman"/>
                <w:b/>
                <w:bCs/>
                <w:sz w:val="24"/>
                <w:szCs w:val="24"/>
              </w:rPr>
            </w:pPr>
            <w:r w:rsidRPr="00B3369E">
              <w:rPr>
                <w:rFonts w:ascii="Times New Roman" w:eastAsia="Klavika-Light" w:hAnsi="Times New Roman" w:cs="Times New Roman"/>
                <w:sz w:val="24"/>
                <w:szCs w:val="24"/>
              </w:rPr>
              <w:t>Non-repayable share premium account</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11.1</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11.1</w:t>
            </w:r>
          </w:p>
        </w:tc>
        <w:tc>
          <w:tcPr>
            <w:tcW w:w="718"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11.1</w:t>
            </w:r>
          </w:p>
        </w:tc>
      </w:tr>
      <w:tr w:rsidR="00B3369E" w:rsidRPr="00B3369E" w:rsidTr="004838D2">
        <w:tc>
          <w:tcPr>
            <w:tcW w:w="2844" w:type="pct"/>
          </w:tcPr>
          <w:p w:rsidR="00B3369E" w:rsidRPr="00B3369E" w:rsidRDefault="00B3369E" w:rsidP="004838D2">
            <w:pPr>
              <w:rPr>
                <w:rFonts w:ascii="Times New Roman" w:hAnsi="Times New Roman" w:cs="Times New Roman"/>
                <w:b/>
                <w:bCs/>
                <w:sz w:val="24"/>
                <w:szCs w:val="24"/>
              </w:rPr>
            </w:pPr>
            <w:r w:rsidRPr="00B3369E">
              <w:rPr>
                <w:rFonts w:ascii="Times New Roman" w:eastAsia="Klavika-Light" w:hAnsi="Times New Roman" w:cs="Times New Roman"/>
                <w:sz w:val="24"/>
                <w:szCs w:val="24"/>
              </w:rPr>
              <w:t>Statutory reserve</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9193.0</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8134.4</w:t>
            </w:r>
          </w:p>
        </w:tc>
        <w:tc>
          <w:tcPr>
            <w:tcW w:w="718"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7487.6</w:t>
            </w:r>
          </w:p>
        </w:tc>
      </w:tr>
      <w:tr w:rsidR="00B3369E" w:rsidRPr="00B3369E" w:rsidTr="004838D2">
        <w:tc>
          <w:tcPr>
            <w:tcW w:w="2844" w:type="pct"/>
          </w:tcPr>
          <w:p w:rsidR="00B3369E" w:rsidRPr="00B3369E" w:rsidRDefault="00B3369E" w:rsidP="004838D2">
            <w:pPr>
              <w:rPr>
                <w:rFonts w:ascii="Times New Roman" w:hAnsi="Times New Roman" w:cs="Times New Roman"/>
                <w:b/>
                <w:bCs/>
                <w:sz w:val="24"/>
                <w:szCs w:val="24"/>
              </w:rPr>
            </w:pPr>
            <w:r w:rsidRPr="00B3369E">
              <w:rPr>
                <w:rFonts w:ascii="Times New Roman" w:eastAsia="Klavika-Light" w:hAnsi="Times New Roman" w:cs="Times New Roman"/>
                <w:sz w:val="24"/>
                <w:szCs w:val="24"/>
              </w:rPr>
              <w:t>Dividend equalization account</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1566.8</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1366.8</w:t>
            </w:r>
          </w:p>
        </w:tc>
        <w:tc>
          <w:tcPr>
            <w:tcW w:w="718"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966.8</w:t>
            </w:r>
          </w:p>
        </w:tc>
      </w:tr>
      <w:tr w:rsidR="00B3369E" w:rsidRPr="00B3369E" w:rsidTr="004838D2">
        <w:tc>
          <w:tcPr>
            <w:tcW w:w="2844" w:type="pct"/>
          </w:tcPr>
          <w:p w:rsidR="00B3369E" w:rsidRPr="00B3369E" w:rsidRDefault="00B3369E" w:rsidP="004838D2">
            <w:pPr>
              <w:rPr>
                <w:rFonts w:ascii="Times New Roman" w:hAnsi="Times New Roman" w:cs="Times New Roman"/>
                <w:b/>
                <w:bCs/>
                <w:sz w:val="24"/>
                <w:szCs w:val="24"/>
              </w:rPr>
            </w:pPr>
            <w:r w:rsidRPr="00B3369E">
              <w:rPr>
                <w:rFonts w:ascii="Times New Roman" w:eastAsia="Klavika-Light" w:hAnsi="Times New Roman" w:cs="Times New Roman"/>
                <w:sz w:val="24"/>
                <w:szCs w:val="24"/>
              </w:rPr>
              <w:t>Retained earnings</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5846.8</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5237.2</w:t>
            </w:r>
          </w:p>
        </w:tc>
        <w:tc>
          <w:tcPr>
            <w:tcW w:w="718"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5321.9</w:t>
            </w:r>
          </w:p>
        </w:tc>
      </w:tr>
      <w:tr w:rsidR="00B3369E" w:rsidRPr="00B3369E" w:rsidTr="004838D2">
        <w:tc>
          <w:tcPr>
            <w:tcW w:w="2844" w:type="pct"/>
          </w:tcPr>
          <w:p w:rsidR="00B3369E" w:rsidRPr="00B3369E" w:rsidRDefault="00B3369E" w:rsidP="004838D2">
            <w:pPr>
              <w:rPr>
                <w:rFonts w:ascii="Times New Roman" w:hAnsi="Times New Roman" w:cs="Times New Roman"/>
                <w:b/>
                <w:bCs/>
                <w:sz w:val="24"/>
                <w:szCs w:val="24"/>
              </w:rPr>
            </w:pPr>
            <w:r w:rsidRPr="00B3369E">
              <w:rPr>
                <w:rFonts w:ascii="Times New Roman" w:eastAsia="Klavika-Bold" w:hAnsi="Times New Roman" w:cs="Times New Roman"/>
                <w:b/>
                <w:bCs/>
                <w:sz w:val="24"/>
                <w:szCs w:val="24"/>
              </w:rPr>
              <w:t>Sub-Total CET 1 capital [A]</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18617.7</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16750.0</w:t>
            </w:r>
          </w:p>
        </w:tc>
        <w:tc>
          <w:tcPr>
            <w:tcW w:w="718"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15787.4</w:t>
            </w:r>
          </w:p>
        </w:tc>
      </w:tr>
      <w:tr w:rsidR="00B3369E" w:rsidRPr="00B3369E" w:rsidTr="004838D2">
        <w:tc>
          <w:tcPr>
            <w:tcW w:w="2844" w:type="pct"/>
          </w:tcPr>
          <w:p w:rsidR="00B3369E" w:rsidRPr="00B3369E" w:rsidRDefault="00B3369E" w:rsidP="004838D2">
            <w:pPr>
              <w:rPr>
                <w:rFonts w:ascii="Times New Roman" w:eastAsia="Klavika-Bold" w:hAnsi="Times New Roman" w:cs="Times New Roman"/>
                <w:b/>
                <w:bCs/>
                <w:sz w:val="24"/>
                <w:szCs w:val="24"/>
              </w:rPr>
            </w:pPr>
            <w:r w:rsidRPr="00B3369E">
              <w:rPr>
                <w:rFonts w:ascii="Times New Roman" w:eastAsia="Klavika-Regular" w:hAnsi="Times New Roman" w:cs="Times New Roman"/>
                <w:b/>
                <w:bCs/>
                <w:sz w:val="24"/>
                <w:szCs w:val="24"/>
              </w:rPr>
              <w:t>Minus</w:t>
            </w:r>
            <w:r w:rsidRPr="00B3369E">
              <w:rPr>
                <w:rFonts w:ascii="Times New Roman" w:eastAsia="Klavika-Regular" w:hAnsi="Times New Roman" w:cs="Times New Roman"/>
                <w:sz w:val="24"/>
                <w:szCs w:val="24"/>
              </w:rPr>
              <w:t xml:space="preserve"> Deferred tax assets against the specific loan loss provision from CET 1 capital*</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2024.5</w:t>
            </w:r>
          </w:p>
        </w:tc>
        <w:tc>
          <w:tcPr>
            <w:tcW w:w="71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1812.4</w:t>
            </w:r>
          </w:p>
        </w:tc>
        <w:tc>
          <w:tcPr>
            <w:tcW w:w="718"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1057.6</w:t>
            </w:r>
          </w:p>
        </w:tc>
      </w:tr>
      <w:tr w:rsidR="00B3369E" w:rsidRPr="00B3369E" w:rsidTr="004838D2">
        <w:tc>
          <w:tcPr>
            <w:tcW w:w="2844" w:type="pct"/>
          </w:tcPr>
          <w:p w:rsidR="00B3369E" w:rsidRPr="00B3369E" w:rsidRDefault="00B3369E" w:rsidP="004838D2">
            <w:pPr>
              <w:rPr>
                <w:rFonts w:ascii="Times New Roman" w:eastAsia="Klavika-Bold" w:hAnsi="Times New Roman" w:cs="Times New Roman"/>
                <w:b/>
                <w:bCs/>
                <w:sz w:val="24"/>
                <w:szCs w:val="24"/>
              </w:rPr>
            </w:pPr>
            <w:r w:rsidRPr="00B3369E">
              <w:rPr>
                <w:rFonts w:ascii="Times New Roman" w:hAnsi="Times New Roman" w:cs="Times New Roman"/>
                <w:b/>
                <w:bCs/>
                <w:sz w:val="24"/>
                <w:szCs w:val="24"/>
              </w:rPr>
              <w:t>Net Common Equity Tier 1 (CET1)</w:t>
            </w:r>
          </w:p>
        </w:tc>
        <w:tc>
          <w:tcPr>
            <w:tcW w:w="719" w:type="pct"/>
          </w:tcPr>
          <w:p w:rsidR="00B3369E" w:rsidRPr="00B3369E" w:rsidRDefault="00B3369E" w:rsidP="004838D2">
            <w:pPr>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16593.2</w:t>
            </w:r>
          </w:p>
        </w:tc>
        <w:tc>
          <w:tcPr>
            <w:tcW w:w="719" w:type="pct"/>
          </w:tcPr>
          <w:p w:rsidR="00B3369E" w:rsidRPr="00B3369E" w:rsidRDefault="00B3369E" w:rsidP="004838D2">
            <w:pPr>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14937.6</w:t>
            </w:r>
          </w:p>
        </w:tc>
        <w:tc>
          <w:tcPr>
            <w:tcW w:w="718" w:type="pct"/>
          </w:tcPr>
          <w:p w:rsidR="00B3369E" w:rsidRPr="00B3369E" w:rsidRDefault="00B3369E" w:rsidP="004838D2">
            <w:pPr>
              <w:keepNext/>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14729.8</w:t>
            </w:r>
          </w:p>
        </w:tc>
      </w:tr>
    </w:tbl>
    <w:p w:rsidR="00B3369E" w:rsidRPr="00B3369E" w:rsidRDefault="00B3369E" w:rsidP="00B3369E">
      <w:pPr>
        <w:pStyle w:val="Tables"/>
      </w:pPr>
      <w:bookmarkStart w:id="215" w:name="_Toc6620263"/>
      <w:r w:rsidRPr="00B3369E">
        <w:t xml:space="preserve">Table 6:  </w:t>
      </w:r>
      <w:r w:rsidR="00276A72">
        <w:fldChar w:fldCharType="begin"/>
      </w:r>
      <w:r w:rsidR="002324C7">
        <w:instrText xml:space="preserve"> SEQ Table_6:_ \* ARABIC </w:instrText>
      </w:r>
      <w:r w:rsidR="00276A72">
        <w:fldChar w:fldCharType="separate"/>
      </w:r>
      <w:r w:rsidRPr="00B3369E">
        <w:rPr>
          <w:noProof/>
        </w:rPr>
        <w:t>1</w:t>
      </w:r>
      <w:r w:rsidR="00276A72">
        <w:rPr>
          <w:noProof/>
        </w:rPr>
        <w:fldChar w:fldCharType="end"/>
      </w:r>
      <w:r w:rsidRPr="00B3369E">
        <w:t xml:space="preserve"> Amount of Common Equity Tier 1 (CET1)</w:t>
      </w:r>
      <w:bookmarkEnd w:id="215"/>
    </w:p>
    <w:p w:rsidR="00B3369E" w:rsidRPr="00B3369E" w:rsidRDefault="00B3369E" w:rsidP="00B3369E">
      <w:pPr>
        <w:pStyle w:val="Tables"/>
      </w:pPr>
    </w:p>
    <w:p w:rsidR="00B3369E" w:rsidRPr="00B3369E" w:rsidRDefault="00B3369E" w:rsidP="00B3369E">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B. Additional Tier 1 Capital</w:t>
      </w:r>
      <w:r w:rsidRPr="00B3369E">
        <w:rPr>
          <w:rFonts w:ascii="Times New Roman" w:hAnsi="Times New Roman" w:cs="Times New Roman"/>
          <w:b/>
          <w:bCs/>
          <w:sz w:val="24"/>
          <w:szCs w:val="24"/>
        </w:rPr>
        <w:tab/>
      </w:r>
      <w:r w:rsidRPr="00B3369E">
        <w:rPr>
          <w:rFonts w:ascii="Times New Roman" w:hAnsi="Times New Roman" w:cs="Times New Roman"/>
          <w:b/>
          <w:bCs/>
          <w:sz w:val="24"/>
          <w:szCs w:val="24"/>
        </w:rPr>
        <w:tab/>
      </w:r>
      <w:r w:rsidRPr="00B3369E">
        <w:rPr>
          <w:rFonts w:ascii="Times New Roman" w:hAnsi="Times New Roman" w:cs="Times New Roman"/>
          <w:b/>
          <w:bCs/>
          <w:sz w:val="24"/>
          <w:szCs w:val="24"/>
        </w:rPr>
        <w:tab/>
      </w:r>
      <w:r w:rsidRPr="00B3369E">
        <w:rPr>
          <w:rFonts w:ascii="Times New Roman" w:hAnsi="Times New Roman" w:cs="Times New Roman"/>
          <w:b/>
          <w:bCs/>
          <w:sz w:val="24"/>
          <w:szCs w:val="24"/>
        </w:rPr>
        <w:tab/>
      </w:r>
      <w:r w:rsidRPr="00B3369E">
        <w:rPr>
          <w:rFonts w:ascii="Times New Roman" w:hAnsi="Times New Roman" w:cs="Times New Roman"/>
          <w:b/>
          <w:bCs/>
          <w:sz w:val="24"/>
          <w:szCs w:val="24"/>
        </w:rPr>
        <w:tab/>
      </w:r>
      <w:r w:rsidRPr="00B3369E">
        <w:rPr>
          <w:rFonts w:ascii="Times New Roman" w:hAnsi="Times New Roman" w:cs="Times New Roman"/>
          <w:b/>
          <w:bCs/>
          <w:sz w:val="24"/>
          <w:szCs w:val="24"/>
        </w:rPr>
        <w:tab/>
        <w:t xml:space="preserve">                 </w:t>
      </w:r>
      <w:r w:rsidRPr="00B3369E">
        <w:rPr>
          <w:rFonts w:ascii="Times New Roman" w:hAnsi="Times New Roman" w:cs="Times New Roman"/>
          <w:b/>
          <w:bCs/>
          <w:color w:val="212121"/>
          <w:sz w:val="24"/>
          <w:szCs w:val="24"/>
          <w:shd w:val="clear" w:color="auto" w:fill="FFFFFF"/>
        </w:rPr>
        <w:t>in million taka</w:t>
      </w:r>
    </w:p>
    <w:tbl>
      <w:tblPr>
        <w:tblStyle w:val="TableGrid"/>
        <w:tblW w:w="5000" w:type="pct"/>
        <w:tblLook w:val="04A0"/>
      </w:tblPr>
      <w:tblGrid>
        <w:gridCol w:w="7153"/>
        <w:gridCol w:w="697"/>
        <w:gridCol w:w="697"/>
        <w:gridCol w:w="696"/>
      </w:tblGrid>
      <w:tr w:rsidR="00B3369E" w:rsidRPr="00B3369E" w:rsidTr="004838D2">
        <w:trPr>
          <w:trHeight w:val="215"/>
        </w:trPr>
        <w:tc>
          <w:tcPr>
            <w:tcW w:w="3870" w:type="pct"/>
          </w:tcPr>
          <w:p w:rsidR="00B3369E" w:rsidRPr="00B3369E" w:rsidRDefault="00B3369E" w:rsidP="004838D2">
            <w:pPr>
              <w:tabs>
                <w:tab w:val="left" w:pos="1842"/>
                <w:tab w:val="center" w:pos="2466"/>
              </w:tabs>
              <w:rPr>
                <w:rFonts w:ascii="Times New Roman" w:hAnsi="Times New Roman" w:cs="Times New Roman"/>
                <w:b/>
                <w:bCs/>
                <w:sz w:val="24"/>
                <w:szCs w:val="24"/>
              </w:rPr>
            </w:pPr>
            <w:r w:rsidRPr="00B3369E">
              <w:rPr>
                <w:rFonts w:ascii="Times New Roman" w:eastAsia="Klavika-Bold" w:hAnsi="Times New Roman" w:cs="Times New Roman"/>
                <w:b/>
                <w:bCs/>
                <w:sz w:val="24"/>
                <w:szCs w:val="24"/>
              </w:rPr>
              <w:tab/>
            </w:r>
            <w:r w:rsidRPr="00B3369E">
              <w:rPr>
                <w:rFonts w:ascii="Times New Roman" w:eastAsia="Klavika-Bold" w:hAnsi="Times New Roman" w:cs="Times New Roman"/>
                <w:b/>
                <w:bCs/>
                <w:sz w:val="24"/>
                <w:szCs w:val="24"/>
              </w:rPr>
              <w:tab/>
              <w:t>Particulars</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2017</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2016</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2015</w:t>
            </w:r>
          </w:p>
        </w:tc>
      </w:tr>
      <w:tr w:rsidR="00B3369E" w:rsidRPr="00B3369E" w:rsidTr="004838D2">
        <w:tc>
          <w:tcPr>
            <w:tcW w:w="3870"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sz w:val="24"/>
                <w:szCs w:val="24"/>
              </w:rPr>
              <w:t>Non-cumulative irredeemable preference shares</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r>
      <w:tr w:rsidR="00B3369E" w:rsidRPr="00B3369E" w:rsidTr="004838D2">
        <w:tc>
          <w:tcPr>
            <w:tcW w:w="3870" w:type="pct"/>
          </w:tcPr>
          <w:p w:rsidR="00B3369E" w:rsidRPr="00B3369E" w:rsidRDefault="00B3369E" w:rsidP="004838D2">
            <w:pPr>
              <w:autoSpaceDE w:val="0"/>
              <w:autoSpaceDN w:val="0"/>
              <w:adjustRightInd w:val="0"/>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Instruments issued by the banks that meet the qualifying criteria for AT1</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r>
      <w:tr w:rsidR="00B3369E" w:rsidRPr="00B3369E" w:rsidTr="004838D2">
        <w:tc>
          <w:tcPr>
            <w:tcW w:w="3870"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sz w:val="24"/>
                <w:szCs w:val="24"/>
              </w:rPr>
              <w:t>Others (if any item approved by Bangladesh Bank)</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r>
      <w:tr w:rsidR="00B3369E" w:rsidRPr="00B3369E" w:rsidTr="004838D2">
        <w:tc>
          <w:tcPr>
            <w:tcW w:w="3870"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Sub-Total AT1 Capital [B]</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c>
          <w:tcPr>
            <w:tcW w:w="3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c>
          <w:tcPr>
            <w:tcW w:w="377" w:type="pct"/>
          </w:tcPr>
          <w:p w:rsidR="00B3369E" w:rsidRPr="00B3369E" w:rsidRDefault="00B3369E" w:rsidP="004838D2">
            <w:pPr>
              <w:keepNext/>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r>
    </w:tbl>
    <w:p w:rsidR="00B3369E" w:rsidRPr="00B3369E" w:rsidRDefault="00B3369E" w:rsidP="00B3369E">
      <w:pPr>
        <w:pStyle w:val="Tables"/>
      </w:pPr>
      <w:bookmarkStart w:id="216" w:name="_Toc6620264"/>
      <w:r w:rsidRPr="00B3369E">
        <w:t xml:space="preserve">Table 6:  </w:t>
      </w:r>
      <w:r w:rsidR="00276A72">
        <w:fldChar w:fldCharType="begin"/>
      </w:r>
      <w:r w:rsidR="002324C7">
        <w:instrText xml:space="preserve"> SEQ Table_6:_ \* ARABIC </w:instrText>
      </w:r>
      <w:r w:rsidR="00276A72">
        <w:fldChar w:fldCharType="separate"/>
      </w:r>
      <w:r w:rsidRPr="00B3369E">
        <w:rPr>
          <w:noProof/>
        </w:rPr>
        <w:t>2</w:t>
      </w:r>
      <w:r w:rsidR="00276A72">
        <w:rPr>
          <w:noProof/>
        </w:rPr>
        <w:fldChar w:fldCharType="end"/>
      </w:r>
      <w:r w:rsidRPr="00B3369E">
        <w:t xml:space="preserve"> Additional Tier 1 Capitals</w:t>
      </w:r>
      <w:bookmarkEnd w:id="216"/>
    </w:p>
    <w:p w:rsidR="00B3369E" w:rsidRPr="00B3369E" w:rsidRDefault="00B3369E" w:rsidP="00B3369E">
      <w:pPr>
        <w:pStyle w:val="Tables"/>
      </w:pPr>
    </w:p>
    <w:p w:rsidR="00B3369E" w:rsidRPr="00B3369E" w:rsidRDefault="00B3369E" w:rsidP="00B3369E">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 xml:space="preserve">C. Total Tier 1 capital [A+B]                                                                            </w:t>
      </w:r>
      <w:r w:rsidRPr="00B3369E">
        <w:rPr>
          <w:rFonts w:ascii="Times New Roman" w:hAnsi="Times New Roman" w:cs="Times New Roman"/>
          <w:b/>
          <w:bCs/>
          <w:color w:val="212121"/>
          <w:sz w:val="24"/>
          <w:szCs w:val="24"/>
          <w:shd w:val="clear" w:color="auto" w:fill="FFFFFF"/>
        </w:rPr>
        <w:t>in million taka</w:t>
      </w:r>
    </w:p>
    <w:tbl>
      <w:tblPr>
        <w:tblStyle w:val="TableGrid"/>
        <w:tblW w:w="5000" w:type="pct"/>
        <w:tblLook w:val="04A0"/>
      </w:tblPr>
      <w:tblGrid>
        <w:gridCol w:w="6255"/>
        <w:gridCol w:w="996"/>
        <w:gridCol w:w="996"/>
        <w:gridCol w:w="996"/>
      </w:tblGrid>
      <w:tr w:rsidR="00B3369E" w:rsidRPr="00B3369E" w:rsidTr="004838D2">
        <w:tc>
          <w:tcPr>
            <w:tcW w:w="3384"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Particulars</w:t>
            </w:r>
          </w:p>
        </w:tc>
        <w:tc>
          <w:tcPr>
            <w:tcW w:w="53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2017</w:t>
            </w:r>
          </w:p>
        </w:tc>
        <w:tc>
          <w:tcPr>
            <w:tcW w:w="53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2016</w:t>
            </w:r>
          </w:p>
        </w:tc>
        <w:tc>
          <w:tcPr>
            <w:tcW w:w="53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2015</w:t>
            </w:r>
          </w:p>
        </w:tc>
      </w:tr>
      <w:tr w:rsidR="00B3369E" w:rsidRPr="00B3369E" w:rsidTr="004838D2">
        <w:tc>
          <w:tcPr>
            <w:tcW w:w="3384" w:type="pct"/>
          </w:tcPr>
          <w:p w:rsidR="00B3369E" w:rsidRPr="00B3369E" w:rsidRDefault="00B3369E" w:rsidP="004838D2">
            <w:pPr>
              <w:rPr>
                <w:rFonts w:ascii="Times New Roman" w:hAnsi="Times New Roman" w:cs="Times New Roman"/>
                <w:sz w:val="24"/>
                <w:szCs w:val="24"/>
              </w:rPr>
            </w:pPr>
            <w:r w:rsidRPr="00B3369E">
              <w:rPr>
                <w:rFonts w:ascii="Times New Roman" w:hAnsi="Times New Roman" w:cs="Times New Roman"/>
                <w:sz w:val="24"/>
                <w:szCs w:val="24"/>
              </w:rPr>
              <w:t>Net Common Equity Tier 1 (CET1)</w:t>
            </w:r>
          </w:p>
        </w:tc>
        <w:tc>
          <w:tcPr>
            <w:tcW w:w="539" w:type="pct"/>
          </w:tcPr>
          <w:p w:rsidR="00B3369E" w:rsidRPr="00B3369E" w:rsidRDefault="00B3369E" w:rsidP="004838D2">
            <w:pPr>
              <w:jc w:val="center"/>
              <w:rPr>
                <w:rFonts w:ascii="Times New Roman" w:eastAsia="Klavika-Bold" w:hAnsi="Times New Roman" w:cs="Times New Roman"/>
                <w:sz w:val="24"/>
                <w:szCs w:val="24"/>
              </w:rPr>
            </w:pPr>
            <w:r w:rsidRPr="00B3369E">
              <w:rPr>
                <w:rFonts w:ascii="Times New Roman" w:eastAsia="Klavika-Bold" w:hAnsi="Times New Roman" w:cs="Times New Roman"/>
                <w:sz w:val="24"/>
                <w:szCs w:val="24"/>
              </w:rPr>
              <w:t>16593.2</w:t>
            </w:r>
          </w:p>
        </w:tc>
        <w:tc>
          <w:tcPr>
            <w:tcW w:w="539" w:type="pct"/>
          </w:tcPr>
          <w:p w:rsidR="00B3369E" w:rsidRPr="00B3369E" w:rsidRDefault="00B3369E" w:rsidP="004838D2">
            <w:pPr>
              <w:jc w:val="center"/>
              <w:rPr>
                <w:rFonts w:ascii="Times New Roman" w:eastAsia="Klavika-Bold" w:hAnsi="Times New Roman" w:cs="Times New Roman"/>
                <w:sz w:val="24"/>
                <w:szCs w:val="24"/>
              </w:rPr>
            </w:pPr>
            <w:r w:rsidRPr="00B3369E">
              <w:rPr>
                <w:rFonts w:ascii="Times New Roman" w:eastAsia="Klavika-Bold" w:hAnsi="Times New Roman" w:cs="Times New Roman"/>
                <w:sz w:val="24"/>
                <w:szCs w:val="24"/>
              </w:rPr>
              <w:t>14937.6</w:t>
            </w:r>
          </w:p>
        </w:tc>
        <w:tc>
          <w:tcPr>
            <w:tcW w:w="539" w:type="pct"/>
          </w:tcPr>
          <w:p w:rsidR="00B3369E" w:rsidRPr="00B3369E" w:rsidRDefault="00B3369E" w:rsidP="004838D2">
            <w:pPr>
              <w:jc w:val="center"/>
              <w:rPr>
                <w:rFonts w:ascii="Times New Roman" w:eastAsia="Klavika-Bold" w:hAnsi="Times New Roman" w:cs="Times New Roman"/>
                <w:sz w:val="24"/>
                <w:szCs w:val="24"/>
              </w:rPr>
            </w:pPr>
            <w:r w:rsidRPr="00B3369E">
              <w:rPr>
                <w:rFonts w:ascii="Times New Roman" w:eastAsia="Klavika-Bold" w:hAnsi="Times New Roman" w:cs="Times New Roman"/>
                <w:sz w:val="24"/>
                <w:szCs w:val="24"/>
              </w:rPr>
              <w:t>14729.8</w:t>
            </w:r>
          </w:p>
        </w:tc>
      </w:tr>
      <w:tr w:rsidR="00B3369E" w:rsidRPr="00B3369E" w:rsidTr="004838D2">
        <w:trPr>
          <w:trHeight w:val="476"/>
        </w:trPr>
        <w:tc>
          <w:tcPr>
            <w:tcW w:w="3384" w:type="pct"/>
          </w:tcPr>
          <w:p w:rsidR="00B3369E" w:rsidRPr="00B3369E" w:rsidRDefault="00B3369E" w:rsidP="004838D2">
            <w:pPr>
              <w:jc w:val="both"/>
              <w:rPr>
                <w:rFonts w:ascii="Times New Roman" w:hAnsi="Times New Roman" w:cs="Times New Roman"/>
                <w:sz w:val="24"/>
                <w:szCs w:val="24"/>
              </w:rPr>
            </w:pPr>
            <w:r w:rsidRPr="00B3369E">
              <w:rPr>
                <w:rFonts w:ascii="Times New Roman" w:eastAsia="Klavika-Bold" w:hAnsi="Times New Roman" w:cs="Times New Roman"/>
                <w:sz w:val="24"/>
                <w:szCs w:val="24"/>
              </w:rPr>
              <w:t>Sub-Total AT1 Capital [B]</w:t>
            </w:r>
          </w:p>
        </w:tc>
        <w:tc>
          <w:tcPr>
            <w:tcW w:w="539" w:type="pct"/>
          </w:tcPr>
          <w:p w:rsidR="00B3369E" w:rsidRPr="00B3369E" w:rsidRDefault="00B3369E" w:rsidP="004838D2">
            <w:pPr>
              <w:jc w:val="center"/>
              <w:rPr>
                <w:rFonts w:ascii="Times New Roman" w:hAnsi="Times New Roman" w:cs="Times New Roman"/>
                <w:sz w:val="24"/>
                <w:szCs w:val="24"/>
              </w:rPr>
            </w:pPr>
            <w:r w:rsidRPr="00B3369E">
              <w:rPr>
                <w:rFonts w:ascii="Times New Roman" w:hAnsi="Times New Roman" w:cs="Times New Roman"/>
                <w:sz w:val="24"/>
                <w:szCs w:val="24"/>
              </w:rPr>
              <w:t>-</w:t>
            </w:r>
          </w:p>
        </w:tc>
        <w:tc>
          <w:tcPr>
            <w:tcW w:w="539" w:type="pct"/>
          </w:tcPr>
          <w:p w:rsidR="00B3369E" w:rsidRPr="00B3369E" w:rsidRDefault="00B3369E" w:rsidP="004838D2">
            <w:pPr>
              <w:jc w:val="center"/>
              <w:rPr>
                <w:rFonts w:ascii="Times New Roman" w:hAnsi="Times New Roman" w:cs="Times New Roman"/>
                <w:sz w:val="24"/>
                <w:szCs w:val="24"/>
              </w:rPr>
            </w:pPr>
            <w:r w:rsidRPr="00B3369E">
              <w:rPr>
                <w:rFonts w:ascii="Times New Roman" w:hAnsi="Times New Roman" w:cs="Times New Roman"/>
                <w:sz w:val="24"/>
                <w:szCs w:val="24"/>
              </w:rPr>
              <w:t>-</w:t>
            </w:r>
          </w:p>
        </w:tc>
        <w:tc>
          <w:tcPr>
            <w:tcW w:w="539" w:type="pct"/>
          </w:tcPr>
          <w:p w:rsidR="00B3369E" w:rsidRPr="00B3369E" w:rsidRDefault="00B3369E" w:rsidP="004838D2">
            <w:pPr>
              <w:jc w:val="center"/>
              <w:rPr>
                <w:rFonts w:ascii="Times New Roman" w:hAnsi="Times New Roman" w:cs="Times New Roman"/>
                <w:sz w:val="24"/>
                <w:szCs w:val="24"/>
              </w:rPr>
            </w:pPr>
            <w:r w:rsidRPr="00B3369E">
              <w:rPr>
                <w:rFonts w:ascii="Times New Roman" w:hAnsi="Times New Roman" w:cs="Times New Roman"/>
                <w:sz w:val="24"/>
                <w:szCs w:val="24"/>
              </w:rPr>
              <w:t>-</w:t>
            </w:r>
          </w:p>
        </w:tc>
      </w:tr>
      <w:tr w:rsidR="00B3369E" w:rsidRPr="00B3369E" w:rsidTr="004838D2">
        <w:tc>
          <w:tcPr>
            <w:tcW w:w="3384"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Bold" w:hAnsi="Times New Roman" w:cs="Times New Roman"/>
                <w:b/>
                <w:bCs/>
                <w:sz w:val="24"/>
                <w:szCs w:val="24"/>
              </w:rPr>
              <w:t>Total Tier 1 capital [A+B]</w:t>
            </w:r>
          </w:p>
        </w:tc>
        <w:tc>
          <w:tcPr>
            <w:tcW w:w="539" w:type="pct"/>
          </w:tcPr>
          <w:p w:rsidR="00B3369E" w:rsidRPr="00B3369E" w:rsidRDefault="00B3369E" w:rsidP="004838D2">
            <w:pPr>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16593.2</w:t>
            </w:r>
          </w:p>
        </w:tc>
        <w:tc>
          <w:tcPr>
            <w:tcW w:w="539" w:type="pct"/>
          </w:tcPr>
          <w:p w:rsidR="00B3369E" w:rsidRPr="00B3369E" w:rsidRDefault="00B3369E" w:rsidP="004838D2">
            <w:pPr>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14937.6</w:t>
            </w:r>
          </w:p>
        </w:tc>
        <w:tc>
          <w:tcPr>
            <w:tcW w:w="539" w:type="pct"/>
          </w:tcPr>
          <w:p w:rsidR="00B3369E" w:rsidRPr="00B3369E" w:rsidRDefault="00B3369E" w:rsidP="004838D2">
            <w:pPr>
              <w:keepNext/>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14729.8</w:t>
            </w:r>
          </w:p>
        </w:tc>
      </w:tr>
    </w:tbl>
    <w:p w:rsidR="00B3369E" w:rsidRPr="00B3369E" w:rsidRDefault="00B3369E" w:rsidP="00B3369E">
      <w:pPr>
        <w:pStyle w:val="Tables"/>
      </w:pPr>
      <w:bookmarkStart w:id="217" w:name="_Toc6620265"/>
      <w:r w:rsidRPr="00B3369E">
        <w:t xml:space="preserve">Table 6:  </w:t>
      </w:r>
      <w:r w:rsidR="00276A72">
        <w:fldChar w:fldCharType="begin"/>
      </w:r>
      <w:r w:rsidR="002324C7">
        <w:instrText xml:space="preserve"> SEQ Table_6:_ \* ARABIC </w:instrText>
      </w:r>
      <w:r w:rsidR="00276A72">
        <w:fldChar w:fldCharType="separate"/>
      </w:r>
      <w:r w:rsidRPr="00B3369E">
        <w:rPr>
          <w:noProof/>
        </w:rPr>
        <w:t>3</w:t>
      </w:r>
      <w:r w:rsidR="00276A72">
        <w:rPr>
          <w:noProof/>
        </w:rPr>
        <w:fldChar w:fldCharType="end"/>
      </w:r>
      <w:r w:rsidRPr="00B3369E">
        <w:t xml:space="preserve"> Total Tier 1 capitals [A+B]</w:t>
      </w:r>
      <w:bookmarkEnd w:id="217"/>
    </w:p>
    <w:p w:rsidR="00B3369E" w:rsidRPr="00B3369E" w:rsidRDefault="00B3369E" w:rsidP="00B3369E">
      <w:pPr>
        <w:pStyle w:val="Tables"/>
      </w:pPr>
    </w:p>
    <w:p w:rsidR="00B3369E" w:rsidRPr="00B3369E" w:rsidRDefault="00B3369E" w:rsidP="00B3369E">
      <w:pPr>
        <w:pStyle w:val="Tables"/>
      </w:pPr>
    </w:p>
    <w:p w:rsidR="00B3369E" w:rsidRPr="00B3369E" w:rsidRDefault="00B3369E" w:rsidP="00B3369E">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 xml:space="preserve">D. Tier 2 Capital                                                                                                </w:t>
      </w:r>
      <w:r w:rsidRPr="00B3369E">
        <w:rPr>
          <w:rFonts w:ascii="Times New Roman" w:hAnsi="Times New Roman" w:cs="Times New Roman"/>
          <w:b/>
          <w:bCs/>
          <w:color w:val="212121"/>
          <w:sz w:val="24"/>
          <w:szCs w:val="24"/>
          <w:shd w:val="clear" w:color="auto" w:fill="FFFFFF"/>
        </w:rPr>
        <w:t>in million taka</w:t>
      </w:r>
    </w:p>
    <w:tbl>
      <w:tblPr>
        <w:tblStyle w:val="TableGrid"/>
        <w:tblW w:w="5000" w:type="pct"/>
        <w:tblLook w:val="04A0"/>
      </w:tblPr>
      <w:tblGrid>
        <w:gridCol w:w="5778"/>
        <w:gridCol w:w="1259"/>
        <w:gridCol w:w="991"/>
        <w:gridCol w:w="1215"/>
      </w:tblGrid>
      <w:tr w:rsidR="00B3369E" w:rsidRPr="00B3369E" w:rsidTr="004838D2">
        <w:tc>
          <w:tcPr>
            <w:tcW w:w="3126"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hAnsi="Times New Roman" w:cs="Times New Roman"/>
                <w:b/>
                <w:bCs/>
                <w:sz w:val="24"/>
                <w:szCs w:val="24"/>
              </w:rPr>
              <w:t>Particulars</w:t>
            </w:r>
          </w:p>
        </w:tc>
        <w:tc>
          <w:tcPr>
            <w:tcW w:w="681"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2017</w:t>
            </w:r>
          </w:p>
        </w:tc>
        <w:tc>
          <w:tcPr>
            <w:tcW w:w="536"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2016</w:t>
            </w:r>
          </w:p>
        </w:tc>
        <w:tc>
          <w:tcPr>
            <w:tcW w:w="65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2015</w:t>
            </w:r>
          </w:p>
        </w:tc>
      </w:tr>
      <w:tr w:rsidR="00B3369E" w:rsidRPr="00B3369E" w:rsidTr="004838D2">
        <w:tc>
          <w:tcPr>
            <w:tcW w:w="3126" w:type="pct"/>
          </w:tcPr>
          <w:p w:rsidR="00B3369E" w:rsidRPr="00B3369E" w:rsidRDefault="00B3369E" w:rsidP="004838D2">
            <w:pPr>
              <w:autoSpaceDE w:val="0"/>
              <w:autoSpaceDN w:val="0"/>
              <w:adjustRightInd w:val="0"/>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General provision against unclassified loans and off balance sheet exposures (Including OBU)</w:t>
            </w:r>
          </w:p>
        </w:tc>
        <w:tc>
          <w:tcPr>
            <w:tcW w:w="681" w:type="pct"/>
          </w:tcPr>
          <w:p w:rsidR="00B3369E" w:rsidRPr="00B3369E" w:rsidRDefault="00B3369E" w:rsidP="004838D2">
            <w:pPr>
              <w:jc w:val="center"/>
              <w:rPr>
                <w:rFonts w:ascii="Times New Roman" w:hAnsi="Times New Roman" w:cs="Times New Roman"/>
                <w:sz w:val="24"/>
                <w:szCs w:val="24"/>
              </w:rPr>
            </w:pPr>
            <w:r w:rsidRPr="00B3369E">
              <w:rPr>
                <w:rFonts w:ascii="Times New Roman" w:eastAsia="Klavika-Light" w:hAnsi="Times New Roman" w:cs="Times New Roman"/>
                <w:sz w:val="24"/>
                <w:szCs w:val="24"/>
              </w:rPr>
              <w:t>2772.7</w:t>
            </w:r>
          </w:p>
        </w:tc>
        <w:tc>
          <w:tcPr>
            <w:tcW w:w="536" w:type="pct"/>
          </w:tcPr>
          <w:p w:rsidR="00B3369E" w:rsidRPr="00B3369E" w:rsidRDefault="00B3369E" w:rsidP="004838D2">
            <w:pPr>
              <w:jc w:val="center"/>
              <w:rPr>
                <w:rFonts w:ascii="Times New Roman" w:hAnsi="Times New Roman" w:cs="Times New Roman"/>
                <w:sz w:val="24"/>
                <w:szCs w:val="24"/>
              </w:rPr>
            </w:pPr>
            <w:r w:rsidRPr="00B3369E">
              <w:rPr>
                <w:rFonts w:ascii="Times New Roman" w:eastAsia="Klavika-Regular" w:hAnsi="Times New Roman" w:cs="Times New Roman"/>
                <w:sz w:val="24"/>
                <w:szCs w:val="24"/>
              </w:rPr>
              <w:t>2326.6</w:t>
            </w:r>
          </w:p>
        </w:tc>
        <w:tc>
          <w:tcPr>
            <w:tcW w:w="657" w:type="pct"/>
          </w:tcPr>
          <w:p w:rsidR="00B3369E" w:rsidRPr="00B3369E" w:rsidRDefault="00B3369E" w:rsidP="004838D2">
            <w:pPr>
              <w:jc w:val="center"/>
              <w:rPr>
                <w:rFonts w:ascii="Times New Roman" w:hAnsi="Times New Roman" w:cs="Times New Roman"/>
                <w:sz w:val="24"/>
                <w:szCs w:val="24"/>
              </w:rPr>
            </w:pPr>
            <w:r w:rsidRPr="00B3369E">
              <w:rPr>
                <w:rFonts w:ascii="Times New Roman" w:eastAsia="Klavika-Regular" w:hAnsi="Times New Roman" w:cs="Times New Roman"/>
                <w:sz w:val="24"/>
                <w:szCs w:val="24"/>
              </w:rPr>
              <w:t>1625.8</w:t>
            </w:r>
          </w:p>
        </w:tc>
      </w:tr>
      <w:tr w:rsidR="00B3369E" w:rsidRPr="00B3369E" w:rsidTr="004838D2">
        <w:tc>
          <w:tcPr>
            <w:tcW w:w="3126" w:type="pct"/>
          </w:tcPr>
          <w:p w:rsidR="00B3369E" w:rsidRPr="00B3369E" w:rsidRDefault="00B3369E" w:rsidP="004838D2">
            <w:pPr>
              <w:autoSpaceDE w:val="0"/>
              <w:autoSpaceDN w:val="0"/>
              <w:adjustRightInd w:val="0"/>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Subordinated debt capital</w:t>
            </w:r>
          </w:p>
        </w:tc>
        <w:tc>
          <w:tcPr>
            <w:tcW w:w="681" w:type="pct"/>
          </w:tcPr>
          <w:p w:rsidR="00B3369E" w:rsidRPr="00B3369E" w:rsidRDefault="00B3369E" w:rsidP="004838D2">
            <w:pPr>
              <w:jc w:val="center"/>
              <w:rPr>
                <w:rFonts w:ascii="Times New Roman" w:hAnsi="Times New Roman" w:cs="Times New Roman"/>
                <w:sz w:val="24"/>
                <w:szCs w:val="24"/>
              </w:rPr>
            </w:pPr>
            <w:r w:rsidRPr="00B3369E">
              <w:rPr>
                <w:rFonts w:ascii="Times New Roman" w:eastAsia="Klavika-Light" w:hAnsi="Times New Roman" w:cs="Times New Roman"/>
                <w:sz w:val="24"/>
                <w:szCs w:val="24"/>
              </w:rPr>
              <w:t>6550.6</w:t>
            </w:r>
          </w:p>
        </w:tc>
        <w:tc>
          <w:tcPr>
            <w:tcW w:w="536" w:type="pct"/>
          </w:tcPr>
          <w:p w:rsidR="00B3369E" w:rsidRPr="00B3369E" w:rsidRDefault="00B3369E" w:rsidP="004838D2">
            <w:pPr>
              <w:jc w:val="center"/>
              <w:rPr>
                <w:rFonts w:ascii="Times New Roman" w:hAnsi="Times New Roman" w:cs="Times New Roman"/>
                <w:sz w:val="24"/>
                <w:szCs w:val="24"/>
              </w:rPr>
            </w:pPr>
            <w:r w:rsidRPr="00B3369E">
              <w:rPr>
                <w:rFonts w:ascii="Times New Roman" w:eastAsia="Klavika-Regular" w:hAnsi="Times New Roman" w:cs="Times New Roman"/>
                <w:sz w:val="24"/>
                <w:szCs w:val="24"/>
              </w:rPr>
              <w:t>3700.1</w:t>
            </w:r>
          </w:p>
        </w:tc>
        <w:tc>
          <w:tcPr>
            <w:tcW w:w="657" w:type="pct"/>
          </w:tcPr>
          <w:p w:rsidR="00B3369E" w:rsidRPr="00B3369E" w:rsidRDefault="00B3369E" w:rsidP="004838D2">
            <w:pPr>
              <w:jc w:val="center"/>
              <w:rPr>
                <w:rFonts w:ascii="Times New Roman" w:hAnsi="Times New Roman" w:cs="Times New Roman"/>
                <w:sz w:val="24"/>
                <w:szCs w:val="24"/>
              </w:rPr>
            </w:pPr>
            <w:r w:rsidRPr="00B3369E">
              <w:rPr>
                <w:rFonts w:ascii="Times New Roman" w:eastAsia="Klavika-Regular" w:hAnsi="Times New Roman" w:cs="Times New Roman"/>
                <w:sz w:val="24"/>
                <w:szCs w:val="24"/>
              </w:rPr>
              <w:t>4401.9</w:t>
            </w:r>
          </w:p>
        </w:tc>
      </w:tr>
      <w:tr w:rsidR="00B3369E" w:rsidRPr="00B3369E" w:rsidTr="004838D2">
        <w:tc>
          <w:tcPr>
            <w:tcW w:w="3126" w:type="pct"/>
          </w:tcPr>
          <w:p w:rsidR="00B3369E" w:rsidRPr="00B3369E" w:rsidRDefault="00B3369E" w:rsidP="004838D2">
            <w:pPr>
              <w:autoSpaceDE w:val="0"/>
              <w:autoSpaceDN w:val="0"/>
              <w:adjustRightInd w:val="0"/>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Revaluation Reserves as on 31 December 2014 (50% of Fixed Assets and HTM Securities)</w:t>
            </w:r>
          </w:p>
        </w:tc>
        <w:tc>
          <w:tcPr>
            <w:tcW w:w="681" w:type="pct"/>
          </w:tcPr>
          <w:p w:rsidR="00B3369E" w:rsidRPr="00B3369E" w:rsidRDefault="00B3369E" w:rsidP="004838D2">
            <w:pPr>
              <w:jc w:val="center"/>
              <w:rPr>
                <w:rFonts w:ascii="Times New Roman" w:hAnsi="Times New Roman" w:cs="Times New Roman"/>
                <w:sz w:val="24"/>
                <w:szCs w:val="24"/>
              </w:rPr>
            </w:pPr>
            <w:r w:rsidRPr="00B3369E">
              <w:rPr>
                <w:rFonts w:ascii="Times New Roman" w:eastAsia="Klavika-Light" w:hAnsi="Times New Roman" w:cs="Times New Roman"/>
                <w:sz w:val="24"/>
                <w:szCs w:val="24"/>
              </w:rPr>
              <w:t>475.2</w:t>
            </w:r>
          </w:p>
        </w:tc>
        <w:tc>
          <w:tcPr>
            <w:tcW w:w="536" w:type="pct"/>
          </w:tcPr>
          <w:p w:rsidR="00B3369E" w:rsidRPr="00B3369E" w:rsidRDefault="00B3369E" w:rsidP="004838D2">
            <w:pPr>
              <w:jc w:val="center"/>
              <w:rPr>
                <w:rFonts w:ascii="Times New Roman" w:hAnsi="Times New Roman" w:cs="Times New Roman"/>
                <w:sz w:val="24"/>
                <w:szCs w:val="24"/>
              </w:rPr>
            </w:pPr>
            <w:r w:rsidRPr="00B3369E">
              <w:rPr>
                <w:rFonts w:ascii="Times New Roman" w:eastAsia="Klavika-Regular" w:hAnsi="Times New Roman" w:cs="Times New Roman"/>
                <w:sz w:val="24"/>
                <w:szCs w:val="24"/>
              </w:rPr>
              <w:t>475.2</w:t>
            </w:r>
          </w:p>
        </w:tc>
        <w:tc>
          <w:tcPr>
            <w:tcW w:w="657" w:type="pct"/>
          </w:tcPr>
          <w:p w:rsidR="00B3369E" w:rsidRPr="00B3369E" w:rsidRDefault="00B3369E" w:rsidP="004838D2">
            <w:pPr>
              <w:jc w:val="center"/>
              <w:rPr>
                <w:rFonts w:ascii="Times New Roman" w:hAnsi="Times New Roman" w:cs="Times New Roman"/>
                <w:sz w:val="24"/>
                <w:szCs w:val="24"/>
              </w:rPr>
            </w:pPr>
            <w:r w:rsidRPr="00B3369E">
              <w:rPr>
                <w:rFonts w:ascii="Times New Roman" w:eastAsia="Klavika-Regular" w:hAnsi="Times New Roman" w:cs="Times New Roman"/>
                <w:sz w:val="24"/>
                <w:szCs w:val="24"/>
              </w:rPr>
              <w:t>475.2</w:t>
            </w:r>
          </w:p>
        </w:tc>
      </w:tr>
      <w:tr w:rsidR="00B3369E" w:rsidRPr="00B3369E" w:rsidTr="004838D2">
        <w:tc>
          <w:tcPr>
            <w:tcW w:w="3126" w:type="pct"/>
          </w:tcPr>
          <w:p w:rsidR="00B3369E" w:rsidRPr="00B3369E" w:rsidRDefault="00B3369E" w:rsidP="004838D2">
            <w:pPr>
              <w:autoSpaceDE w:val="0"/>
              <w:autoSpaceDN w:val="0"/>
              <w:adjustRightInd w:val="0"/>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Gross total Tier 2 Capital</w:t>
            </w:r>
          </w:p>
        </w:tc>
        <w:tc>
          <w:tcPr>
            <w:tcW w:w="681" w:type="pct"/>
          </w:tcPr>
          <w:p w:rsidR="00B3369E" w:rsidRPr="00B3369E" w:rsidRDefault="00B3369E" w:rsidP="004838D2">
            <w:pPr>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9798.5</w:t>
            </w:r>
          </w:p>
        </w:tc>
        <w:tc>
          <w:tcPr>
            <w:tcW w:w="536" w:type="pct"/>
          </w:tcPr>
          <w:p w:rsidR="00B3369E" w:rsidRPr="00B3369E" w:rsidRDefault="00B3369E" w:rsidP="004838D2">
            <w:pPr>
              <w:jc w:val="center"/>
              <w:rPr>
                <w:rFonts w:ascii="Times New Roman" w:eastAsia="Klavika-Regular" w:hAnsi="Times New Roman" w:cs="Times New Roman"/>
                <w:b/>
                <w:bCs/>
                <w:sz w:val="24"/>
                <w:szCs w:val="24"/>
              </w:rPr>
            </w:pPr>
            <w:r w:rsidRPr="00B3369E">
              <w:rPr>
                <w:rFonts w:ascii="Times New Roman" w:eastAsia="Klavika-Regular" w:hAnsi="Times New Roman" w:cs="Times New Roman"/>
                <w:b/>
                <w:bCs/>
                <w:sz w:val="24"/>
                <w:szCs w:val="24"/>
              </w:rPr>
              <w:t>6501.9</w:t>
            </w:r>
          </w:p>
        </w:tc>
        <w:tc>
          <w:tcPr>
            <w:tcW w:w="657" w:type="pct"/>
          </w:tcPr>
          <w:p w:rsidR="00B3369E" w:rsidRPr="00B3369E" w:rsidRDefault="00B3369E" w:rsidP="004838D2">
            <w:pPr>
              <w:jc w:val="center"/>
              <w:rPr>
                <w:rFonts w:ascii="Times New Roman" w:eastAsia="Klavika-Regular" w:hAnsi="Times New Roman" w:cs="Times New Roman"/>
                <w:b/>
                <w:bCs/>
                <w:sz w:val="24"/>
                <w:szCs w:val="24"/>
              </w:rPr>
            </w:pPr>
            <w:r w:rsidRPr="00B3369E">
              <w:rPr>
                <w:rFonts w:ascii="Times New Roman" w:eastAsia="Klavika-Regular" w:hAnsi="Times New Roman" w:cs="Times New Roman"/>
                <w:b/>
                <w:bCs/>
                <w:sz w:val="24"/>
                <w:szCs w:val="24"/>
              </w:rPr>
              <w:t>6502.9</w:t>
            </w:r>
          </w:p>
        </w:tc>
      </w:tr>
      <w:tr w:rsidR="00B3369E" w:rsidRPr="00B3369E" w:rsidTr="004838D2">
        <w:tc>
          <w:tcPr>
            <w:tcW w:w="3126" w:type="pct"/>
          </w:tcPr>
          <w:p w:rsidR="00B3369E" w:rsidRPr="00B3369E" w:rsidRDefault="00B3369E" w:rsidP="004838D2">
            <w:pPr>
              <w:autoSpaceDE w:val="0"/>
              <w:autoSpaceDN w:val="0"/>
              <w:adjustRightInd w:val="0"/>
              <w:rPr>
                <w:rFonts w:ascii="Times New Roman" w:eastAsia="Klavika-Regular" w:hAnsi="Times New Roman" w:cs="Times New Roman"/>
                <w:sz w:val="24"/>
                <w:szCs w:val="24"/>
              </w:rPr>
            </w:pPr>
            <w:r w:rsidRPr="00B3369E">
              <w:rPr>
                <w:rFonts w:ascii="Times New Roman" w:eastAsia="Klavika-Regular" w:hAnsi="Times New Roman" w:cs="Times New Roman"/>
                <w:sz w:val="24"/>
                <w:szCs w:val="24"/>
              </w:rPr>
              <w:t>Revaluation Reserves for Fixed Assets, Securities (40% for the year 2016) from Tier 2 capital</w:t>
            </w:r>
          </w:p>
        </w:tc>
        <w:tc>
          <w:tcPr>
            <w:tcW w:w="681"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285.1</w:t>
            </w:r>
          </w:p>
        </w:tc>
        <w:tc>
          <w:tcPr>
            <w:tcW w:w="536"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190.1</w:t>
            </w:r>
          </w:p>
        </w:tc>
        <w:tc>
          <w:tcPr>
            <w:tcW w:w="65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95.0</w:t>
            </w:r>
          </w:p>
        </w:tc>
      </w:tr>
      <w:tr w:rsidR="00B3369E" w:rsidRPr="00B3369E" w:rsidTr="004838D2">
        <w:tc>
          <w:tcPr>
            <w:tcW w:w="3126" w:type="pct"/>
          </w:tcPr>
          <w:p w:rsidR="00B3369E" w:rsidRPr="00B3369E" w:rsidRDefault="00B3369E" w:rsidP="004838D2">
            <w:pPr>
              <w:autoSpaceDE w:val="0"/>
              <w:autoSpaceDN w:val="0"/>
              <w:adjustRightInd w:val="0"/>
              <w:rPr>
                <w:rFonts w:ascii="Times New Roman" w:eastAsia="Klavika-Regular" w:hAnsi="Times New Roman" w:cs="Times New Roman"/>
                <w:b/>
                <w:bCs/>
                <w:sz w:val="24"/>
                <w:szCs w:val="24"/>
              </w:rPr>
            </w:pPr>
            <w:r w:rsidRPr="00B3369E">
              <w:rPr>
                <w:rFonts w:ascii="Times New Roman" w:hAnsi="Times New Roman" w:cs="Times New Roman"/>
                <w:b/>
                <w:bCs/>
                <w:sz w:val="24"/>
                <w:szCs w:val="24"/>
              </w:rPr>
              <w:t xml:space="preserve">Net Tier 2 Capital                                                                                                               </w:t>
            </w:r>
          </w:p>
        </w:tc>
        <w:tc>
          <w:tcPr>
            <w:tcW w:w="681" w:type="pct"/>
          </w:tcPr>
          <w:p w:rsidR="00B3369E" w:rsidRPr="00B3369E" w:rsidRDefault="00B3369E" w:rsidP="004838D2">
            <w:pPr>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9513.4</w:t>
            </w:r>
          </w:p>
        </w:tc>
        <w:tc>
          <w:tcPr>
            <w:tcW w:w="536" w:type="pct"/>
          </w:tcPr>
          <w:p w:rsidR="00B3369E" w:rsidRPr="00B3369E" w:rsidRDefault="00B3369E" w:rsidP="004838D2">
            <w:pPr>
              <w:jc w:val="center"/>
              <w:rPr>
                <w:rFonts w:ascii="Times New Roman" w:eastAsia="Klavika-Regular" w:hAnsi="Times New Roman" w:cs="Times New Roman"/>
                <w:b/>
                <w:bCs/>
                <w:sz w:val="24"/>
                <w:szCs w:val="24"/>
              </w:rPr>
            </w:pPr>
            <w:r w:rsidRPr="00B3369E">
              <w:rPr>
                <w:rFonts w:ascii="Times New Roman" w:eastAsia="Klavika-Regular" w:hAnsi="Times New Roman" w:cs="Times New Roman"/>
                <w:b/>
                <w:bCs/>
                <w:sz w:val="24"/>
                <w:szCs w:val="24"/>
              </w:rPr>
              <w:t>6311.8</w:t>
            </w:r>
          </w:p>
        </w:tc>
        <w:tc>
          <w:tcPr>
            <w:tcW w:w="657" w:type="pct"/>
          </w:tcPr>
          <w:p w:rsidR="00B3369E" w:rsidRPr="00B3369E" w:rsidRDefault="00B3369E" w:rsidP="004838D2">
            <w:pPr>
              <w:keepNext/>
              <w:jc w:val="center"/>
              <w:rPr>
                <w:rFonts w:ascii="Times New Roman" w:eastAsia="Klavika-Regular" w:hAnsi="Times New Roman" w:cs="Times New Roman"/>
                <w:b/>
                <w:bCs/>
                <w:sz w:val="24"/>
                <w:szCs w:val="24"/>
              </w:rPr>
            </w:pPr>
            <w:r w:rsidRPr="00B3369E">
              <w:rPr>
                <w:rFonts w:ascii="Times New Roman" w:eastAsia="Klavika-Regular" w:hAnsi="Times New Roman" w:cs="Times New Roman"/>
                <w:b/>
                <w:bCs/>
                <w:sz w:val="24"/>
                <w:szCs w:val="24"/>
              </w:rPr>
              <w:t>6407.9</w:t>
            </w:r>
          </w:p>
        </w:tc>
      </w:tr>
    </w:tbl>
    <w:p w:rsidR="00B3369E" w:rsidRPr="00B3369E" w:rsidRDefault="00B3369E" w:rsidP="00B3369E">
      <w:pPr>
        <w:pStyle w:val="Tables"/>
      </w:pPr>
      <w:bookmarkStart w:id="218" w:name="_Toc6620266"/>
      <w:r w:rsidRPr="00B3369E">
        <w:t xml:space="preserve">Table 6:  </w:t>
      </w:r>
      <w:r w:rsidR="00276A72">
        <w:fldChar w:fldCharType="begin"/>
      </w:r>
      <w:r w:rsidR="002324C7">
        <w:instrText xml:space="preserve"> SEQ Table_6:_ \* ARABIC </w:instrText>
      </w:r>
      <w:r w:rsidR="00276A72">
        <w:fldChar w:fldCharType="separate"/>
      </w:r>
      <w:r w:rsidRPr="00B3369E">
        <w:rPr>
          <w:noProof/>
        </w:rPr>
        <w:t>4</w:t>
      </w:r>
      <w:r w:rsidR="00276A72">
        <w:rPr>
          <w:noProof/>
        </w:rPr>
        <w:fldChar w:fldCharType="end"/>
      </w:r>
      <w:r w:rsidRPr="00B3369E">
        <w:t xml:space="preserve"> Tier 2 Capitals</w:t>
      </w:r>
      <w:bookmarkEnd w:id="218"/>
    </w:p>
    <w:p w:rsidR="00B3369E" w:rsidRPr="00B3369E" w:rsidRDefault="00B3369E" w:rsidP="00B3369E">
      <w:pPr>
        <w:pStyle w:val="Tables"/>
      </w:pPr>
    </w:p>
    <w:p w:rsidR="00B3369E" w:rsidRPr="00B3369E" w:rsidRDefault="00B3369E" w:rsidP="00B3369E">
      <w:pPr>
        <w:pStyle w:val="NoSpacing"/>
        <w:jc w:val="center"/>
        <w:rPr>
          <w:rFonts w:ascii="Times New Roman" w:hAnsi="Times New Roman" w:cs="Times New Roman"/>
          <w:b/>
          <w:bCs/>
          <w:sz w:val="24"/>
          <w:szCs w:val="24"/>
        </w:rPr>
      </w:pPr>
      <w:r w:rsidRPr="00B3369E">
        <w:rPr>
          <w:rFonts w:ascii="Times New Roman" w:hAnsi="Times New Roman" w:cs="Times New Roman"/>
          <w:b/>
          <w:bCs/>
          <w:sz w:val="24"/>
          <w:szCs w:val="24"/>
        </w:rPr>
        <w:t>E. Total eligible capital [C+D]</w:t>
      </w:r>
      <w:r w:rsidRPr="00B3369E">
        <w:rPr>
          <w:rFonts w:ascii="Times New Roman" w:hAnsi="Times New Roman" w:cs="Times New Roman"/>
          <w:b/>
          <w:bCs/>
          <w:sz w:val="24"/>
          <w:szCs w:val="24"/>
        </w:rPr>
        <w:tab/>
      </w:r>
      <w:r w:rsidRPr="00B3369E">
        <w:rPr>
          <w:rFonts w:ascii="Times New Roman" w:hAnsi="Times New Roman" w:cs="Times New Roman"/>
          <w:b/>
          <w:bCs/>
          <w:sz w:val="24"/>
          <w:szCs w:val="24"/>
        </w:rPr>
        <w:tab/>
      </w:r>
      <w:r w:rsidRPr="00B3369E">
        <w:rPr>
          <w:rFonts w:ascii="Times New Roman" w:hAnsi="Times New Roman" w:cs="Times New Roman"/>
          <w:b/>
          <w:bCs/>
          <w:sz w:val="24"/>
          <w:szCs w:val="24"/>
        </w:rPr>
        <w:tab/>
      </w:r>
      <w:r w:rsidRPr="00B3369E">
        <w:rPr>
          <w:rFonts w:ascii="Times New Roman" w:hAnsi="Times New Roman" w:cs="Times New Roman"/>
          <w:b/>
          <w:bCs/>
          <w:sz w:val="24"/>
          <w:szCs w:val="24"/>
        </w:rPr>
        <w:tab/>
        <w:t xml:space="preserve">                            in million Taka</w:t>
      </w:r>
    </w:p>
    <w:tbl>
      <w:tblPr>
        <w:tblStyle w:val="TableGrid"/>
        <w:tblW w:w="5000" w:type="pct"/>
        <w:tblLook w:val="04A0"/>
      </w:tblPr>
      <w:tblGrid>
        <w:gridCol w:w="5867"/>
        <w:gridCol w:w="1170"/>
        <w:gridCol w:w="1080"/>
        <w:gridCol w:w="1126"/>
      </w:tblGrid>
      <w:tr w:rsidR="00B3369E" w:rsidRPr="00B3369E" w:rsidTr="004838D2">
        <w:tc>
          <w:tcPr>
            <w:tcW w:w="3174"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hAnsi="Times New Roman" w:cs="Times New Roman"/>
                <w:b/>
                <w:bCs/>
                <w:sz w:val="24"/>
                <w:szCs w:val="24"/>
              </w:rPr>
              <w:t>Particulars</w:t>
            </w:r>
          </w:p>
        </w:tc>
        <w:tc>
          <w:tcPr>
            <w:tcW w:w="633"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2017</w:t>
            </w:r>
          </w:p>
        </w:tc>
        <w:tc>
          <w:tcPr>
            <w:tcW w:w="584"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2016</w:t>
            </w:r>
          </w:p>
        </w:tc>
        <w:tc>
          <w:tcPr>
            <w:tcW w:w="60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2015</w:t>
            </w:r>
          </w:p>
        </w:tc>
      </w:tr>
      <w:tr w:rsidR="00B3369E" w:rsidRPr="00B3369E" w:rsidTr="004838D2">
        <w:tc>
          <w:tcPr>
            <w:tcW w:w="3174" w:type="pct"/>
          </w:tcPr>
          <w:p w:rsidR="00B3369E" w:rsidRPr="00B3369E" w:rsidRDefault="00B3369E" w:rsidP="004838D2">
            <w:pPr>
              <w:rPr>
                <w:rFonts w:ascii="Times New Roman" w:hAnsi="Times New Roman" w:cs="Times New Roman"/>
                <w:sz w:val="24"/>
                <w:szCs w:val="24"/>
              </w:rPr>
            </w:pPr>
            <w:r w:rsidRPr="00B3369E">
              <w:rPr>
                <w:rFonts w:ascii="Times New Roman" w:eastAsia="Klavika-Bold" w:hAnsi="Times New Roman" w:cs="Times New Roman"/>
                <w:sz w:val="24"/>
                <w:szCs w:val="24"/>
              </w:rPr>
              <w:t>Total Tier 1 capital</w:t>
            </w:r>
          </w:p>
        </w:tc>
        <w:tc>
          <w:tcPr>
            <w:tcW w:w="633" w:type="pct"/>
          </w:tcPr>
          <w:p w:rsidR="00B3369E" w:rsidRPr="00B3369E" w:rsidRDefault="00B3369E" w:rsidP="004838D2">
            <w:pPr>
              <w:jc w:val="center"/>
              <w:rPr>
                <w:rFonts w:ascii="Times New Roman" w:eastAsia="Klavika-Bold" w:hAnsi="Times New Roman" w:cs="Times New Roman"/>
                <w:sz w:val="24"/>
                <w:szCs w:val="24"/>
              </w:rPr>
            </w:pPr>
            <w:r w:rsidRPr="00B3369E">
              <w:rPr>
                <w:rFonts w:ascii="Times New Roman" w:eastAsia="Klavika-Bold" w:hAnsi="Times New Roman" w:cs="Times New Roman"/>
                <w:sz w:val="24"/>
                <w:szCs w:val="24"/>
              </w:rPr>
              <w:t>16593.2</w:t>
            </w:r>
          </w:p>
        </w:tc>
        <w:tc>
          <w:tcPr>
            <w:tcW w:w="584" w:type="pct"/>
          </w:tcPr>
          <w:p w:rsidR="00B3369E" w:rsidRPr="00B3369E" w:rsidRDefault="00B3369E" w:rsidP="004838D2">
            <w:pPr>
              <w:jc w:val="center"/>
              <w:rPr>
                <w:rFonts w:ascii="Times New Roman" w:eastAsia="Klavika-Bold" w:hAnsi="Times New Roman" w:cs="Times New Roman"/>
                <w:sz w:val="24"/>
                <w:szCs w:val="24"/>
              </w:rPr>
            </w:pPr>
            <w:r w:rsidRPr="00B3369E">
              <w:rPr>
                <w:rFonts w:ascii="Times New Roman" w:eastAsia="Klavika-Bold" w:hAnsi="Times New Roman" w:cs="Times New Roman"/>
                <w:sz w:val="24"/>
                <w:szCs w:val="24"/>
              </w:rPr>
              <w:t>14937.6</w:t>
            </w:r>
          </w:p>
        </w:tc>
        <w:tc>
          <w:tcPr>
            <w:tcW w:w="609" w:type="pct"/>
          </w:tcPr>
          <w:p w:rsidR="00B3369E" w:rsidRPr="00B3369E" w:rsidRDefault="00B3369E" w:rsidP="004838D2">
            <w:pPr>
              <w:jc w:val="center"/>
              <w:rPr>
                <w:rFonts w:ascii="Times New Roman" w:eastAsia="Klavika-Bold" w:hAnsi="Times New Roman" w:cs="Times New Roman"/>
                <w:sz w:val="24"/>
                <w:szCs w:val="24"/>
              </w:rPr>
            </w:pPr>
            <w:r w:rsidRPr="00B3369E">
              <w:rPr>
                <w:rFonts w:ascii="Times New Roman" w:eastAsia="Klavika-Bold" w:hAnsi="Times New Roman" w:cs="Times New Roman"/>
                <w:sz w:val="24"/>
                <w:szCs w:val="24"/>
              </w:rPr>
              <w:t>14729.8</w:t>
            </w:r>
          </w:p>
        </w:tc>
      </w:tr>
      <w:tr w:rsidR="00B3369E" w:rsidRPr="00B3369E" w:rsidTr="004838D2">
        <w:trPr>
          <w:trHeight w:val="233"/>
        </w:trPr>
        <w:tc>
          <w:tcPr>
            <w:tcW w:w="3174" w:type="pct"/>
          </w:tcPr>
          <w:p w:rsidR="00B3369E" w:rsidRPr="00B3369E" w:rsidRDefault="00B3369E" w:rsidP="004838D2">
            <w:pPr>
              <w:jc w:val="both"/>
              <w:rPr>
                <w:rFonts w:ascii="Times New Roman" w:hAnsi="Times New Roman" w:cs="Times New Roman"/>
                <w:sz w:val="24"/>
                <w:szCs w:val="24"/>
              </w:rPr>
            </w:pPr>
            <w:r w:rsidRPr="00B3369E">
              <w:rPr>
                <w:rFonts w:ascii="Times New Roman" w:hAnsi="Times New Roman" w:cs="Times New Roman"/>
                <w:sz w:val="24"/>
                <w:szCs w:val="24"/>
              </w:rPr>
              <w:t xml:space="preserve">Net Tier 2 Capital                                                                                                               </w:t>
            </w:r>
          </w:p>
        </w:tc>
        <w:tc>
          <w:tcPr>
            <w:tcW w:w="633"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9513.4</w:t>
            </w:r>
          </w:p>
        </w:tc>
        <w:tc>
          <w:tcPr>
            <w:tcW w:w="584" w:type="pct"/>
          </w:tcPr>
          <w:p w:rsidR="00B3369E" w:rsidRPr="00B3369E" w:rsidRDefault="00B3369E" w:rsidP="004838D2">
            <w:pPr>
              <w:jc w:val="center"/>
              <w:rPr>
                <w:rFonts w:ascii="Times New Roman" w:eastAsia="Klavika-Regular" w:hAnsi="Times New Roman" w:cs="Times New Roman"/>
                <w:sz w:val="24"/>
                <w:szCs w:val="24"/>
              </w:rPr>
            </w:pPr>
            <w:r w:rsidRPr="00B3369E">
              <w:rPr>
                <w:rFonts w:ascii="Times New Roman" w:eastAsia="Klavika-Regular" w:hAnsi="Times New Roman" w:cs="Times New Roman"/>
                <w:sz w:val="24"/>
                <w:szCs w:val="24"/>
              </w:rPr>
              <w:t>6311.8</w:t>
            </w:r>
          </w:p>
        </w:tc>
        <w:tc>
          <w:tcPr>
            <w:tcW w:w="609" w:type="pct"/>
          </w:tcPr>
          <w:p w:rsidR="00B3369E" w:rsidRPr="00B3369E" w:rsidRDefault="00B3369E" w:rsidP="004838D2">
            <w:pPr>
              <w:jc w:val="center"/>
              <w:rPr>
                <w:rFonts w:ascii="Times New Roman" w:eastAsia="Klavika-Regular" w:hAnsi="Times New Roman" w:cs="Times New Roman"/>
                <w:sz w:val="24"/>
                <w:szCs w:val="24"/>
              </w:rPr>
            </w:pPr>
            <w:r w:rsidRPr="00B3369E">
              <w:rPr>
                <w:rFonts w:ascii="Times New Roman" w:eastAsia="Klavika-Regular" w:hAnsi="Times New Roman" w:cs="Times New Roman"/>
                <w:sz w:val="24"/>
                <w:szCs w:val="24"/>
              </w:rPr>
              <w:t>6407.9</w:t>
            </w:r>
          </w:p>
        </w:tc>
      </w:tr>
      <w:tr w:rsidR="00B3369E" w:rsidRPr="00B3369E" w:rsidTr="004838D2">
        <w:trPr>
          <w:trHeight w:val="314"/>
        </w:trPr>
        <w:tc>
          <w:tcPr>
            <w:tcW w:w="3174" w:type="pct"/>
          </w:tcPr>
          <w:p w:rsidR="00B3369E" w:rsidRPr="00B3369E" w:rsidRDefault="00B3369E" w:rsidP="004838D2">
            <w:pPr>
              <w:jc w:val="both"/>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Total Eligible Capital [A+B+C-D]</w:t>
            </w:r>
          </w:p>
        </w:tc>
        <w:tc>
          <w:tcPr>
            <w:tcW w:w="633" w:type="pct"/>
          </w:tcPr>
          <w:p w:rsidR="00B3369E" w:rsidRPr="00B3369E" w:rsidRDefault="00B3369E" w:rsidP="004838D2">
            <w:pPr>
              <w:jc w:val="center"/>
              <w:rPr>
                <w:rFonts w:ascii="Times New Roman" w:eastAsia="Klavika-Bold" w:hAnsi="Times New Roman" w:cs="Times New Roman"/>
                <w:b/>
                <w:bCs/>
                <w:sz w:val="24"/>
                <w:szCs w:val="24"/>
              </w:rPr>
            </w:pPr>
            <w:r w:rsidRPr="00B3369E">
              <w:rPr>
                <w:rFonts w:ascii="Times New Roman" w:eastAsia="Klavika-Light" w:hAnsi="Times New Roman" w:cs="Times New Roman"/>
                <w:b/>
                <w:bCs/>
                <w:sz w:val="24"/>
                <w:szCs w:val="24"/>
              </w:rPr>
              <w:t>26106.6</w:t>
            </w:r>
          </w:p>
        </w:tc>
        <w:tc>
          <w:tcPr>
            <w:tcW w:w="584" w:type="pct"/>
          </w:tcPr>
          <w:p w:rsidR="00B3369E" w:rsidRPr="00B3369E" w:rsidRDefault="00B3369E" w:rsidP="004838D2">
            <w:pPr>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21249.4</w:t>
            </w:r>
          </w:p>
        </w:tc>
        <w:tc>
          <w:tcPr>
            <w:tcW w:w="609" w:type="pct"/>
          </w:tcPr>
          <w:p w:rsidR="00B3369E" w:rsidRPr="00B3369E" w:rsidRDefault="00B3369E" w:rsidP="004838D2">
            <w:pPr>
              <w:keepNext/>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21137.7</w:t>
            </w:r>
          </w:p>
        </w:tc>
      </w:tr>
    </w:tbl>
    <w:p w:rsidR="00B3369E" w:rsidRPr="00B3369E" w:rsidRDefault="00B3369E" w:rsidP="00B3369E">
      <w:pPr>
        <w:pStyle w:val="Tables"/>
      </w:pPr>
      <w:bookmarkStart w:id="219" w:name="_Toc6620267"/>
      <w:r w:rsidRPr="00B3369E">
        <w:t xml:space="preserve">Table 6:  </w:t>
      </w:r>
      <w:r w:rsidR="00276A72">
        <w:fldChar w:fldCharType="begin"/>
      </w:r>
      <w:r w:rsidR="002324C7">
        <w:instrText xml:space="preserve"> SEQ Table_6:_ \* ARABIC </w:instrText>
      </w:r>
      <w:r w:rsidR="00276A72">
        <w:fldChar w:fldCharType="separate"/>
      </w:r>
      <w:r w:rsidRPr="00B3369E">
        <w:rPr>
          <w:noProof/>
        </w:rPr>
        <w:t>5</w:t>
      </w:r>
      <w:r w:rsidR="00276A72">
        <w:rPr>
          <w:noProof/>
        </w:rPr>
        <w:fldChar w:fldCharType="end"/>
      </w:r>
      <w:r w:rsidRPr="00B3369E">
        <w:t xml:space="preserve"> Total Eligible </w:t>
      </w:r>
      <w:proofErr w:type="gramStart"/>
      <w:r w:rsidRPr="00B3369E">
        <w:t>Capital</w:t>
      </w:r>
      <w:bookmarkEnd w:id="219"/>
      <w:proofErr w:type="gramEnd"/>
    </w:p>
    <w:p w:rsidR="00B3369E" w:rsidRPr="00B3369E" w:rsidRDefault="00B3369E" w:rsidP="00B3369E">
      <w:pPr>
        <w:pStyle w:val="Tables"/>
        <w:rPr>
          <w:rFonts w:eastAsia="Klavika-Light"/>
        </w:rPr>
      </w:pPr>
    </w:p>
    <w:p w:rsidR="00B3369E" w:rsidRPr="00B3369E" w:rsidRDefault="00B3369E" w:rsidP="00B3369E">
      <w:pPr>
        <w:pStyle w:val="HTMLPreformatted"/>
        <w:shd w:val="clear" w:color="auto" w:fill="FFFFFF"/>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F. Total Risk Weight Assets (RWA)</w:t>
      </w:r>
      <w:r w:rsidRPr="00B3369E">
        <w:rPr>
          <w:rFonts w:ascii="Times New Roman" w:hAnsi="Times New Roman" w:cs="Times New Roman"/>
        </w:rPr>
        <w:t xml:space="preserve">                                                                             </w:t>
      </w:r>
      <w:r w:rsidRPr="00B3369E">
        <w:rPr>
          <w:rFonts w:ascii="Times New Roman" w:hAnsi="Times New Roman" w:cs="Times New Roman"/>
          <w:b/>
          <w:bCs/>
          <w:sz w:val="24"/>
          <w:szCs w:val="24"/>
        </w:rPr>
        <w:t xml:space="preserve">in million taka                                        </w:t>
      </w:r>
    </w:p>
    <w:tbl>
      <w:tblPr>
        <w:tblStyle w:val="TableGrid"/>
        <w:tblW w:w="5000" w:type="pct"/>
        <w:tblLook w:val="04A0"/>
      </w:tblPr>
      <w:tblGrid>
        <w:gridCol w:w="3800"/>
        <w:gridCol w:w="1799"/>
        <w:gridCol w:w="1712"/>
        <w:gridCol w:w="1932"/>
      </w:tblGrid>
      <w:tr w:rsidR="00B3369E" w:rsidRPr="00B3369E" w:rsidTr="004838D2">
        <w:tc>
          <w:tcPr>
            <w:tcW w:w="205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Particulars</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2017</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2016</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2015</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Total Credit Risk [i]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151920.8</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136995.9</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130062.0</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Market Risk [ii]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3124.0</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2364.9</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1682.2</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Operational Risk [iii]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25085.8</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22804.4</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22804.4</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Total Risk Weighted Assets (RWA) [I + II + III]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180130.6</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162165.2</w:t>
            </w:r>
          </w:p>
        </w:tc>
        <w:tc>
          <w:tcPr>
            <w:tcW w:w="1045" w:type="pct"/>
          </w:tcPr>
          <w:p w:rsidR="00B3369E" w:rsidRPr="00B3369E" w:rsidRDefault="00B3369E" w:rsidP="004838D2">
            <w:pPr>
              <w:pStyle w:val="HTMLPreformatted"/>
              <w:keepNext/>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154548.6</w:t>
            </w:r>
          </w:p>
        </w:tc>
      </w:tr>
    </w:tbl>
    <w:p w:rsidR="00B3369E" w:rsidRPr="00B3369E" w:rsidRDefault="00B3369E" w:rsidP="00B3369E">
      <w:pPr>
        <w:pStyle w:val="Tables"/>
      </w:pPr>
      <w:bookmarkStart w:id="220" w:name="_Toc6620268"/>
      <w:r w:rsidRPr="00B3369E">
        <w:t xml:space="preserve">Table 6:  </w:t>
      </w:r>
      <w:r w:rsidR="00276A72">
        <w:fldChar w:fldCharType="begin"/>
      </w:r>
      <w:r w:rsidR="002324C7">
        <w:instrText xml:space="preserve"> SEQ Table_6:_ \* ARABIC </w:instrText>
      </w:r>
      <w:r w:rsidR="00276A72">
        <w:fldChar w:fldCharType="separate"/>
      </w:r>
      <w:r w:rsidRPr="00B3369E">
        <w:rPr>
          <w:noProof/>
        </w:rPr>
        <w:t>6</w:t>
      </w:r>
      <w:r w:rsidR="00276A72">
        <w:rPr>
          <w:noProof/>
        </w:rPr>
        <w:fldChar w:fldCharType="end"/>
      </w:r>
      <w:r w:rsidRPr="00B3369E">
        <w:t xml:space="preserve"> Total Risk Weight Assets (RWA)</w:t>
      </w:r>
      <w:bookmarkEnd w:id="220"/>
    </w:p>
    <w:p w:rsidR="00B3369E" w:rsidRPr="00B3369E" w:rsidRDefault="00B3369E" w:rsidP="00B3369E">
      <w:pPr>
        <w:pStyle w:val="Tables"/>
        <w:rPr>
          <w:rFonts w:eastAsia="Klavika-Light"/>
        </w:rPr>
      </w:pPr>
    </w:p>
    <w:p w:rsidR="00B3369E" w:rsidRPr="00B3369E" w:rsidRDefault="00B3369E" w:rsidP="00B3369E">
      <w:pPr>
        <w:pStyle w:val="NoSpacing"/>
        <w:jc w:val="both"/>
        <w:rPr>
          <w:rFonts w:ascii="Times New Roman" w:hAnsi="Times New Roman" w:cs="Times New Roman"/>
          <w:b/>
          <w:bCs/>
          <w:sz w:val="24"/>
          <w:szCs w:val="24"/>
        </w:rPr>
      </w:pPr>
      <w:r w:rsidRPr="00B3369E">
        <w:rPr>
          <w:rFonts w:ascii="Times New Roman" w:hAnsi="Times New Roman" w:cs="Times New Roman"/>
          <w:b/>
          <w:bCs/>
          <w:sz w:val="24"/>
          <w:szCs w:val="24"/>
        </w:rPr>
        <w:t>Total capital, CET1 capital, Total Tier 1 capital and Tier 2 capital ratio:   In percentage</w:t>
      </w:r>
    </w:p>
    <w:tbl>
      <w:tblPr>
        <w:tblStyle w:val="TableGrid"/>
        <w:tblW w:w="5000" w:type="pct"/>
        <w:tblLayout w:type="fixed"/>
        <w:tblLook w:val="04A0"/>
      </w:tblPr>
      <w:tblGrid>
        <w:gridCol w:w="2177"/>
        <w:gridCol w:w="2520"/>
        <w:gridCol w:w="2435"/>
        <w:gridCol w:w="2111"/>
      </w:tblGrid>
      <w:tr w:rsidR="00B3369E" w:rsidRPr="00B3369E" w:rsidTr="004838D2">
        <w:tc>
          <w:tcPr>
            <w:tcW w:w="1178"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Bold" w:hAnsi="Times New Roman" w:cs="Times New Roman"/>
                <w:b/>
                <w:bCs/>
                <w:sz w:val="24"/>
                <w:szCs w:val="24"/>
              </w:rPr>
              <w:t>Particulars</w:t>
            </w:r>
          </w:p>
        </w:tc>
        <w:tc>
          <w:tcPr>
            <w:tcW w:w="1363"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2017 Ratio (%)</w:t>
            </w:r>
          </w:p>
        </w:tc>
        <w:tc>
          <w:tcPr>
            <w:tcW w:w="1317"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2016 Ratio (%)</w:t>
            </w:r>
          </w:p>
        </w:tc>
        <w:tc>
          <w:tcPr>
            <w:tcW w:w="1142"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2015 Ratio (%)</w:t>
            </w:r>
          </w:p>
        </w:tc>
      </w:tr>
      <w:tr w:rsidR="00B3369E" w:rsidRPr="00B3369E" w:rsidTr="004838D2">
        <w:tc>
          <w:tcPr>
            <w:tcW w:w="1178" w:type="pct"/>
          </w:tcPr>
          <w:p w:rsidR="00B3369E" w:rsidRPr="00B3369E" w:rsidRDefault="00B3369E" w:rsidP="004838D2">
            <w:pPr>
              <w:autoSpaceDE w:val="0"/>
              <w:autoSpaceDN w:val="0"/>
              <w:adjustRightInd w:val="0"/>
              <w:rPr>
                <w:rFonts w:ascii="Times New Roman" w:eastAsia="Klavika-Light" w:hAnsi="Times New Roman" w:cs="Times New Roman"/>
                <w:b/>
                <w:bCs/>
                <w:sz w:val="24"/>
                <w:szCs w:val="24"/>
              </w:rPr>
            </w:pPr>
            <w:r w:rsidRPr="00B3369E">
              <w:rPr>
                <w:rFonts w:ascii="Times New Roman" w:eastAsia="Klavika-Light" w:hAnsi="Times New Roman" w:cs="Times New Roman"/>
                <w:sz w:val="24"/>
                <w:szCs w:val="24"/>
              </w:rPr>
              <w:t>Total Capital to Risk-weighted Asset Ratio (CRAR)</w:t>
            </w:r>
          </w:p>
        </w:tc>
        <w:tc>
          <w:tcPr>
            <w:tcW w:w="1363" w:type="pct"/>
          </w:tcPr>
          <w:p w:rsidR="00B3369E" w:rsidRPr="00B3369E" w:rsidRDefault="00B3369E" w:rsidP="004838D2">
            <w:pPr>
              <w:autoSpaceDE w:val="0"/>
              <w:autoSpaceDN w:val="0"/>
              <w:adjustRightInd w:val="0"/>
              <w:jc w:val="center"/>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26106.6/</w:t>
            </w:r>
            <w:r w:rsidRPr="00B3369E">
              <w:rPr>
                <w:rFonts w:ascii="Times New Roman" w:eastAsia="Klavika-Bold" w:hAnsi="Times New Roman" w:cs="Times New Roman"/>
                <w:sz w:val="24"/>
                <w:szCs w:val="24"/>
              </w:rPr>
              <w:t>180130.6*100=</w:t>
            </w:r>
            <w:r w:rsidRPr="00B3369E">
              <w:rPr>
                <w:rFonts w:ascii="Times New Roman" w:eastAsia="Klavika-Light" w:hAnsi="Times New Roman" w:cs="Times New Roman"/>
                <w:sz w:val="24"/>
                <w:szCs w:val="24"/>
              </w:rPr>
              <w:t>14.5%</w:t>
            </w:r>
          </w:p>
        </w:tc>
        <w:tc>
          <w:tcPr>
            <w:tcW w:w="1317" w:type="pct"/>
          </w:tcPr>
          <w:p w:rsidR="00B3369E" w:rsidRPr="00B3369E" w:rsidRDefault="00B3369E" w:rsidP="004838D2">
            <w:pPr>
              <w:autoSpaceDE w:val="0"/>
              <w:autoSpaceDN w:val="0"/>
              <w:adjustRightInd w:val="0"/>
              <w:jc w:val="center"/>
              <w:rPr>
                <w:rFonts w:ascii="Times New Roman" w:eastAsia="Klavika-Light" w:hAnsi="Times New Roman" w:cs="Times New Roman"/>
                <w:sz w:val="24"/>
                <w:szCs w:val="24"/>
              </w:rPr>
            </w:pPr>
            <w:r w:rsidRPr="00B3369E">
              <w:rPr>
                <w:rFonts w:ascii="Times New Roman" w:eastAsia="Klavika-Bold" w:hAnsi="Times New Roman" w:cs="Times New Roman"/>
                <w:sz w:val="24"/>
                <w:szCs w:val="24"/>
              </w:rPr>
              <w:t>21249.4/162165.2*100=</w:t>
            </w:r>
            <w:r w:rsidRPr="00B3369E">
              <w:rPr>
                <w:rFonts w:ascii="Times New Roman" w:eastAsia="Klavika-Regular" w:hAnsi="Times New Roman" w:cs="Times New Roman"/>
                <w:sz w:val="24"/>
                <w:szCs w:val="24"/>
              </w:rPr>
              <w:t>13.1%</w:t>
            </w:r>
          </w:p>
        </w:tc>
        <w:tc>
          <w:tcPr>
            <w:tcW w:w="1142" w:type="pct"/>
          </w:tcPr>
          <w:p w:rsidR="00B3369E" w:rsidRPr="00B3369E" w:rsidRDefault="00B3369E" w:rsidP="004838D2">
            <w:pPr>
              <w:autoSpaceDE w:val="0"/>
              <w:autoSpaceDN w:val="0"/>
              <w:adjustRightInd w:val="0"/>
              <w:jc w:val="center"/>
              <w:rPr>
                <w:rFonts w:ascii="Times New Roman" w:eastAsia="Klavika-Light" w:hAnsi="Times New Roman" w:cs="Times New Roman"/>
                <w:sz w:val="24"/>
                <w:szCs w:val="24"/>
              </w:rPr>
            </w:pPr>
            <w:r w:rsidRPr="00B3369E">
              <w:rPr>
                <w:rFonts w:ascii="Times New Roman" w:eastAsia="Klavika-Bold" w:hAnsi="Times New Roman" w:cs="Times New Roman"/>
                <w:sz w:val="24"/>
                <w:szCs w:val="24"/>
              </w:rPr>
              <w:t>21137.7/154548.6*100=</w:t>
            </w:r>
            <w:r w:rsidRPr="00B3369E">
              <w:rPr>
                <w:rFonts w:ascii="Times New Roman" w:eastAsia="Klavika-Regular" w:hAnsi="Times New Roman" w:cs="Times New Roman"/>
                <w:sz w:val="24"/>
                <w:szCs w:val="24"/>
              </w:rPr>
              <w:t>13.7%</w:t>
            </w:r>
          </w:p>
        </w:tc>
      </w:tr>
      <w:tr w:rsidR="00B3369E" w:rsidRPr="00B3369E" w:rsidTr="004838D2">
        <w:tc>
          <w:tcPr>
            <w:tcW w:w="1178" w:type="pct"/>
          </w:tcPr>
          <w:p w:rsidR="00B3369E" w:rsidRPr="00B3369E" w:rsidRDefault="00B3369E" w:rsidP="004838D2">
            <w:pPr>
              <w:autoSpaceDE w:val="0"/>
              <w:autoSpaceDN w:val="0"/>
              <w:adjustRightInd w:val="0"/>
              <w:rPr>
                <w:rFonts w:ascii="Times New Roman" w:eastAsia="Klavika-Light" w:hAnsi="Times New Roman" w:cs="Times New Roman"/>
                <w:b/>
                <w:bCs/>
                <w:sz w:val="24"/>
                <w:szCs w:val="24"/>
              </w:rPr>
            </w:pPr>
            <w:r w:rsidRPr="00B3369E">
              <w:rPr>
                <w:rFonts w:ascii="Times New Roman" w:eastAsia="Klavika-Light" w:hAnsi="Times New Roman" w:cs="Times New Roman"/>
                <w:sz w:val="24"/>
                <w:szCs w:val="24"/>
              </w:rPr>
              <w:t>Common Equity Tier 1 Capital to Risk-weighted Asset Ratio</w:t>
            </w:r>
          </w:p>
        </w:tc>
        <w:tc>
          <w:tcPr>
            <w:tcW w:w="1363" w:type="pct"/>
          </w:tcPr>
          <w:p w:rsidR="00B3369E" w:rsidRPr="00B3369E" w:rsidRDefault="00B3369E" w:rsidP="004838D2">
            <w:pPr>
              <w:autoSpaceDE w:val="0"/>
              <w:autoSpaceDN w:val="0"/>
              <w:adjustRightInd w:val="0"/>
              <w:jc w:val="center"/>
              <w:rPr>
                <w:rFonts w:ascii="Times New Roman" w:eastAsia="Klavika-Light" w:hAnsi="Times New Roman" w:cs="Times New Roman"/>
                <w:sz w:val="24"/>
                <w:szCs w:val="24"/>
              </w:rPr>
            </w:pPr>
            <w:r w:rsidRPr="00B3369E">
              <w:rPr>
                <w:rFonts w:ascii="Times New Roman" w:eastAsia="Klavika-Bold" w:hAnsi="Times New Roman" w:cs="Times New Roman"/>
                <w:sz w:val="24"/>
                <w:szCs w:val="24"/>
              </w:rPr>
              <w:t>16593.2/180130.6*100</w:t>
            </w:r>
            <w:r w:rsidRPr="00B3369E">
              <w:rPr>
                <w:rFonts w:ascii="Times New Roman" w:eastAsia="Klavika-Light" w:hAnsi="Times New Roman" w:cs="Times New Roman"/>
                <w:sz w:val="24"/>
                <w:szCs w:val="24"/>
              </w:rPr>
              <w:t>=9.2%</w:t>
            </w:r>
          </w:p>
        </w:tc>
        <w:tc>
          <w:tcPr>
            <w:tcW w:w="1317" w:type="pct"/>
          </w:tcPr>
          <w:p w:rsidR="00B3369E" w:rsidRPr="00B3369E" w:rsidRDefault="00B3369E" w:rsidP="004838D2">
            <w:pPr>
              <w:autoSpaceDE w:val="0"/>
              <w:autoSpaceDN w:val="0"/>
              <w:adjustRightInd w:val="0"/>
              <w:jc w:val="center"/>
              <w:rPr>
                <w:rFonts w:ascii="Times New Roman" w:eastAsia="Klavika-Light" w:hAnsi="Times New Roman" w:cs="Times New Roman"/>
                <w:sz w:val="24"/>
                <w:szCs w:val="24"/>
              </w:rPr>
            </w:pPr>
            <w:r w:rsidRPr="00B3369E">
              <w:rPr>
                <w:rFonts w:ascii="Times New Roman" w:eastAsia="Klavika-Bold" w:hAnsi="Times New Roman" w:cs="Times New Roman"/>
                <w:sz w:val="24"/>
                <w:szCs w:val="24"/>
              </w:rPr>
              <w:t>14937.6/162165.2*100</w:t>
            </w:r>
            <w:r w:rsidRPr="00B3369E">
              <w:rPr>
                <w:rFonts w:ascii="Times New Roman" w:eastAsia="Klavika-Regular" w:hAnsi="Times New Roman" w:cs="Times New Roman"/>
                <w:sz w:val="24"/>
                <w:szCs w:val="24"/>
              </w:rPr>
              <w:t>=9.2%</w:t>
            </w:r>
          </w:p>
        </w:tc>
        <w:tc>
          <w:tcPr>
            <w:tcW w:w="1142" w:type="pct"/>
          </w:tcPr>
          <w:p w:rsidR="00B3369E" w:rsidRPr="00B3369E" w:rsidRDefault="00B3369E" w:rsidP="004838D2">
            <w:pPr>
              <w:autoSpaceDE w:val="0"/>
              <w:autoSpaceDN w:val="0"/>
              <w:adjustRightInd w:val="0"/>
              <w:jc w:val="center"/>
              <w:rPr>
                <w:rFonts w:ascii="Times New Roman" w:eastAsia="Klavika-Light" w:hAnsi="Times New Roman" w:cs="Times New Roman"/>
                <w:sz w:val="24"/>
                <w:szCs w:val="24"/>
              </w:rPr>
            </w:pPr>
            <w:r w:rsidRPr="00B3369E">
              <w:rPr>
                <w:rFonts w:ascii="Times New Roman" w:eastAsia="Klavika-Bold" w:hAnsi="Times New Roman" w:cs="Times New Roman"/>
                <w:sz w:val="24"/>
                <w:szCs w:val="24"/>
              </w:rPr>
              <w:t>14729.8</w:t>
            </w:r>
            <w:r w:rsidRPr="00B3369E">
              <w:rPr>
                <w:rFonts w:ascii="Times New Roman" w:eastAsia="Klavika-Regular" w:hAnsi="Times New Roman" w:cs="Times New Roman"/>
                <w:sz w:val="24"/>
                <w:szCs w:val="24"/>
              </w:rPr>
              <w:t>/</w:t>
            </w:r>
            <w:r w:rsidRPr="00B3369E">
              <w:rPr>
                <w:rFonts w:ascii="Times New Roman" w:eastAsia="Klavika-Bold" w:hAnsi="Times New Roman" w:cs="Times New Roman"/>
                <w:sz w:val="24"/>
                <w:szCs w:val="24"/>
              </w:rPr>
              <w:t>154548.6*100</w:t>
            </w:r>
            <w:r w:rsidRPr="00B3369E">
              <w:rPr>
                <w:rFonts w:ascii="Times New Roman" w:eastAsia="Klavika-Regular" w:hAnsi="Times New Roman" w:cs="Times New Roman"/>
                <w:sz w:val="24"/>
                <w:szCs w:val="24"/>
              </w:rPr>
              <w:t>=9.5%</w:t>
            </w:r>
          </w:p>
        </w:tc>
      </w:tr>
      <w:tr w:rsidR="00B3369E" w:rsidRPr="00B3369E" w:rsidTr="004838D2">
        <w:tc>
          <w:tcPr>
            <w:tcW w:w="1178" w:type="pct"/>
          </w:tcPr>
          <w:p w:rsidR="00B3369E" w:rsidRPr="00B3369E" w:rsidRDefault="00B3369E" w:rsidP="004838D2">
            <w:pPr>
              <w:autoSpaceDE w:val="0"/>
              <w:autoSpaceDN w:val="0"/>
              <w:adjustRightInd w:val="0"/>
              <w:rPr>
                <w:rFonts w:ascii="Times New Roman" w:eastAsia="Klavika-Light" w:hAnsi="Times New Roman" w:cs="Times New Roman"/>
                <w:b/>
                <w:bCs/>
                <w:sz w:val="24"/>
                <w:szCs w:val="24"/>
              </w:rPr>
            </w:pPr>
            <w:r w:rsidRPr="00B3369E">
              <w:rPr>
                <w:rFonts w:ascii="Times New Roman" w:eastAsia="Klavika-Light" w:hAnsi="Times New Roman" w:cs="Times New Roman"/>
                <w:sz w:val="24"/>
                <w:szCs w:val="24"/>
              </w:rPr>
              <w:t>Total Tier 1 Capital to Risk-weighted Asset Ratio</w:t>
            </w:r>
          </w:p>
        </w:tc>
        <w:tc>
          <w:tcPr>
            <w:tcW w:w="1363" w:type="pct"/>
          </w:tcPr>
          <w:p w:rsidR="00B3369E" w:rsidRPr="00B3369E" w:rsidRDefault="00B3369E" w:rsidP="004838D2">
            <w:pPr>
              <w:autoSpaceDE w:val="0"/>
              <w:autoSpaceDN w:val="0"/>
              <w:adjustRightInd w:val="0"/>
              <w:jc w:val="center"/>
              <w:rPr>
                <w:rFonts w:ascii="Times New Roman" w:eastAsia="Klavika-Light" w:hAnsi="Times New Roman" w:cs="Times New Roman"/>
                <w:sz w:val="24"/>
                <w:szCs w:val="24"/>
              </w:rPr>
            </w:pPr>
            <w:r w:rsidRPr="00B3369E">
              <w:rPr>
                <w:rFonts w:ascii="Times New Roman" w:eastAsia="Klavika-Bold" w:hAnsi="Times New Roman" w:cs="Times New Roman"/>
                <w:sz w:val="24"/>
                <w:szCs w:val="24"/>
              </w:rPr>
              <w:t>16593.2/180130.6*100</w:t>
            </w:r>
            <w:r w:rsidRPr="00B3369E">
              <w:rPr>
                <w:rFonts w:ascii="Times New Roman" w:eastAsia="Klavika-Light" w:hAnsi="Times New Roman" w:cs="Times New Roman"/>
                <w:sz w:val="24"/>
                <w:szCs w:val="24"/>
              </w:rPr>
              <w:t>=9.2%</w:t>
            </w:r>
          </w:p>
        </w:tc>
        <w:tc>
          <w:tcPr>
            <w:tcW w:w="1317" w:type="pct"/>
          </w:tcPr>
          <w:p w:rsidR="00B3369E" w:rsidRPr="00B3369E" w:rsidRDefault="00B3369E" w:rsidP="004838D2">
            <w:pPr>
              <w:autoSpaceDE w:val="0"/>
              <w:autoSpaceDN w:val="0"/>
              <w:adjustRightInd w:val="0"/>
              <w:jc w:val="center"/>
              <w:rPr>
                <w:rFonts w:ascii="Times New Roman" w:eastAsia="Klavika-Light" w:hAnsi="Times New Roman" w:cs="Times New Roman"/>
                <w:sz w:val="24"/>
                <w:szCs w:val="24"/>
              </w:rPr>
            </w:pPr>
            <w:r w:rsidRPr="00B3369E">
              <w:rPr>
                <w:rFonts w:ascii="Times New Roman" w:eastAsia="Klavika-Bold" w:hAnsi="Times New Roman" w:cs="Times New Roman"/>
                <w:sz w:val="24"/>
                <w:szCs w:val="24"/>
              </w:rPr>
              <w:t>14937.6/162165.2*100</w:t>
            </w:r>
            <w:r w:rsidRPr="00B3369E">
              <w:rPr>
                <w:rFonts w:ascii="Times New Roman" w:eastAsia="Klavika-Regular" w:hAnsi="Times New Roman" w:cs="Times New Roman"/>
                <w:sz w:val="24"/>
                <w:szCs w:val="24"/>
              </w:rPr>
              <w:t>=9.2%</w:t>
            </w:r>
          </w:p>
        </w:tc>
        <w:tc>
          <w:tcPr>
            <w:tcW w:w="1142" w:type="pct"/>
          </w:tcPr>
          <w:p w:rsidR="00B3369E" w:rsidRPr="00B3369E" w:rsidRDefault="00B3369E" w:rsidP="004838D2">
            <w:pPr>
              <w:autoSpaceDE w:val="0"/>
              <w:autoSpaceDN w:val="0"/>
              <w:adjustRightInd w:val="0"/>
              <w:jc w:val="center"/>
              <w:rPr>
                <w:rFonts w:ascii="Times New Roman" w:eastAsia="Klavika-Light" w:hAnsi="Times New Roman" w:cs="Times New Roman"/>
                <w:sz w:val="24"/>
                <w:szCs w:val="24"/>
              </w:rPr>
            </w:pPr>
            <w:r w:rsidRPr="00B3369E">
              <w:rPr>
                <w:rFonts w:ascii="Times New Roman" w:eastAsia="Klavika-Bold" w:hAnsi="Times New Roman" w:cs="Times New Roman"/>
                <w:sz w:val="24"/>
                <w:szCs w:val="24"/>
              </w:rPr>
              <w:t>14729.8/154548.6*100</w:t>
            </w:r>
            <w:r w:rsidRPr="00B3369E">
              <w:rPr>
                <w:rFonts w:ascii="Times New Roman" w:eastAsia="Klavika-Regular" w:hAnsi="Times New Roman" w:cs="Times New Roman"/>
                <w:sz w:val="24"/>
                <w:szCs w:val="24"/>
              </w:rPr>
              <w:t>=9.5%</w:t>
            </w:r>
          </w:p>
        </w:tc>
      </w:tr>
      <w:tr w:rsidR="00B3369E" w:rsidRPr="00B3369E" w:rsidTr="004838D2">
        <w:tc>
          <w:tcPr>
            <w:tcW w:w="1178" w:type="pct"/>
          </w:tcPr>
          <w:p w:rsidR="00B3369E" w:rsidRPr="00B3369E" w:rsidRDefault="00B3369E" w:rsidP="004838D2">
            <w:pPr>
              <w:autoSpaceDE w:val="0"/>
              <w:autoSpaceDN w:val="0"/>
              <w:adjustRightInd w:val="0"/>
              <w:rPr>
                <w:rFonts w:ascii="Times New Roman" w:eastAsia="Klavika-Light" w:hAnsi="Times New Roman" w:cs="Times New Roman"/>
                <w:b/>
                <w:bCs/>
                <w:sz w:val="24"/>
                <w:szCs w:val="24"/>
              </w:rPr>
            </w:pPr>
            <w:r w:rsidRPr="00B3369E">
              <w:rPr>
                <w:rFonts w:ascii="Times New Roman" w:eastAsia="Klavika-Light" w:hAnsi="Times New Roman" w:cs="Times New Roman"/>
                <w:sz w:val="24"/>
                <w:szCs w:val="24"/>
              </w:rPr>
              <w:t>Tier 2 Capital to Risk-weighted Asset Ratio</w:t>
            </w:r>
          </w:p>
        </w:tc>
        <w:tc>
          <w:tcPr>
            <w:tcW w:w="1363" w:type="pct"/>
          </w:tcPr>
          <w:p w:rsidR="00B3369E" w:rsidRPr="00B3369E" w:rsidRDefault="00B3369E" w:rsidP="004838D2">
            <w:pPr>
              <w:autoSpaceDE w:val="0"/>
              <w:autoSpaceDN w:val="0"/>
              <w:adjustRightInd w:val="0"/>
              <w:jc w:val="center"/>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9513.4</w:t>
            </w:r>
            <w:r w:rsidRPr="00B3369E">
              <w:rPr>
                <w:rFonts w:ascii="Times New Roman" w:eastAsia="Klavika-Bold" w:hAnsi="Times New Roman" w:cs="Times New Roman"/>
                <w:sz w:val="24"/>
                <w:szCs w:val="24"/>
              </w:rPr>
              <w:t>/180130.6*100 =</w:t>
            </w:r>
            <w:r w:rsidRPr="00B3369E">
              <w:rPr>
                <w:rFonts w:ascii="Times New Roman" w:eastAsia="Klavika-Light" w:hAnsi="Times New Roman" w:cs="Times New Roman"/>
                <w:sz w:val="24"/>
                <w:szCs w:val="24"/>
              </w:rPr>
              <w:t>5.3%</w:t>
            </w:r>
          </w:p>
        </w:tc>
        <w:tc>
          <w:tcPr>
            <w:tcW w:w="1317" w:type="pct"/>
          </w:tcPr>
          <w:p w:rsidR="00B3369E" w:rsidRPr="00B3369E" w:rsidRDefault="00B3369E" w:rsidP="004838D2">
            <w:pPr>
              <w:autoSpaceDE w:val="0"/>
              <w:autoSpaceDN w:val="0"/>
              <w:adjustRightInd w:val="0"/>
              <w:jc w:val="center"/>
              <w:rPr>
                <w:rFonts w:ascii="Times New Roman" w:eastAsia="Klavika-Light" w:hAnsi="Times New Roman" w:cs="Times New Roman"/>
                <w:sz w:val="24"/>
                <w:szCs w:val="24"/>
              </w:rPr>
            </w:pPr>
            <w:r w:rsidRPr="00B3369E">
              <w:rPr>
                <w:rFonts w:ascii="Times New Roman" w:eastAsia="Klavika-Regular" w:hAnsi="Times New Roman" w:cs="Times New Roman"/>
                <w:sz w:val="24"/>
                <w:szCs w:val="24"/>
              </w:rPr>
              <w:t>6311.8</w:t>
            </w:r>
            <w:r w:rsidRPr="00B3369E">
              <w:rPr>
                <w:rFonts w:ascii="Times New Roman" w:eastAsia="Klavika-Bold" w:hAnsi="Times New Roman" w:cs="Times New Roman"/>
                <w:sz w:val="24"/>
                <w:szCs w:val="24"/>
              </w:rPr>
              <w:t>/162165.2*100</w:t>
            </w:r>
            <w:r w:rsidRPr="00B3369E">
              <w:rPr>
                <w:rFonts w:ascii="Times New Roman" w:eastAsia="Klavika-Regular" w:hAnsi="Times New Roman" w:cs="Times New Roman"/>
                <w:sz w:val="24"/>
                <w:szCs w:val="24"/>
              </w:rPr>
              <w:t>=3.9%</w:t>
            </w:r>
          </w:p>
        </w:tc>
        <w:tc>
          <w:tcPr>
            <w:tcW w:w="1142" w:type="pct"/>
          </w:tcPr>
          <w:p w:rsidR="00B3369E" w:rsidRPr="00B3369E" w:rsidRDefault="00B3369E" w:rsidP="004838D2">
            <w:pPr>
              <w:keepNext/>
              <w:autoSpaceDE w:val="0"/>
              <w:autoSpaceDN w:val="0"/>
              <w:adjustRightInd w:val="0"/>
              <w:jc w:val="center"/>
              <w:rPr>
                <w:rFonts w:ascii="Times New Roman" w:eastAsia="Klavika-Light" w:hAnsi="Times New Roman" w:cs="Times New Roman"/>
                <w:sz w:val="24"/>
                <w:szCs w:val="24"/>
              </w:rPr>
            </w:pPr>
            <w:r w:rsidRPr="00B3369E">
              <w:rPr>
                <w:rFonts w:ascii="Times New Roman" w:eastAsia="Klavika-Regular" w:hAnsi="Times New Roman" w:cs="Times New Roman"/>
                <w:sz w:val="24"/>
                <w:szCs w:val="24"/>
              </w:rPr>
              <w:t>6407.9</w:t>
            </w:r>
            <w:r w:rsidRPr="00B3369E">
              <w:rPr>
                <w:rFonts w:ascii="Times New Roman" w:eastAsia="Klavika-Bold" w:hAnsi="Times New Roman" w:cs="Times New Roman"/>
                <w:sz w:val="24"/>
                <w:szCs w:val="24"/>
              </w:rPr>
              <w:t>/154548.6*100</w:t>
            </w:r>
            <w:r w:rsidRPr="00B3369E">
              <w:rPr>
                <w:rFonts w:ascii="Times New Roman" w:eastAsia="Klavika-Regular" w:hAnsi="Times New Roman" w:cs="Times New Roman"/>
                <w:sz w:val="24"/>
                <w:szCs w:val="24"/>
              </w:rPr>
              <w:t>=4.2%</w:t>
            </w:r>
          </w:p>
        </w:tc>
      </w:tr>
    </w:tbl>
    <w:p w:rsidR="00B3369E" w:rsidRPr="00B3369E" w:rsidRDefault="00B3369E" w:rsidP="00B3369E">
      <w:pPr>
        <w:pStyle w:val="Tables"/>
      </w:pPr>
      <w:bookmarkStart w:id="221" w:name="_Toc6620269"/>
      <w:r w:rsidRPr="00B3369E">
        <w:t xml:space="preserve">Table 6:  </w:t>
      </w:r>
      <w:r w:rsidR="00276A72">
        <w:fldChar w:fldCharType="begin"/>
      </w:r>
      <w:r w:rsidR="002324C7">
        <w:instrText xml:space="preserve"> SEQ Table_6:_ \* ARABIC </w:instrText>
      </w:r>
      <w:r w:rsidR="00276A72">
        <w:fldChar w:fldCharType="separate"/>
      </w:r>
      <w:r w:rsidRPr="00B3369E">
        <w:rPr>
          <w:noProof/>
        </w:rPr>
        <w:t>7</w:t>
      </w:r>
      <w:r w:rsidR="00276A72">
        <w:rPr>
          <w:noProof/>
        </w:rPr>
        <w:fldChar w:fldCharType="end"/>
      </w:r>
      <w:r w:rsidRPr="00B3369E">
        <w:t xml:space="preserve"> Total capital, CET1 capital, Total Tier 1 capital and Tier 2 capital ratios</w:t>
      </w:r>
      <w:bookmarkEnd w:id="221"/>
    </w:p>
    <w:p w:rsidR="00B3369E" w:rsidRPr="00B3369E" w:rsidRDefault="00B3369E" w:rsidP="00B3369E">
      <w:pPr>
        <w:pStyle w:val="Tables"/>
        <w:rPr>
          <w:rFonts w:eastAsia="Klavika-Light"/>
        </w:rPr>
      </w:pPr>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rPr>
      </w:pPr>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rPr>
      </w:pPr>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Regulatory Capital Position of DBBL</w:t>
      </w:r>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rPr>
      </w:pPr>
    </w:p>
    <w:p w:rsidR="00B3369E" w:rsidRPr="00B3369E" w:rsidRDefault="00B3369E" w:rsidP="00B3369E">
      <w:pPr>
        <w:keepNext/>
        <w:spacing w:line="240" w:lineRule="auto"/>
        <w:jc w:val="center"/>
        <w:rPr>
          <w:rFonts w:ascii="Times New Roman" w:hAnsi="Times New Roman" w:cs="Times New Roman"/>
        </w:rPr>
      </w:pPr>
      <w:r w:rsidRPr="00B3369E">
        <w:rPr>
          <w:rFonts w:ascii="Times New Roman" w:hAnsi="Times New Roman" w:cs="Times New Roman"/>
          <w:noProof/>
        </w:rPr>
        <w:drawing>
          <wp:inline distT="0" distB="0" distL="0" distR="0">
            <wp:extent cx="5079560" cy="2118946"/>
            <wp:effectExtent l="19050" t="0" r="25840" b="0"/>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3369E" w:rsidRPr="00B3369E" w:rsidRDefault="00B3369E" w:rsidP="00B3369E">
      <w:pPr>
        <w:pStyle w:val="Figures"/>
      </w:pPr>
      <w:bookmarkStart w:id="222" w:name="_Toc6621157"/>
      <w:r w:rsidRPr="00B3369E">
        <w:t xml:space="preserve">Figure 6:  </w:t>
      </w:r>
      <w:r w:rsidR="00276A72">
        <w:fldChar w:fldCharType="begin"/>
      </w:r>
      <w:r w:rsidR="002324C7">
        <w:instrText xml:space="preserve"> SEQ Figure_6:_ \* ARABIC </w:instrText>
      </w:r>
      <w:r w:rsidR="00276A72">
        <w:fldChar w:fldCharType="separate"/>
      </w:r>
      <w:r w:rsidRPr="00B3369E">
        <w:rPr>
          <w:noProof/>
        </w:rPr>
        <w:t>1</w:t>
      </w:r>
      <w:r w:rsidR="00276A72">
        <w:rPr>
          <w:noProof/>
        </w:rPr>
        <w:fldChar w:fldCharType="end"/>
      </w:r>
      <w:r w:rsidRPr="00B3369E">
        <w:t xml:space="preserve"> Regulatory Capital Position of DBBL</w:t>
      </w:r>
      <w:bookmarkEnd w:id="222"/>
    </w:p>
    <w:p w:rsidR="00B3369E" w:rsidRPr="00B3369E" w:rsidRDefault="00B3369E" w:rsidP="00B3369E">
      <w:pPr>
        <w:rPr>
          <w:rFonts w:ascii="Times New Roman" w:hAnsi="Times New Roman" w:cs="Times New Roman"/>
        </w:rPr>
      </w:pPr>
    </w:p>
    <w:p w:rsidR="00B3369E" w:rsidRPr="00B3369E" w:rsidRDefault="00B3369E" w:rsidP="00B3369E">
      <w:pPr>
        <w:spacing w:line="240" w:lineRule="auto"/>
        <w:jc w:val="both"/>
        <w:rPr>
          <w:rFonts w:ascii="Times New Roman" w:hAnsi="Times New Roman" w:cs="Times New Roman"/>
          <w:b/>
          <w:bCs/>
          <w:sz w:val="24"/>
          <w:szCs w:val="24"/>
        </w:rPr>
      </w:pPr>
      <w:r w:rsidRPr="00B3369E">
        <w:rPr>
          <w:rFonts w:ascii="Times New Roman" w:hAnsi="Times New Roman" w:cs="Times New Roman"/>
          <w:b/>
          <w:bCs/>
          <w:sz w:val="24"/>
          <w:szCs w:val="24"/>
        </w:rPr>
        <w:t>Capital Adequacy Ratio/Capital to Risk-weighted Asset Ratio of DBBL</w:t>
      </w:r>
    </w:p>
    <w:p w:rsidR="00B3369E" w:rsidRPr="00B3369E" w:rsidRDefault="00B3369E" w:rsidP="00B3369E">
      <w:pPr>
        <w:keepNext/>
        <w:spacing w:line="240" w:lineRule="auto"/>
        <w:jc w:val="center"/>
        <w:rPr>
          <w:rFonts w:ascii="Times New Roman" w:hAnsi="Times New Roman" w:cs="Times New Roman"/>
        </w:rPr>
      </w:pPr>
      <w:r w:rsidRPr="00B3369E">
        <w:rPr>
          <w:rFonts w:ascii="Times New Roman" w:hAnsi="Times New Roman" w:cs="Times New Roman"/>
          <w:b/>
          <w:bCs/>
          <w:noProof/>
          <w:sz w:val="24"/>
          <w:szCs w:val="24"/>
        </w:rPr>
        <w:drawing>
          <wp:inline distT="0" distB="0" distL="0" distR="0">
            <wp:extent cx="4238625" cy="1762125"/>
            <wp:effectExtent l="19050" t="0" r="9525"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3369E" w:rsidRPr="00B3369E" w:rsidRDefault="00B3369E" w:rsidP="00B3369E">
      <w:pPr>
        <w:pStyle w:val="Figures"/>
      </w:pPr>
      <w:bookmarkStart w:id="223" w:name="_Toc6621158"/>
      <w:r w:rsidRPr="00B3369E">
        <w:t xml:space="preserve">Figure 6:  </w:t>
      </w:r>
      <w:r w:rsidR="00276A72">
        <w:fldChar w:fldCharType="begin"/>
      </w:r>
      <w:r w:rsidR="002324C7">
        <w:instrText xml:space="preserve"> SEQ Figure_6:_ \* ARABIC </w:instrText>
      </w:r>
      <w:r w:rsidR="00276A72">
        <w:fldChar w:fldCharType="separate"/>
      </w:r>
      <w:r w:rsidRPr="00B3369E">
        <w:rPr>
          <w:noProof/>
        </w:rPr>
        <w:t>2</w:t>
      </w:r>
      <w:r w:rsidR="00276A72">
        <w:rPr>
          <w:noProof/>
        </w:rPr>
        <w:fldChar w:fldCharType="end"/>
      </w:r>
      <w:r w:rsidRPr="00B3369E">
        <w:t xml:space="preserve"> Capital Adequacy Ratio/Capital to Risk-weighted Asset Ratio of DBBL</w:t>
      </w:r>
      <w:bookmarkEnd w:id="223"/>
    </w:p>
    <w:p w:rsidR="00B3369E" w:rsidRPr="00B3369E" w:rsidRDefault="00B3369E" w:rsidP="00B3369E">
      <w:pPr>
        <w:rPr>
          <w:rFonts w:ascii="Times New Roman" w:hAnsi="Times New Roman" w:cs="Times New Roman"/>
        </w:rPr>
      </w:pPr>
    </w:p>
    <w:p w:rsidR="00B3369E" w:rsidRPr="00B3369E" w:rsidRDefault="00B3369E" w:rsidP="00B3369E">
      <w:pPr>
        <w:autoSpaceDE w:val="0"/>
        <w:autoSpaceDN w:val="0"/>
        <w:adjustRightInd w:val="0"/>
        <w:spacing w:after="0" w:line="240" w:lineRule="auto"/>
        <w:rPr>
          <w:rFonts w:ascii="Times New Roman" w:eastAsia="Klavika-Light" w:hAnsi="Times New Roman" w:cs="Times New Roman"/>
          <w:b/>
          <w:bCs/>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Bangladesh Bank through Basel III should be </w:t>
      </w:r>
      <w:r w:rsidRPr="00B3369E">
        <w:rPr>
          <w:rFonts w:ascii="Times New Roman" w:eastAsia="Klavika-Light" w:hAnsi="Times New Roman" w:cs="Times New Roman"/>
          <w:sz w:val="24"/>
          <w:szCs w:val="24"/>
        </w:rPr>
        <w:t xml:space="preserve">Common Equity Tier 1 Capital to Risk-weighted Asset Ratio with conversion buffer 2015-4.5%, 2016-5.125% and 2017-5.75% then Tier 1 Capital to Risk-weighted Asset Ratio should be 2015-5.5%, 2016-5.5% and 2017-6.0% then Total Capital to Risk-weighted Asset Ratio (CRAR) should be 2015-10.0%, 2016-10.625% and 2018 11.875%. So, DBBL surplus their requirement to Total Capital to Risk-weighted Asset Ratio (CRAR), Common Equity Tier 1 Capital to Risk-weighted Asset Ratio and Tier 1 Capital to Risk-weighted Asset Ratio to 2015-2017. </w:t>
      </w:r>
      <w:r w:rsidRPr="00B3369E">
        <w:rPr>
          <w:rFonts w:ascii="Times New Roman" w:hAnsi="Times New Roman" w:cs="Times New Roman"/>
          <w:color w:val="212121"/>
          <w:sz w:val="24"/>
          <w:szCs w:val="24"/>
        </w:rPr>
        <w:t>Under shows capital adequacy ratio of DBBL:</w:t>
      </w: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tbl>
      <w:tblPr>
        <w:tblStyle w:val="TableGrid"/>
        <w:tblW w:w="5000" w:type="pct"/>
        <w:tblLook w:val="04A0"/>
      </w:tblPr>
      <w:tblGrid>
        <w:gridCol w:w="3090"/>
        <w:gridCol w:w="956"/>
        <w:gridCol w:w="1076"/>
        <w:gridCol w:w="956"/>
        <w:gridCol w:w="1055"/>
        <w:gridCol w:w="1056"/>
        <w:gridCol w:w="1054"/>
      </w:tblGrid>
      <w:tr w:rsidR="00B3369E" w:rsidRPr="00B3369E" w:rsidTr="004838D2">
        <w:trPr>
          <w:trHeight w:val="291"/>
        </w:trPr>
        <w:tc>
          <w:tcPr>
            <w:tcW w:w="1672" w:type="pct"/>
            <w:vMerge w:val="restart"/>
          </w:tcPr>
          <w:p w:rsidR="00B3369E" w:rsidRPr="00B3369E" w:rsidRDefault="00B3369E" w:rsidP="004838D2">
            <w:pPr>
              <w:pStyle w:val="HTMLPreformatted"/>
              <w:spacing w:line="276" w:lineRule="auto"/>
              <w:jc w:val="center"/>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Particulars</w:t>
            </w:r>
          </w:p>
        </w:tc>
        <w:tc>
          <w:tcPr>
            <w:tcW w:w="1616" w:type="pct"/>
            <w:gridSpan w:val="3"/>
          </w:tcPr>
          <w:p w:rsidR="00B3369E" w:rsidRPr="00B3369E" w:rsidRDefault="00B3369E" w:rsidP="004838D2">
            <w:pPr>
              <w:pStyle w:val="HTMLPreformatted"/>
              <w:spacing w:line="276" w:lineRule="auto"/>
              <w:jc w:val="center"/>
              <w:rPr>
                <w:rFonts w:ascii="Times New Roman" w:hAnsi="Times New Roman" w:cs="Times New Roman"/>
                <w:color w:val="212121"/>
              </w:rPr>
            </w:pPr>
            <w:r w:rsidRPr="00B3369E">
              <w:rPr>
                <w:rFonts w:ascii="Times New Roman" w:hAnsi="Times New Roman" w:cs="Times New Roman"/>
                <w:color w:val="212121"/>
              </w:rPr>
              <w:t>BB Basel III Requirement</w:t>
            </w:r>
          </w:p>
        </w:tc>
        <w:tc>
          <w:tcPr>
            <w:tcW w:w="571" w:type="pct"/>
            <w:vMerge w:val="restart"/>
          </w:tcPr>
          <w:p w:rsidR="00B3369E" w:rsidRPr="00B3369E" w:rsidRDefault="00B3369E" w:rsidP="004838D2">
            <w:pPr>
              <w:pStyle w:val="HTMLPreformatted"/>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DBBL 2015</w:t>
            </w:r>
          </w:p>
        </w:tc>
        <w:tc>
          <w:tcPr>
            <w:tcW w:w="571" w:type="pct"/>
            <w:vMerge w:val="restart"/>
          </w:tcPr>
          <w:p w:rsidR="00B3369E" w:rsidRPr="00B3369E" w:rsidRDefault="00B3369E" w:rsidP="004838D2">
            <w:pPr>
              <w:pStyle w:val="HTMLPreformatted"/>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DBBL 2016</w:t>
            </w:r>
          </w:p>
        </w:tc>
        <w:tc>
          <w:tcPr>
            <w:tcW w:w="571" w:type="pct"/>
            <w:vMerge w:val="restart"/>
          </w:tcPr>
          <w:p w:rsidR="00B3369E" w:rsidRPr="00B3369E" w:rsidRDefault="00B3369E" w:rsidP="004838D2">
            <w:pPr>
              <w:pStyle w:val="HTMLPreformatted"/>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DBBL 2017</w:t>
            </w:r>
          </w:p>
        </w:tc>
      </w:tr>
      <w:tr w:rsidR="00B3369E" w:rsidRPr="00B3369E" w:rsidTr="004838D2">
        <w:trPr>
          <w:trHeight w:val="291"/>
        </w:trPr>
        <w:tc>
          <w:tcPr>
            <w:tcW w:w="1672" w:type="pct"/>
            <w:vMerge/>
          </w:tcPr>
          <w:p w:rsidR="00B3369E" w:rsidRPr="00B3369E" w:rsidRDefault="00B3369E" w:rsidP="004838D2">
            <w:pPr>
              <w:pStyle w:val="HTMLPreformatted"/>
              <w:spacing w:line="276" w:lineRule="auto"/>
              <w:rPr>
                <w:rFonts w:ascii="Times New Roman" w:hAnsi="Times New Roman" w:cs="Times New Roman"/>
                <w:color w:val="212121"/>
                <w:sz w:val="24"/>
                <w:szCs w:val="24"/>
              </w:rPr>
            </w:pPr>
          </w:p>
        </w:tc>
        <w:tc>
          <w:tcPr>
            <w:tcW w:w="517" w:type="pct"/>
          </w:tcPr>
          <w:p w:rsidR="00B3369E" w:rsidRPr="00B3369E" w:rsidRDefault="00B3369E" w:rsidP="004838D2">
            <w:pPr>
              <w:pStyle w:val="HTMLPreformatted"/>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2015</w:t>
            </w:r>
          </w:p>
        </w:tc>
        <w:tc>
          <w:tcPr>
            <w:tcW w:w="582" w:type="pct"/>
          </w:tcPr>
          <w:p w:rsidR="00B3369E" w:rsidRPr="00B3369E" w:rsidRDefault="00B3369E" w:rsidP="004838D2">
            <w:pPr>
              <w:pStyle w:val="HTMLPreformatted"/>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2016</w:t>
            </w:r>
          </w:p>
        </w:tc>
        <w:tc>
          <w:tcPr>
            <w:tcW w:w="517" w:type="pct"/>
          </w:tcPr>
          <w:p w:rsidR="00B3369E" w:rsidRPr="00B3369E" w:rsidRDefault="00B3369E" w:rsidP="004838D2">
            <w:pPr>
              <w:pStyle w:val="HTMLPreformatted"/>
              <w:spacing w:line="276" w:lineRule="auto"/>
              <w:rPr>
                <w:rFonts w:ascii="Times New Roman" w:hAnsi="Times New Roman" w:cs="Times New Roman"/>
                <w:color w:val="212121"/>
                <w:sz w:val="24"/>
                <w:szCs w:val="24"/>
              </w:rPr>
            </w:pPr>
            <w:r w:rsidRPr="00B3369E">
              <w:rPr>
                <w:rFonts w:ascii="Times New Roman" w:hAnsi="Times New Roman" w:cs="Times New Roman"/>
                <w:color w:val="212121"/>
                <w:sz w:val="24"/>
                <w:szCs w:val="24"/>
              </w:rPr>
              <w:t>2017</w:t>
            </w:r>
          </w:p>
        </w:tc>
        <w:tc>
          <w:tcPr>
            <w:tcW w:w="571" w:type="pct"/>
            <w:vMerge/>
          </w:tcPr>
          <w:p w:rsidR="00B3369E" w:rsidRPr="00B3369E" w:rsidRDefault="00B3369E" w:rsidP="004838D2">
            <w:pPr>
              <w:pStyle w:val="HTMLPreformatted"/>
              <w:spacing w:line="276" w:lineRule="auto"/>
              <w:rPr>
                <w:rFonts w:ascii="Times New Roman" w:hAnsi="Times New Roman" w:cs="Times New Roman"/>
                <w:color w:val="212121"/>
                <w:sz w:val="24"/>
                <w:szCs w:val="24"/>
              </w:rPr>
            </w:pPr>
          </w:p>
        </w:tc>
        <w:tc>
          <w:tcPr>
            <w:tcW w:w="571" w:type="pct"/>
            <w:vMerge/>
          </w:tcPr>
          <w:p w:rsidR="00B3369E" w:rsidRPr="00B3369E" w:rsidRDefault="00B3369E" w:rsidP="004838D2">
            <w:pPr>
              <w:pStyle w:val="HTMLPreformatted"/>
              <w:spacing w:line="276" w:lineRule="auto"/>
              <w:rPr>
                <w:rFonts w:ascii="Times New Roman" w:hAnsi="Times New Roman" w:cs="Times New Roman"/>
                <w:color w:val="212121"/>
                <w:sz w:val="24"/>
                <w:szCs w:val="24"/>
              </w:rPr>
            </w:pPr>
          </w:p>
        </w:tc>
        <w:tc>
          <w:tcPr>
            <w:tcW w:w="571" w:type="pct"/>
            <w:vMerge/>
          </w:tcPr>
          <w:p w:rsidR="00B3369E" w:rsidRPr="00B3369E" w:rsidRDefault="00B3369E" w:rsidP="004838D2">
            <w:pPr>
              <w:pStyle w:val="HTMLPreformatted"/>
              <w:spacing w:line="276" w:lineRule="auto"/>
              <w:rPr>
                <w:rFonts w:ascii="Times New Roman" w:hAnsi="Times New Roman" w:cs="Times New Roman"/>
                <w:color w:val="212121"/>
                <w:sz w:val="24"/>
                <w:szCs w:val="24"/>
              </w:rPr>
            </w:pPr>
          </w:p>
        </w:tc>
      </w:tr>
      <w:tr w:rsidR="00B3369E" w:rsidRPr="00B3369E" w:rsidTr="004838D2">
        <w:tc>
          <w:tcPr>
            <w:tcW w:w="1672" w:type="pct"/>
          </w:tcPr>
          <w:p w:rsidR="00B3369E" w:rsidRPr="00B3369E" w:rsidRDefault="00B3369E" w:rsidP="004838D2">
            <w:pPr>
              <w:pStyle w:val="HTMLPreformatted"/>
              <w:spacing w:line="276" w:lineRule="auto"/>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Total Capital to Risk-weighted Asset Ratio (CRAR)</w:t>
            </w:r>
          </w:p>
        </w:tc>
        <w:tc>
          <w:tcPr>
            <w:tcW w:w="517"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10.00%</w:t>
            </w:r>
          </w:p>
        </w:tc>
        <w:tc>
          <w:tcPr>
            <w:tcW w:w="582"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10.625%</w:t>
            </w:r>
          </w:p>
        </w:tc>
        <w:tc>
          <w:tcPr>
            <w:tcW w:w="517"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11.25%</w:t>
            </w:r>
          </w:p>
        </w:tc>
        <w:tc>
          <w:tcPr>
            <w:tcW w:w="571"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13.7%</w:t>
            </w:r>
          </w:p>
        </w:tc>
        <w:tc>
          <w:tcPr>
            <w:tcW w:w="571"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13.1%</w:t>
            </w:r>
          </w:p>
        </w:tc>
        <w:tc>
          <w:tcPr>
            <w:tcW w:w="571"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14.1%</w:t>
            </w:r>
          </w:p>
        </w:tc>
      </w:tr>
      <w:tr w:rsidR="00B3369E" w:rsidRPr="00B3369E" w:rsidTr="004838D2">
        <w:tc>
          <w:tcPr>
            <w:tcW w:w="1672" w:type="pct"/>
          </w:tcPr>
          <w:p w:rsidR="00B3369E" w:rsidRPr="00B3369E" w:rsidRDefault="00B3369E" w:rsidP="004838D2">
            <w:pPr>
              <w:pStyle w:val="HTMLPreformatted"/>
              <w:spacing w:line="276" w:lineRule="auto"/>
              <w:rPr>
                <w:rFonts w:ascii="Times New Roman" w:hAnsi="Times New Roman" w:cs="Times New Roman"/>
                <w:color w:val="212121"/>
                <w:sz w:val="24"/>
                <w:szCs w:val="24"/>
              </w:rPr>
            </w:pPr>
            <w:r w:rsidRPr="00B3369E">
              <w:rPr>
                <w:rFonts w:ascii="Times New Roman" w:eastAsia="Klavika-Light" w:hAnsi="Times New Roman" w:cs="Times New Roman"/>
                <w:sz w:val="24"/>
                <w:szCs w:val="24"/>
              </w:rPr>
              <w:t>Common Equity Tier 1 Capital to Risk-weighted Asset Ratio</w:t>
            </w:r>
            <w:r w:rsidRPr="00B3369E">
              <w:rPr>
                <w:rFonts w:ascii="Times New Roman" w:hAnsi="Times New Roman" w:cs="Times New Roman"/>
                <w:color w:val="212121"/>
                <w:sz w:val="24"/>
                <w:szCs w:val="24"/>
              </w:rPr>
              <w:t xml:space="preserve"> </w:t>
            </w:r>
          </w:p>
        </w:tc>
        <w:tc>
          <w:tcPr>
            <w:tcW w:w="517"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5.5%</w:t>
            </w:r>
          </w:p>
        </w:tc>
        <w:tc>
          <w:tcPr>
            <w:tcW w:w="582"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5.125%</w:t>
            </w:r>
          </w:p>
        </w:tc>
        <w:tc>
          <w:tcPr>
            <w:tcW w:w="517"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5.75%</w:t>
            </w:r>
          </w:p>
        </w:tc>
        <w:tc>
          <w:tcPr>
            <w:tcW w:w="571"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9.5%</w:t>
            </w:r>
          </w:p>
        </w:tc>
        <w:tc>
          <w:tcPr>
            <w:tcW w:w="571"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9.2%</w:t>
            </w:r>
          </w:p>
        </w:tc>
        <w:tc>
          <w:tcPr>
            <w:tcW w:w="571"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9.2%</w:t>
            </w:r>
          </w:p>
        </w:tc>
      </w:tr>
      <w:tr w:rsidR="00B3369E" w:rsidRPr="00B3369E" w:rsidTr="004838D2">
        <w:tc>
          <w:tcPr>
            <w:tcW w:w="1672" w:type="pct"/>
          </w:tcPr>
          <w:p w:rsidR="00B3369E" w:rsidRPr="00B3369E" w:rsidRDefault="00B3369E" w:rsidP="004838D2">
            <w:pPr>
              <w:pStyle w:val="HTMLPreformatted"/>
              <w:spacing w:line="276" w:lineRule="auto"/>
              <w:rPr>
                <w:rFonts w:ascii="Times New Roman" w:hAnsi="Times New Roman" w:cs="Times New Roman"/>
                <w:color w:val="212121"/>
                <w:sz w:val="24"/>
                <w:szCs w:val="24"/>
              </w:rPr>
            </w:pPr>
            <w:r w:rsidRPr="00B3369E">
              <w:rPr>
                <w:rFonts w:ascii="Times New Roman" w:eastAsia="Klavika-Light" w:hAnsi="Times New Roman" w:cs="Times New Roman"/>
                <w:sz w:val="24"/>
                <w:szCs w:val="24"/>
              </w:rPr>
              <w:t>Total Tier 1 Capital to Risk-weighted Asset Ratio</w:t>
            </w:r>
          </w:p>
        </w:tc>
        <w:tc>
          <w:tcPr>
            <w:tcW w:w="517"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5.5%</w:t>
            </w:r>
          </w:p>
        </w:tc>
        <w:tc>
          <w:tcPr>
            <w:tcW w:w="582"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5.5%</w:t>
            </w:r>
          </w:p>
        </w:tc>
        <w:tc>
          <w:tcPr>
            <w:tcW w:w="517"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6.0%</w:t>
            </w:r>
          </w:p>
        </w:tc>
        <w:tc>
          <w:tcPr>
            <w:tcW w:w="571"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9.5%</w:t>
            </w:r>
          </w:p>
        </w:tc>
        <w:tc>
          <w:tcPr>
            <w:tcW w:w="571" w:type="pct"/>
          </w:tcPr>
          <w:p w:rsidR="00B3369E" w:rsidRPr="00B3369E" w:rsidRDefault="00B3369E" w:rsidP="004838D2">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9.2%</w:t>
            </w:r>
          </w:p>
        </w:tc>
        <w:tc>
          <w:tcPr>
            <w:tcW w:w="571" w:type="pct"/>
          </w:tcPr>
          <w:p w:rsidR="00B3369E" w:rsidRPr="00B3369E" w:rsidRDefault="00B3369E" w:rsidP="004838D2">
            <w:pPr>
              <w:pStyle w:val="HTMLPreformatted"/>
              <w:keepNext/>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9.2%</w:t>
            </w:r>
          </w:p>
        </w:tc>
      </w:tr>
    </w:tbl>
    <w:p w:rsidR="00B3369E" w:rsidRPr="00B3369E" w:rsidRDefault="00B3369E" w:rsidP="00B3369E">
      <w:pPr>
        <w:pStyle w:val="Tables"/>
      </w:pPr>
      <w:bookmarkStart w:id="224" w:name="_Toc6620270"/>
      <w:r w:rsidRPr="00B3369E">
        <w:t xml:space="preserve">Table 6:  </w:t>
      </w:r>
      <w:r w:rsidR="00276A72">
        <w:fldChar w:fldCharType="begin"/>
      </w:r>
      <w:r w:rsidR="002324C7">
        <w:instrText xml:space="preserve"> SEQ Table_6:_ \* ARABIC </w:instrText>
      </w:r>
      <w:r w:rsidR="00276A72">
        <w:fldChar w:fldCharType="separate"/>
      </w:r>
      <w:r w:rsidRPr="00B3369E">
        <w:rPr>
          <w:noProof/>
        </w:rPr>
        <w:t>8</w:t>
      </w:r>
      <w:r w:rsidR="00276A72">
        <w:rPr>
          <w:noProof/>
        </w:rPr>
        <w:fldChar w:fldCharType="end"/>
      </w:r>
      <w:r w:rsidRPr="00B3369E">
        <w:t xml:space="preserve"> Capital Adequacy Ratio of DBBL</w:t>
      </w:r>
      <w:bookmarkEnd w:id="224"/>
    </w:p>
    <w:p w:rsidR="00B3369E" w:rsidRPr="00B3369E" w:rsidRDefault="00B3369E" w:rsidP="00B3369E">
      <w:pPr>
        <w:pStyle w:val="Tables"/>
        <w:rPr>
          <w:rFonts w:eastAsia="Klavika-Light"/>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DBBL considering the existing capital requirements, the quarterly rest of portfolio size, various risk weight portfolio density group, asset quality, profit trend etc, by evaluating the capital requirement. The bank also predicts the adequacy of capital in terms of its capacity to produce internal capital, Portfolio size maintaining portfolio size, asset quality, credit rating, separation, risk weight group etc. etc. 31 December 2017, maintaining the total capital of the bank (CET1 / Level 1 and level 2) 26.1 billion 20 against the minimum requirements including capital. Buffett reserves 5.8 billion taka in 8 billion taka. Bank's Capital-Risk Asset Ratio (CRAR) 31 as of December 2007 was 14.5% (CET1 9.2% in capital) and Tier 2 capitalized 5.3%) consolidating minimum capital against regulatory requirements buffer 11.25%. There is surplus capital between both absolute quantities and proportion (CRAR) which is considered adequate to absorb the risk of all the components Banks may be exposed in the future. More than bank maintenance provides adequate capital against regulatory requirements and keep ensure the confidence of investors, depositors and others partners.</w:t>
      </w:r>
    </w:p>
    <w:p w:rsidR="00B3369E" w:rsidRPr="00B3369E" w:rsidRDefault="00B3369E" w:rsidP="00B3369E">
      <w:pPr>
        <w:autoSpaceDE w:val="0"/>
        <w:autoSpaceDN w:val="0"/>
        <w:adjustRightInd w:val="0"/>
        <w:spacing w:after="0" w:line="240" w:lineRule="auto"/>
        <w:rPr>
          <w:rFonts w:ascii="Times New Roman" w:eastAsia="Klavika-Light" w:hAnsi="Times New Roman" w:cs="Times New Roman"/>
          <w:b/>
          <w:bCs/>
          <w:sz w:val="24"/>
          <w:szCs w:val="24"/>
        </w:rPr>
      </w:pPr>
    </w:p>
    <w:p w:rsidR="00B3369E" w:rsidRPr="00B3369E" w:rsidRDefault="00B3369E" w:rsidP="00B3369E">
      <w:pPr>
        <w:keepNext/>
        <w:autoSpaceDE w:val="0"/>
        <w:autoSpaceDN w:val="0"/>
        <w:adjustRightInd w:val="0"/>
        <w:spacing w:after="0" w:line="240" w:lineRule="auto"/>
        <w:jc w:val="center"/>
        <w:rPr>
          <w:rFonts w:ascii="Times New Roman" w:hAnsi="Times New Roman" w:cs="Times New Roman"/>
        </w:rPr>
      </w:pPr>
      <w:r w:rsidRPr="00B3369E">
        <w:rPr>
          <w:rFonts w:ascii="Times New Roman" w:eastAsia="Klavika-Light" w:hAnsi="Times New Roman" w:cs="Times New Roman"/>
          <w:b/>
          <w:bCs/>
          <w:noProof/>
          <w:sz w:val="24"/>
          <w:szCs w:val="24"/>
        </w:rPr>
        <w:drawing>
          <wp:inline distT="0" distB="0" distL="0" distR="0">
            <wp:extent cx="4572000" cy="2257425"/>
            <wp:effectExtent l="19050" t="0" r="19050" b="0"/>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3369E" w:rsidRPr="00B3369E" w:rsidRDefault="00B3369E" w:rsidP="00B3369E">
      <w:pPr>
        <w:pStyle w:val="Figures"/>
        <w:rPr>
          <w:rFonts w:eastAsia="Klavika-Light"/>
        </w:rPr>
      </w:pPr>
      <w:bookmarkStart w:id="225" w:name="_Toc6621159"/>
      <w:r w:rsidRPr="00B3369E">
        <w:t xml:space="preserve">Figure 6:  </w:t>
      </w:r>
      <w:r w:rsidR="00276A72">
        <w:fldChar w:fldCharType="begin"/>
      </w:r>
      <w:r w:rsidR="002324C7">
        <w:instrText xml:space="preserve"> SEQ Figure_6:_ \* ARABIC </w:instrText>
      </w:r>
      <w:r w:rsidR="00276A72">
        <w:fldChar w:fldCharType="separate"/>
      </w:r>
      <w:r w:rsidRPr="00B3369E">
        <w:rPr>
          <w:noProof/>
        </w:rPr>
        <w:t>3</w:t>
      </w:r>
      <w:r w:rsidR="00276A72">
        <w:rPr>
          <w:noProof/>
        </w:rPr>
        <w:fldChar w:fldCharType="end"/>
      </w:r>
      <w:r w:rsidRPr="00B3369E">
        <w:t xml:space="preserve"> DBBL Yearly Change CRAR, CET 1 and Tier 1 Ratio</w:t>
      </w:r>
      <w:bookmarkEnd w:id="225"/>
    </w:p>
    <w:p w:rsidR="00B3369E" w:rsidRPr="00B3369E" w:rsidRDefault="00B3369E" w:rsidP="00B3369E">
      <w:pPr>
        <w:autoSpaceDE w:val="0"/>
        <w:autoSpaceDN w:val="0"/>
        <w:adjustRightInd w:val="0"/>
        <w:spacing w:after="0" w:line="240" w:lineRule="auto"/>
        <w:rPr>
          <w:rFonts w:ascii="Times New Roman" w:eastAsia="Klavika-Light" w:hAnsi="Times New Roman" w:cs="Times New Roman"/>
          <w:b/>
          <w:bCs/>
          <w:sz w:val="24"/>
          <w:szCs w:val="24"/>
        </w:rPr>
      </w:pPr>
    </w:p>
    <w:p w:rsidR="00B3369E" w:rsidRPr="00B3369E" w:rsidRDefault="00B3369E" w:rsidP="00B3369E">
      <w:pPr>
        <w:autoSpaceDE w:val="0"/>
        <w:autoSpaceDN w:val="0"/>
        <w:adjustRightInd w:val="0"/>
        <w:spacing w:after="0" w:line="240" w:lineRule="auto"/>
        <w:jc w:val="both"/>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DBBL increase to surplus Tier 1 to capital 2015-9.5%, 2016-9.2% and 9.20% then Bangladesh Bank rule if Tier 1 capital cross to &gt;7% minimum capital requirement from zero conversion buffer to 100% constraint on distribution of capital by way of dividends, share buybacks and bonus. When DBBL have loosed profit their bank then they can be cope up their capital conservation buffer.</w:t>
      </w:r>
    </w:p>
    <w:p w:rsidR="00B3369E" w:rsidRPr="00B3369E" w:rsidRDefault="00B3369E" w:rsidP="00B3369E">
      <w:pPr>
        <w:autoSpaceDE w:val="0"/>
        <w:autoSpaceDN w:val="0"/>
        <w:adjustRightInd w:val="0"/>
        <w:spacing w:after="0" w:line="240" w:lineRule="auto"/>
        <w:rPr>
          <w:rFonts w:ascii="Times New Roman" w:eastAsia="Klavika-Light" w:hAnsi="Times New Roman" w:cs="Times New Roman"/>
          <w:b/>
          <w:bCs/>
          <w:sz w:val="24"/>
          <w:szCs w:val="24"/>
        </w:rPr>
      </w:pPr>
    </w:p>
    <w:p w:rsidR="00B3369E" w:rsidRPr="00B3369E" w:rsidRDefault="00B3369E" w:rsidP="00B3369E">
      <w:pPr>
        <w:autoSpaceDE w:val="0"/>
        <w:autoSpaceDN w:val="0"/>
        <w:adjustRightInd w:val="0"/>
        <w:spacing w:after="0" w:line="240" w:lineRule="auto"/>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Capital Conservation Buffer</w:t>
      </w:r>
    </w:p>
    <w:tbl>
      <w:tblPr>
        <w:tblStyle w:val="TableGrid"/>
        <w:tblW w:w="5000" w:type="pct"/>
        <w:tblLook w:val="04A0"/>
      </w:tblPr>
      <w:tblGrid>
        <w:gridCol w:w="6282"/>
        <w:gridCol w:w="1116"/>
        <w:gridCol w:w="1116"/>
        <w:gridCol w:w="729"/>
      </w:tblGrid>
      <w:tr w:rsidR="00B3369E" w:rsidRPr="00B3369E" w:rsidTr="004838D2">
        <w:tc>
          <w:tcPr>
            <w:tcW w:w="3418" w:type="pct"/>
          </w:tcPr>
          <w:p w:rsidR="00B3369E" w:rsidRPr="00B3369E" w:rsidRDefault="00B3369E" w:rsidP="004838D2">
            <w:pPr>
              <w:autoSpaceDE w:val="0"/>
              <w:autoSpaceDN w:val="0"/>
              <w:adjustRightInd w:val="0"/>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Particulars</w:t>
            </w:r>
          </w:p>
        </w:tc>
        <w:tc>
          <w:tcPr>
            <w:tcW w:w="584"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2017</w:t>
            </w:r>
          </w:p>
        </w:tc>
        <w:tc>
          <w:tcPr>
            <w:tcW w:w="584"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2016</w:t>
            </w:r>
          </w:p>
        </w:tc>
        <w:tc>
          <w:tcPr>
            <w:tcW w:w="414"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2015</w:t>
            </w:r>
          </w:p>
        </w:tc>
      </w:tr>
      <w:tr w:rsidR="00B3369E" w:rsidRPr="00B3369E" w:rsidTr="004838D2">
        <w:tc>
          <w:tcPr>
            <w:tcW w:w="3418" w:type="pct"/>
          </w:tcPr>
          <w:p w:rsidR="00B3369E" w:rsidRPr="00B3369E" w:rsidRDefault="00B3369E" w:rsidP="004838D2">
            <w:pPr>
              <w:autoSpaceDE w:val="0"/>
              <w:autoSpaceDN w:val="0"/>
              <w:adjustRightInd w:val="0"/>
              <w:rPr>
                <w:rFonts w:ascii="Times New Roman" w:eastAsia="Klavika-Light" w:hAnsi="Times New Roman" w:cs="Times New Roman"/>
                <w:b/>
                <w:bCs/>
                <w:sz w:val="24"/>
                <w:szCs w:val="24"/>
              </w:rPr>
            </w:pPr>
            <w:r w:rsidRPr="00B3369E">
              <w:rPr>
                <w:rFonts w:ascii="Times New Roman" w:eastAsia="Klavika-Light" w:hAnsi="Times New Roman" w:cs="Times New Roman"/>
                <w:sz w:val="24"/>
                <w:szCs w:val="24"/>
              </w:rPr>
              <w:t xml:space="preserve">Risk Weighted Assets </w:t>
            </w:r>
            <w:r w:rsidRPr="00B3369E">
              <w:rPr>
                <w:rFonts w:ascii="Times New Roman" w:eastAsia="Klavika-Bold" w:hAnsi="Times New Roman" w:cs="Times New Roman"/>
                <w:b/>
                <w:bCs/>
                <w:sz w:val="24"/>
                <w:szCs w:val="24"/>
              </w:rPr>
              <w:t>[A]</w:t>
            </w:r>
          </w:p>
        </w:tc>
        <w:tc>
          <w:tcPr>
            <w:tcW w:w="584"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180130.6</w:t>
            </w:r>
          </w:p>
        </w:tc>
        <w:tc>
          <w:tcPr>
            <w:tcW w:w="584"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162165.2</w:t>
            </w:r>
          </w:p>
        </w:tc>
        <w:tc>
          <w:tcPr>
            <w:tcW w:w="414"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w:t>
            </w:r>
          </w:p>
        </w:tc>
      </w:tr>
      <w:tr w:rsidR="00B3369E" w:rsidRPr="00B3369E" w:rsidTr="004838D2">
        <w:tc>
          <w:tcPr>
            <w:tcW w:w="3418" w:type="pct"/>
          </w:tcPr>
          <w:p w:rsidR="00B3369E" w:rsidRPr="00B3369E" w:rsidRDefault="00B3369E" w:rsidP="004838D2">
            <w:pPr>
              <w:autoSpaceDE w:val="0"/>
              <w:autoSpaceDN w:val="0"/>
              <w:adjustRightInd w:val="0"/>
              <w:rPr>
                <w:rFonts w:ascii="Times New Roman" w:eastAsia="Klavika-Light" w:hAnsi="Times New Roman" w:cs="Times New Roman"/>
                <w:b/>
                <w:bCs/>
                <w:sz w:val="24"/>
                <w:szCs w:val="24"/>
              </w:rPr>
            </w:pPr>
            <w:r w:rsidRPr="00B3369E">
              <w:rPr>
                <w:rFonts w:ascii="Times New Roman" w:eastAsia="Klavika-Light" w:hAnsi="Times New Roman" w:cs="Times New Roman"/>
                <w:sz w:val="24"/>
                <w:szCs w:val="24"/>
              </w:rPr>
              <w:t xml:space="preserve">Rate of Capital Conservation Buffer for 2017 in Percentage </w:t>
            </w:r>
            <w:r w:rsidRPr="00B3369E">
              <w:rPr>
                <w:rFonts w:ascii="Times New Roman" w:eastAsia="Klavika-Bold" w:hAnsi="Times New Roman" w:cs="Times New Roman"/>
                <w:b/>
                <w:bCs/>
                <w:sz w:val="24"/>
                <w:szCs w:val="24"/>
              </w:rPr>
              <w:t>[B]</w:t>
            </w:r>
          </w:p>
        </w:tc>
        <w:tc>
          <w:tcPr>
            <w:tcW w:w="584"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1.25%</w:t>
            </w:r>
          </w:p>
        </w:tc>
        <w:tc>
          <w:tcPr>
            <w:tcW w:w="584"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0.625%</w:t>
            </w:r>
          </w:p>
        </w:tc>
        <w:tc>
          <w:tcPr>
            <w:tcW w:w="414"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w:t>
            </w:r>
          </w:p>
        </w:tc>
      </w:tr>
      <w:tr w:rsidR="00B3369E" w:rsidRPr="00B3369E" w:rsidTr="004838D2">
        <w:tc>
          <w:tcPr>
            <w:tcW w:w="3418" w:type="pct"/>
          </w:tcPr>
          <w:p w:rsidR="00B3369E" w:rsidRPr="00B3369E" w:rsidRDefault="00B3369E" w:rsidP="004838D2">
            <w:pPr>
              <w:autoSpaceDE w:val="0"/>
              <w:autoSpaceDN w:val="0"/>
              <w:adjustRightInd w:val="0"/>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Amount of Common Equity Tier 1 (CET 1) Capital is</w:t>
            </w:r>
          </w:p>
          <w:p w:rsidR="00B3369E" w:rsidRPr="00B3369E" w:rsidRDefault="00B3369E" w:rsidP="004838D2">
            <w:pPr>
              <w:autoSpaceDE w:val="0"/>
              <w:autoSpaceDN w:val="0"/>
              <w:adjustRightInd w:val="0"/>
              <w:rPr>
                <w:rFonts w:ascii="Times New Roman" w:eastAsia="Klavika-Light" w:hAnsi="Times New Roman" w:cs="Times New Roman"/>
                <w:b/>
                <w:bCs/>
                <w:sz w:val="24"/>
                <w:szCs w:val="24"/>
              </w:rPr>
            </w:pPr>
            <w:r w:rsidRPr="00B3369E">
              <w:rPr>
                <w:rFonts w:ascii="Times New Roman" w:eastAsia="Klavika-Light" w:hAnsi="Times New Roman" w:cs="Times New Roman"/>
                <w:sz w:val="24"/>
                <w:szCs w:val="24"/>
              </w:rPr>
              <w:t xml:space="preserve">required as Capital Conservation Buffer </w:t>
            </w:r>
            <w:r w:rsidRPr="00B3369E">
              <w:rPr>
                <w:rFonts w:ascii="Times New Roman" w:eastAsia="Klavika-Bold" w:hAnsi="Times New Roman" w:cs="Times New Roman"/>
                <w:b/>
                <w:bCs/>
                <w:sz w:val="24"/>
                <w:szCs w:val="24"/>
              </w:rPr>
              <w:t>[ C = A x B ]</w:t>
            </w:r>
          </w:p>
        </w:tc>
        <w:tc>
          <w:tcPr>
            <w:tcW w:w="584"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2251.6</w:t>
            </w:r>
          </w:p>
        </w:tc>
        <w:tc>
          <w:tcPr>
            <w:tcW w:w="584" w:type="pct"/>
          </w:tcPr>
          <w:p w:rsidR="00B3369E" w:rsidRPr="00B3369E" w:rsidRDefault="00B3369E" w:rsidP="004838D2">
            <w:pPr>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1013.5</w:t>
            </w:r>
          </w:p>
        </w:tc>
        <w:tc>
          <w:tcPr>
            <w:tcW w:w="414" w:type="pct"/>
          </w:tcPr>
          <w:p w:rsidR="00B3369E" w:rsidRPr="00B3369E" w:rsidRDefault="00B3369E" w:rsidP="004838D2">
            <w:pPr>
              <w:keepNext/>
              <w:autoSpaceDE w:val="0"/>
              <w:autoSpaceDN w:val="0"/>
              <w:adjustRightInd w:val="0"/>
              <w:jc w:val="center"/>
              <w:rPr>
                <w:rFonts w:ascii="Times New Roman" w:eastAsia="Klavika-Light" w:hAnsi="Times New Roman" w:cs="Times New Roman"/>
                <w:b/>
                <w:bCs/>
                <w:sz w:val="24"/>
                <w:szCs w:val="24"/>
              </w:rPr>
            </w:pPr>
            <w:r w:rsidRPr="00B3369E">
              <w:rPr>
                <w:rFonts w:ascii="Times New Roman" w:eastAsia="Klavika-Light" w:hAnsi="Times New Roman" w:cs="Times New Roman"/>
                <w:b/>
                <w:bCs/>
                <w:sz w:val="24"/>
                <w:szCs w:val="24"/>
              </w:rPr>
              <w:t>-</w:t>
            </w:r>
          </w:p>
        </w:tc>
      </w:tr>
    </w:tbl>
    <w:p w:rsidR="00B3369E" w:rsidRPr="00B3369E" w:rsidRDefault="00B3369E" w:rsidP="00B3369E">
      <w:pPr>
        <w:pStyle w:val="Tables"/>
      </w:pPr>
      <w:bookmarkStart w:id="226" w:name="_Toc6620271"/>
      <w:r w:rsidRPr="00B3369E">
        <w:t xml:space="preserve">Table 6:  </w:t>
      </w:r>
      <w:r w:rsidR="00276A72">
        <w:fldChar w:fldCharType="begin"/>
      </w:r>
      <w:r w:rsidR="002324C7">
        <w:instrText xml:space="preserve"> SEQ Table_6:_ \* ARABIC </w:instrText>
      </w:r>
      <w:r w:rsidR="00276A72">
        <w:fldChar w:fldCharType="separate"/>
      </w:r>
      <w:r w:rsidRPr="00B3369E">
        <w:rPr>
          <w:noProof/>
        </w:rPr>
        <w:t>9</w:t>
      </w:r>
      <w:r w:rsidR="00276A72">
        <w:rPr>
          <w:noProof/>
        </w:rPr>
        <w:fldChar w:fldCharType="end"/>
      </w:r>
      <w:r w:rsidRPr="00B3369E">
        <w:t xml:space="preserve"> Capital Conservation Buffer</w:t>
      </w:r>
      <w:bookmarkEnd w:id="226"/>
    </w:p>
    <w:p w:rsidR="00B3369E" w:rsidRPr="00B3369E" w:rsidRDefault="00B3369E" w:rsidP="00B3369E">
      <w:pPr>
        <w:pStyle w:val="Tables"/>
      </w:pPr>
    </w:p>
    <w:p w:rsidR="00B3369E" w:rsidRPr="00B3369E" w:rsidRDefault="00B3369E" w:rsidP="00B3369E">
      <w:pPr>
        <w:pStyle w:val="HTMLPreformatted"/>
        <w:shd w:val="clear" w:color="auto" w:fill="FFFFFF"/>
        <w:spacing w:line="360" w:lineRule="auto"/>
        <w:jc w:val="both"/>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Under to follow 2015-17 three risk capital requirement:</w:t>
      </w:r>
    </w:p>
    <w:p w:rsidR="00B3369E" w:rsidRPr="00B3369E" w:rsidRDefault="00B3369E" w:rsidP="00B3369E">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 xml:space="preserve">Credit Risk for Capital requirement                                                               </w:t>
      </w:r>
      <w:proofErr w:type="gramStart"/>
      <w:r w:rsidRPr="00B3369E">
        <w:rPr>
          <w:rFonts w:ascii="Times New Roman" w:hAnsi="Times New Roman" w:cs="Times New Roman"/>
          <w:b/>
          <w:bCs/>
          <w:sz w:val="24"/>
          <w:szCs w:val="24"/>
        </w:rPr>
        <w:t>in million taka</w:t>
      </w:r>
      <w:proofErr w:type="gramEnd"/>
    </w:p>
    <w:tbl>
      <w:tblPr>
        <w:tblStyle w:val="TableGrid"/>
        <w:tblW w:w="5000" w:type="pct"/>
        <w:tblLook w:val="04A0"/>
      </w:tblPr>
      <w:tblGrid>
        <w:gridCol w:w="2176"/>
        <w:gridCol w:w="1176"/>
        <w:gridCol w:w="1172"/>
        <w:gridCol w:w="1172"/>
        <w:gridCol w:w="1181"/>
        <w:gridCol w:w="1181"/>
        <w:gridCol w:w="1185"/>
      </w:tblGrid>
      <w:tr w:rsidR="00B3369E" w:rsidRPr="00B3369E" w:rsidTr="004838D2">
        <w:tc>
          <w:tcPr>
            <w:tcW w:w="1177"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Particulars</w:t>
            </w:r>
          </w:p>
        </w:tc>
        <w:tc>
          <w:tcPr>
            <w:tcW w:w="1904" w:type="pct"/>
            <w:gridSpan w:val="3"/>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Risk Weighted Assets (RWA)</w:t>
            </w:r>
          </w:p>
        </w:tc>
        <w:tc>
          <w:tcPr>
            <w:tcW w:w="1919" w:type="pct"/>
            <w:gridSpan w:val="3"/>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Minimum Capital Requirement</w:t>
            </w:r>
          </w:p>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(MCR)</w:t>
            </w:r>
          </w:p>
        </w:tc>
      </w:tr>
      <w:tr w:rsidR="00B3369E" w:rsidRPr="00B3369E" w:rsidTr="004838D2">
        <w:tc>
          <w:tcPr>
            <w:tcW w:w="1177"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b/>
                <w:bCs/>
                <w:sz w:val="24"/>
                <w:szCs w:val="24"/>
              </w:rPr>
              <w:t>Credit Risk</w:t>
            </w:r>
          </w:p>
        </w:tc>
        <w:tc>
          <w:tcPr>
            <w:tcW w:w="636"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hAnsi="Times New Roman" w:cs="Times New Roman"/>
                <w:b/>
                <w:bCs/>
                <w:sz w:val="24"/>
                <w:szCs w:val="24"/>
              </w:rPr>
              <w:t>2017</w:t>
            </w:r>
          </w:p>
        </w:tc>
        <w:tc>
          <w:tcPr>
            <w:tcW w:w="634"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hAnsi="Times New Roman" w:cs="Times New Roman"/>
                <w:b/>
                <w:bCs/>
                <w:sz w:val="24"/>
                <w:szCs w:val="24"/>
              </w:rPr>
              <w:t>2016</w:t>
            </w:r>
          </w:p>
        </w:tc>
        <w:tc>
          <w:tcPr>
            <w:tcW w:w="634"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hAnsi="Times New Roman" w:cs="Times New Roman"/>
                <w:b/>
                <w:bCs/>
                <w:sz w:val="24"/>
                <w:szCs w:val="24"/>
              </w:rPr>
              <w:t>2015</w:t>
            </w:r>
          </w:p>
        </w:tc>
        <w:tc>
          <w:tcPr>
            <w:tcW w:w="639"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hAnsi="Times New Roman" w:cs="Times New Roman"/>
                <w:b/>
                <w:bCs/>
                <w:sz w:val="24"/>
                <w:szCs w:val="24"/>
              </w:rPr>
              <w:t>2017</w:t>
            </w:r>
          </w:p>
        </w:tc>
        <w:tc>
          <w:tcPr>
            <w:tcW w:w="639"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hAnsi="Times New Roman" w:cs="Times New Roman"/>
                <w:b/>
                <w:bCs/>
                <w:sz w:val="24"/>
                <w:szCs w:val="24"/>
              </w:rPr>
              <w:t>2016</w:t>
            </w:r>
          </w:p>
        </w:tc>
        <w:tc>
          <w:tcPr>
            <w:tcW w:w="641"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hAnsi="Times New Roman" w:cs="Times New Roman"/>
                <w:b/>
                <w:bCs/>
                <w:sz w:val="24"/>
                <w:szCs w:val="24"/>
              </w:rPr>
              <w:t>2015</w:t>
            </w:r>
          </w:p>
        </w:tc>
      </w:tr>
      <w:tr w:rsidR="00B3369E" w:rsidRPr="00B3369E" w:rsidTr="004838D2">
        <w:tc>
          <w:tcPr>
            <w:tcW w:w="1177"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sz w:val="24"/>
                <w:szCs w:val="24"/>
              </w:rPr>
              <w:t>On-balance sheet</w:t>
            </w:r>
          </w:p>
        </w:tc>
        <w:tc>
          <w:tcPr>
            <w:tcW w:w="636"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sz w:val="24"/>
                <w:szCs w:val="24"/>
              </w:rPr>
              <w:t>139822.2</w:t>
            </w:r>
          </w:p>
        </w:tc>
        <w:tc>
          <w:tcPr>
            <w:tcW w:w="634"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Regular" w:hAnsi="Times New Roman" w:cs="Times New Roman"/>
                <w:sz w:val="24"/>
                <w:szCs w:val="24"/>
              </w:rPr>
              <w:t>127731.2</w:t>
            </w:r>
          </w:p>
        </w:tc>
        <w:tc>
          <w:tcPr>
            <w:tcW w:w="634"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Regular" w:hAnsi="Times New Roman" w:cs="Times New Roman"/>
                <w:sz w:val="24"/>
                <w:szCs w:val="24"/>
              </w:rPr>
              <w:t>121909.8</w:t>
            </w:r>
          </w:p>
        </w:tc>
        <w:tc>
          <w:tcPr>
            <w:tcW w:w="639"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sz w:val="24"/>
                <w:szCs w:val="24"/>
              </w:rPr>
              <w:t>13982.2</w:t>
            </w:r>
          </w:p>
        </w:tc>
        <w:tc>
          <w:tcPr>
            <w:tcW w:w="639"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Regular" w:hAnsi="Times New Roman" w:cs="Times New Roman"/>
                <w:sz w:val="24"/>
                <w:szCs w:val="24"/>
              </w:rPr>
              <w:t>12773.1</w:t>
            </w:r>
          </w:p>
        </w:tc>
        <w:tc>
          <w:tcPr>
            <w:tcW w:w="641"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Regular" w:hAnsi="Times New Roman" w:cs="Times New Roman"/>
                <w:sz w:val="24"/>
                <w:szCs w:val="24"/>
              </w:rPr>
              <w:t>12191.0</w:t>
            </w:r>
          </w:p>
        </w:tc>
      </w:tr>
      <w:tr w:rsidR="00B3369E" w:rsidRPr="00B3369E" w:rsidTr="004838D2">
        <w:tc>
          <w:tcPr>
            <w:tcW w:w="1177"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sz w:val="24"/>
                <w:szCs w:val="24"/>
              </w:rPr>
              <w:t>Off-balance sheet</w:t>
            </w:r>
          </w:p>
        </w:tc>
        <w:tc>
          <w:tcPr>
            <w:tcW w:w="636"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sz w:val="24"/>
                <w:szCs w:val="24"/>
              </w:rPr>
              <w:t>12098.6</w:t>
            </w:r>
          </w:p>
        </w:tc>
        <w:tc>
          <w:tcPr>
            <w:tcW w:w="634"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Regular" w:hAnsi="Times New Roman" w:cs="Times New Roman"/>
                <w:sz w:val="24"/>
                <w:szCs w:val="24"/>
              </w:rPr>
              <w:t>9264.7</w:t>
            </w:r>
          </w:p>
        </w:tc>
        <w:tc>
          <w:tcPr>
            <w:tcW w:w="634"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Regular" w:hAnsi="Times New Roman" w:cs="Times New Roman"/>
                <w:sz w:val="24"/>
                <w:szCs w:val="24"/>
              </w:rPr>
              <w:t>8152.2</w:t>
            </w:r>
          </w:p>
        </w:tc>
        <w:tc>
          <w:tcPr>
            <w:tcW w:w="639"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sz w:val="24"/>
                <w:szCs w:val="24"/>
              </w:rPr>
              <w:t>1209.9</w:t>
            </w:r>
          </w:p>
        </w:tc>
        <w:tc>
          <w:tcPr>
            <w:tcW w:w="639"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Regular" w:hAnsi="Times New Roman" w:cs="Times New Roman"/>
                <w:sz w:val="24"/>
                <w:szCs w:val="24"/>
              </w:rPr>
              <w:t>926.5</w:t>
            </w:r>
          </w:p>
        </w:tc>
        <w:tc>
          <w:tcPr>
            <w:tcW w:w="641"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Regular" w:hAnsi="Times New Roman" w:cs="Times New Roman"/>
                <w:sz w:val="24"/>
                <w:szCs w:val="24"/>
              </w:rPr>
              <w:t>815.2</w:t>
            </w:r>
          </w:p>
        </w:tc>
      </w:tr>
      <w:tr w:rsidR="00B3369E" w:rsidRPr="00B3369E" w:rsidTr="004838D2">
        <w:tc>
          <w:tcPr>
            <w:tcW w:w="1177"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Total Credit Risk</w:t>
            </w:r>
          </w:p>
        </w:tc>
        <w:tc>
          <w:tcPr>
            <w:tcW w:w="636"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151920.8</w:t>
            </w:r>
          </w:p>
        </w:tc>
        <w:tc>
          <w:tcPr>
            <w:tcW w:w="634"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136995.9</w:t>
            </w:r>
          </w:p>
        </w:tc>
        <w:tc>
          <w:tcPr>
            <w:tcW w:w="634"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130062.0</w:t>
            </w:r>
          </w:p>
        </w:tc>
        <w:tc>
          <w:tcPr>
            <w:tcW w:w="639"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15192.1</w:t>
            </w:r>
          </w:p>
        </w:tc>
        <w:tc>
          <w:tcPr>
            <w:tcW w:w="639"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13699.6</w:t>
            </w:r>
          </w:p>
        </w:tc>
        <w:tc>
          <w:tcPr>
            <w:tcW w:w="640" w:type="pct"/>
          </w:tcPr>
          <w:p w:rsidR="00B3369E" w:rsidRPr="00B3369E" w:rsidRDefault="00B3369E" w:rsidP="004838D2">
            <w:pPr>
              <w:keepNext/>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13006.2</w:t>
            </w:r>
          </w:p>
        </w:tc>
      </w:tr>
    </w:tbl>
    <w:p w:rsidR="00B3369E" w:rsidRPr="00B3369E" w:rsidRDefault="00B3369E" w:rsidP="00B3369E">
      <w:pPr>
        <w:pStyle w:val="Tables"/>
      </w:pPr>
      <w:bookmarkStart w:id="227" w:name="_Toc6620272"/>
      <w:r w:rsidRPr="00B3369E">
        <w:t xml:space="preserve">Table 6:  </w:t>
      </w:r>
      <w:r w:rsidR="00276A72">
        <w:fldChar w:fldCharType="begin"/>
      </w:r>
      <w:r w:rsidR="002324C7">
        <w:instrText xml:space="preserve"> SEQ Table_6:_ \* ARABIC </w:instrText>
      </w:r>
      <w:r w:rsidR="00276A72">
        <w:fldChar w:fldCharType="separate"/>
      </w:r>
      <w:r w:rsidRPr="00B3369E">
        <w:rPr>
          <w:noProof/>
        </w:rPr>
        <w:t>10</w:t>
      </w:r>
      <w:r w:rsidR="00276A72">
        <w:rPr>
          <w:noProof/>
        </w:rPr>
        <w:fldChar w:fldCharType="end"/>
      </w:r>
      <w:r w:rsidRPr="00B3369E">
        <w:t xml:space="preserve"> Credit Risk for Capital requirement</w:t>
      </w:r>
      <w:bookmarkEnd w:id="227"/>
    </w:p>
    <w:p w:rsidR="00B3369E" w:rsidRPr="00B3369E" w:rsidRDefault="00B3369E" w:rsidP="00B3369E">
      <w:pPr>
        <w:pStyle w:val="Tables"/>
      </w:pPr>
    </w:p>
    <w:p w:rsidR="00B3369E" w:rsidRPr="00B3369E" w:rsidRDefault="00B3369E" w:rsidP="00B3369E">
      <w:pPr>
        <w:pStyle w:val="NoSpacing"/>
        <w:rPr>
          <w:rFonts w:ascii="Times New Roman" w:hAnsi="Times New Roman" w:cs="Times New Roman"/>
          <w:b/>
          <w:bCs/>
          <w:sz w:val="24"/>
          <w:szCs w:val="24"/>
        </w:rPr>
      </w:pPr>
      <w:r w:rsidRPr="00B3369E">
        <w:rPr>
          <w:rFonts w:ascii="Times New Roman" w:eastAsia="Klavika-Light" w:hAnsi="Times New Roman" w:cs="Times New Roman"/>
          <w:b/>
          <w:bCs/>
          <w:sz w:val="24"/>
          <w:szCs w:val="24"/>
        </w:rPr>
        <w:t xml:space="preserve">Market Risk </w:t>
      </w:r>
      <w:r w:rsidRPr="00B3369E">
        <w:rPr>
          <w:rFonts w:ascii="Times New Roman" w:hAnsi="Times New Roman" w:cs="Times New Roman"/>
          <w:b/>
          <w:bCs/>
          <w:sz w:val="24"/>
          <w:szCs w:val="24"/>
        </w:rPr>
        <w:t xml:space="preserve">for Capital requirement                                                             </w:t>
      </w:r>
      <w:proofErr w:type="gramStart"/>
      <w:r w:rsidRPr="00B3369E">
        <w:rPr>
          <w:rFonts w:ascii="Times New Roman" w:hAnsi="Times New Roman" w:cs="Times New Roman"/>
          <w:b/>
          <w:bCs/>
          <w:sz w:val="24"/>
          <w:szCs w:val="24"/>
        </w:rPr>
        <w:t>in million taka</w:t>
      </w:r>
      <w:proofErr w:type="gramEnd"/>
    </w:p>
    <w:tbl>
      <w:tblPr>
        <w:tblStyle w:val="TableGrid"/>
        <w:tblW w:w="5000" w:type="pct"/>
        <w:tblLook w:val="04A0"/>
      </w:tblPr>
      <w:tblGrid>
        <w:gridCol w:w="2178"/>
        <w:gridCol w:w="1170"/>
        <w:gridCol w:w="1170"/>
        <w:gridCol w:w="1170"/>
        <w:gridCol w:w="1185"/>
        <w:gridCol w:w="1185"/>
        <w:gridCol w:w="1185"/>
      </w:tblGrid>
      <w:tr w:rsidR="00B3369E" w:rsidRPr="00B3369E" w:rsidTr="004838D2">
        <w:tc>
          <w:tcPr>
            <w:tcW w:w="1178"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Particulars</w:t>
            </w:r>
          </w:p>
        </w:tc>
        <w:tc>
          <w:tcPr>
            <w:tcW w:w="1899" w:type="pct"/>
            <w:gridSpan w:val="3"/>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Risk Weighted Assets (RWA)</w:t>
            </w:r>
          </w:p>
        </w:tc>
        <w:tc>
          <w:tcPr>
            <w:tcW w:w="1923" w:type="pct"/>
            <w:gridSpan w:val="3"/>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Minimum Capital Requirement</w:t>
            </w:r>
          </w:p>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(MCR)</w:t>
            </w:r>
          </w:p>
        </w:tc>
      </w:tr>
      <w:tr w:rsidR="00B3369E" w:rsidRPr="00B3369E" w:rsidTr="004838D2">
        <w:tc>
          <w:tcPr>
            <w:tcW w:w="1178"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b/>
                <w:bCs/>
                <w:sz w:val="24"/>
                <w:szCs w:val="24"/>
              </w:rPr>
              <w:t>Market Risk</w:t>
            </w:r>
          </w:p>
        </w:tc>
        <w:tc>
          <w:tcPr>
            <w:tcW w:w="633"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2017</w:t>
            </w:r>
          </w:p>
        </w:tc>
        <w:tc>
          <w:tcPr>
            <w:tcW w:w="633"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2016</w:t>
            </w:r>
          </w:p>
        </w:tc>
        <w:tc>
          <w:tcPr>
            <w:tcW w:w="633"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2015</w:t>
            </w:r>
          </w:p>
        </w:tc>
        <w:tc>
          <w:tcPr>
            <w:tcW w:w="641"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2017</w:t>
            </w:r>
          </w:p>
        </w:tc>
        <w:tc>
          <w:tcPr>
            <w:tcW w:w="641"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2016</w:t>
            </w:r>
          </w:p>
        </w:tc>
        <w:tc>
          <w:tcPr>
            <w:tcW w:w="641"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2015</w:t>
            </w:r>
          </w:p>
        </w:tc>
      </w:tr>
      <w:tr w:rsidR="00B3369E" w:rsidRPr="00B3369E" w:rsidTr="004838D2">
        <w:tc>
          <w:tcPr>
            <w:tcW w:w="1178"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sz w:val="24"/>
                <w:szCs w:val="24"/>
              </w:rPr>
              <w:t>Interest Rate related instrument</w:t>
            </w:r>
          </w:p>
        </w:tc>
        <w:tc>
          <w:tcPr>
            <w:tcW w:w="633"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w:t>
            </w:r>
          </w:p>
        </w:tc>
        <w:tc>
          <w:tcPr>
            <w:tcW w:w="633"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c>
          <w:tcPr>
            <w:tcW w:w="633"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c>
          <w:tcPr>
            <w:tcW w:w="641"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w:t>
            </w:r>
          </w:p>
        </w:tc>
        <w:tc>
          <w:tcPr>
            <w:tcW w:w="641"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c>
          <w:tcPr>
            <w:tcW w:w="641"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hAnsi="Times New Roman" w:cs="Times New Roman"/>
                <w:b/>
                <w:bCs/>
                <w:sz w:val="24"/>
                <w:szCs w:val="24"/>
              </w:rPr>
              <w:t>-</w:t>
            </w:r>
          </w:p>
        </w:tc>
      </w:tr>
      <w:tr w:rsidR="00B3369E" w:rsidRPr="00B3369E" w:rsidTr="004838D2">
        <w:tc>
          <w:tcPr>
            <w:tcW w:w="1178"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sz w:val="24"/>
                <w:szCs w:val="24"/>
              </w:rPr>
              <w:t>Equities</w:t>
            </w:r>
          </w:p>
        </w:tc>
        <w:tc>
          <w:tcPr>
            <w:tcW w:w="633"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22.6</w:t>
            </w:r>
          </w:p>
        </w:tc>
        <w:tc>
          <w:tcPr>
            <w:tcW w:w="633"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22.6</w:t>
            </w:r>
          </w:p>
        </w:tc>
        <w:tc>
          <w:tcPr>
            <w:tcW w:w="633"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22.6</w:t>
            </w:r>
          </w:p>
        </w:tc>
        <w:tc>
          <w:tcPr>
            <w:tcW w:w="641"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2.3</w:t>
            </w:r>
          </w:p>
        </w:tc>
        <w:tc>
          <w:tcPr>
            <w:tcW w:w="641"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2.3</w:t>
            </w:r>
          </w:p>
        </w:tc>
        <w:tc>
          <w:tcPr>
            <w:tcW w:w="641"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2.2</w:t>
            </w:r>
          </w:p>
        </w:tc>
      </w:tr>
      <w:tr w:rsidR="00B3369E" w:rsidRPr="00B3369E" w:rsidTr="004838D2">
        <w:tc>
          <w:tcPr>
            <w:tcW w:w="1178" w:type="pct"/>
          </w:tcPr>
          <w:p w:rsidR="00B3369E" w:rsidRPr="00B3369E" w:rsidRDefault="00B3369E" w:rsidP="004838D2">
            <w:pPr>
              <w:jc w:val="both"/>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Foreign exchange position</w:t>
            </w:r>
          </w:p>
        </w:tc>
        <w:tc>
          <w:tcPr>
            <w:tcW w:w="633"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3101.4</w:t>
            </w:r>
          </w:p>
        </w:tc>
        <w:tc>
          <w:tcPr>
            <w:tcW w:w="633"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Regular" w:hAnsi="Times New Roman" w:cs="Times New Roman"/>
                <w:sz w:val="24"/>
                <w:szCs w:val="24"/>
              </w:rPr>
              <w:t>2342.3</w:t>
            </w:r>
          </w:p>
        </w:tc>
        <w:tc>
          <w:tcPr>
            <w:tcW w:w="633"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Regular" w:hAnsi="Times New Roman" w:cs="Times New Roman"/>
                <w:sz w:val="24"/>
                <w:szCs w:val="24"/>
              </w:rPr>
              <w:t>1659.6</w:t>
            </w:r>
          </w:p>
        </w:tc>
        <w:tc>
          <w:tcPr>
            <w:tcW w:w="641"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310.1</w:t>
            </w:r>
          </w:p>
        </w:tc>
        <w:tc>
          <w:tcPr>
            <w:tcW w:w="641"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Regular" w:hAnsi="Times New Roman" w:cs="Times New Roman"/>
                <w:sz w:val="24"/>
                <w:szCs w:val="24"/>
              </w:rPr>
              <w:t>234.2</w:t>
            </w:r>
          </w:p>
        </w:tc>
        <w:tc>
          <w:tcPr>
            <w:tcW w:w="641"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Regular" w:hAnsi="Times New Roman" w:cs="Times New Roman"/>
                <w:sz w:val="24"/>
                <w:szCs w:val="24"/>
              </w:rPr>
              <w:t>166.0</w:t>
            </w:r>
          </w:p>
        </w:tc>
      </w:tr>
      <w:tr w:rsidR="00B3369E" w:rsidRPr="00B3369E" w:rsidTr="004838D2">
        <w:tc>
          <w:tcPr>
            <w:tcW w:w="1178" w:type="pct"/>
          </w:tcPr>
          <w:p w:rsidR="00B3369E" w:rsidRPr="00B3369E" w:rsidRDefault="00B3369E" w:rsidP="004838D2">
            <w:pPr>
              <w:jc w:val="both"/>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Commodities</w:t>
            </w:r>
          </w:p>
        </w:tc>
        <w:tc>
          <w:tcPr>
            <w:tcW w:w="633"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w:t>
            </w:r>
          </w:p>
        </w:tc>
        <w:tc>
          <w:tcPr>
            <w:tcW w:w="633"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w:t>
            </w:r>
          </w:p>
        </w:tc>
        <w:tc>
          <w:tcPr>
            <w:tcW w:w="633"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w:t>
            </w:r>
          </w:p>
        </w:tc>
        <w:tc>
          <w:tcPr>
            <w:tcW w:w="641"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w:t>
            </w:r>
          </w:p>
        </w:tc>
        <w:tc>
          <w:tcPr>
            <w:tcW w:w="641"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w:t>
            </w:r>
          </w:p>
        </w:tc>
        <w:tc>
          <w:tcPr>
            <w:tcW w:w="641" w:type="pct"/>
          </w:tcPr>
          <w:p w:rsidR="00B3369E" w:rsidRPr="00B3369E" w:rsidRDefault="00B3369E" w:rsidP="004838D2">
            <w:pPr>
              <w:jc w:val="center"/>
              <w:rPr>
                <w:rFonts w:ascii="Times New Roman" w:eastAsia="Klavika-Light" w:hAnsi="Times New Roman" w:cs="Times New Roman"/>
                <w:sz w:val="24"/>
                <w:szCs w:val="24"/>
              </w:rPr>
            </w:pPr>
            <w:r w:rsidRPr="00B3369E">
              <w:rPr>
                <w:rFonts w:ascii="Times New Roman" w:eastAsia="Klavika-Light" w:hAnsi="Times New Roman" w:cs="Times New Roman"/>
                <w:sz w:val="24"/>
                <w:szCs w:val="24"/>
              </w:rPr>
              <w:t>-</w:t>
            </w:r>
          </w:p>
        </w:tc>
      </w:tr>
      <w:tr w:rsidR="00B3369E" w:rsidRPr="00B3369E" w:rsidTr="004838D2">
        <w:tc>
          <w:tcPr>
            <w:tcW w:w="1178"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Total Market Risk</w:t>
            </w:r>
          </w:p>
        </w:tc>
        <w:tc>
          <w:tcPr>
            <w:tcW w:w="633"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3124.0</w:t>
            </w:r>
          </w:p>
        </w:tc>
        <w:tc>
          <w:tcPr>
            <w:tcW w:w="633"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2364.9</w:t>
            </w:r>
          </w:p>
        </w:tc>
        <w:tc>
          <w:tcPr>
            <w:tcW w:w="633"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1682.2</w:t>
            </w:r>
          </w:p>
        </w:tc>
        <w:tc>
          <w:tcPr>
            <w:tcW w:w="641"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312.4</w:t>
            </w:r>
          </w:p>
        </w:tc>
        <w:tc>
          <w:tcPr>
            <w:tcW w:w="641"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236.5</w:t>
            </w:r>
          </w:p>
        </w:tc>
        <w:tc>
          <w:tcPr>
            <w:tcW w:w="641" w:type="pct"/>
          </w:tcPr>
          <w:p w:rsidR="00B3369E" w:rsidRPr="00B3369E" w:rsidRDefault="00B3369E" w:rsidP="004838D2">
            <w:pPr>
              <w:keepNext/>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168.2</w:t>
            </w:r>
          </w:p>
        </w:tc>
      </w:tr>
    </w:tbl>
    <w:p w:rsidR="00B3369E" w:rsidRPr="00B3369E" w:rsidRDefault="00B3369E" w:rsidP="00B3369E">
      <w:pPr>
        <w:pStyle w:val="Tables"/>
      </w:pPr>
      <w:bookmarkStart w:id="228" w:name="_Toc6620273"/>
      <w:r w:rsidRPr="00B3369E">
        <w:t xml:space="preserve">Table 6:  </w:t>
      </w:r>
      <w:r w:rsidR="00276A72">
        <w:fldChar w:fldCharType="begin"/>
      </w:r>
      <w:r w:rsidR="002324C7">
        <w:instrText xml:space="preserve"> SEQ Table_6:_ \* ARABIC </w:instrText>
      </w:r>
      <w:r w:rsidR="00276A72">
        <w:fldChar w:fldCharType="separate"/>
      </w:r>
      <w:r w:rsidRPr="00B3369E">
        <w:rPr>
          <w:noProof/>
        </w:rPr>
        <w:t>11</w:t>
      </w:r>
      <w:r w:rsidR="00276A72">
        <w:rPr>
          <w:noProof/>
        </w:rPr>
        <w:fldChar w:fldCharType="end"/>
      </w:r>
      <w:r w:rsidRPr="00B3369E">
        <w:t xml:space="preserve"> Market Risk for Capital requirement</w:t>
      </w:r>
      <w:bookmarkEnd w:id="228"/>
    </w:p>
    <w:p w:rsidR="00B3369E" w:rsidRPr="00B3369E" w:rsidRDefault="00B3369E" w:rsidP="00B3369E">
      <w:pPr>
        <w:pStyle w:val="Tables"/>
      </w:pPr>
    </w:p>
    <w:p w:rsidR="00B3369E" w:rsidRPr="00B3369E" w:rsidRDefault="00B3369E" w:rsidP="00B3369E">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 xml:space="preserve">Operational Risk for Capital requirement                                                      </w:t>
      </w:r>
      <w:proofErr w:type="gramStart"/>
      <w:r w:rsidRPr="00B3369E">
        <w:rPr>
          <w:rFonts w:ascii="Times New Roman" w:hAnsi="Times New Roman" w:cs="Times New Roman"/>
          <w:b/>
          <w:bCs/>
          <w:sz w:val="24"/>
          <w:szCs w:val="24"/>
        </w:rPr>
        <w:t>in million taka</w:t>
      </w:r>
      <w:proofErr w:type="gramEnd"/>
    </w:p>
    <w:tbl>
      <w:tblPr>
        <w:tblStyle w:val="TableGrid"/>
        <w:tblW w:w="5000" w:type="pct"/>
        <w:tblLook w:val="04A0"/>
      </w:tblPr>
      <w:tblGrid>
        <w:gridCol w:w="2177"/>
        <w:gridCol w:w="1079"/>
        <w:gridCol w:w="1080"/>
        <w:gridCol w:w="1081"/>
        <w:gridCol w:w="1276"/>
        <w:gridCol w:w="1276"/>
        <w:gridCol w:w="1274"/>
      </w:tblGrid>
      <w:tr w:rsidR="00B3369E" w:rsidRPr="00B3369E" w:rsidTr="004838D2">
        <w:tc>
          <w:tcPr>
            <w:tcW w:w="1178"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Particulars</w:t>
            </w:r>
          </w:p>
        </w:tc>
        <w:tc>
          <w:tcPr>
            <w:tcW w:w="1753" w:type="pct"/>
            <w:gridSpan w:val="3"/>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Risk Weighted Assets (RWA)</w:t>
            </w:r>
          </w:p>
        </w:tc>
        <w:tc>
          <w:tcPr>
            <w:tcW w:w="2070" w:type="pct"/>
            <w:gridSpan w:val="3"/>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Minimum Capital Requirement</w:t>
            </w:r>
          </w:p>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(MCR)</w:t>
            </w:r>
          </w:p>
        </w:tc>
      </w:tr>
      <w:tr w:rsidR="00B3369E" w:rsidRPr="00B3369E" w:rsidTr="004838D2">
        <w:tc>
          <w:tcPr>
            <w:tcW w:w="1178" w:type="pct"/>
          </w:tcPr>
          <w:p w:rsidR="00B3369E" w:rsidRPr="00B3369E" w:rsidRDefault="00B3369E" w:rsidP="004838D2">
            <w:pPr>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Year</w:t>
            </w:r>
          </w:p>
        </w:tc>
        <w:tc>
          <w:tcPr>
            <w:tcW w:w="584" w:type="pct"/>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2017</w:t>
            </w:r>
          </w:p>
        </w:tc>
        <w:tc>
          <w:tcPr>
            <w:tcW w:w="584" w:type="pct"/>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2016</w:t>
            </w:r>
          </w:p>
        </w:tc>
        <w:tc>
          <w:tcPr>
            <w:tcW w:w="585" w:type="pct"/>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2015</w:t>
            </w:r>
          </w:p>
        </w:tc>
        <w:tc>
          <w:tcPr>
            <w:tcW w:w="690" w:type="pct"/>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2017</w:t>
            </w:r>
          </w:p>
        </w:tc>
        <w:tc>
          <w:tcPr>
            <w:tcW w:w="690" w:type="pct"/>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2016</w:t>
            </w:r>
          </w:p>
        </w:tc>
        <w:tc>
          <w:tcPr>
            <w:tcW w:w="689" w:type="pct"/>
          </w:tcPr>
          <w:p w:rsidR="00B3369E" w:rsidRPr="00B3369E" w:rsidRDefault="00B3369E" w:rsidP="004838D2">
            <w:pPr>
              <w:autoSpaceDE w:val="0"/>
              <w:autoSpaceDN w:val="0"/>
              <w:adjustRightInd w:val="0"/>
              <w:jc w:val="center"/>
              <w:rPr>
                <w:rFonts w:ascii="Times New Roman" w:eastAsia="Klavika-Bold" w:hAnsi="Times New Roman" w:cs="Times New Roman"/>
                <w:b/>
                <w:bCs/>
                <w:sz w:val="24"/>
                <w:szCs w:val="24"/>
              </w:rPr>
            </w:pPr>
            <w:r w:rsidRPr="00B3369E">
              <w:rPr>
                <w:rFonts w:ascii="Times New Roman" w:eastAsia="Klavika-Bold" w:hAnsi="Times New Roman" w:cs="Times New Roman"/>
                <w:b/>
                <w:bCs/>
                <w:sz w:val="24"/>
                <w:szCs w:val="24"/>
              </w:rPr>
              <w:t>2015</w:t>
            </w:r>
          </w:p>
        </w:tc>
      </w:tr>
      <w:tr w:rsidR="00B3369E" w:rsidRPr="00B3369E" w:rsidTr="004838D2">
        <w:tc>
          <w:tcPr>
            <w:tcW w:w="1178"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Light" w:hAnsi="Times New Roman" w:cs="Times New Roman"/>
                <w:sz w:val="24"/>
                <w:szCs w:val="24"/>
              </w:rPr>
              <w:t>Operational Risk</w:t>
            </w:r>
          </w:p>
        </w:tc>
        <w:tc>
          <w:tcPr>
            <w:tcW w:w="584"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25085.8</w:t>
            </w:r>
          </w:p>
        </w:tc>
        <w:tc>
          <w:tcPr>
            <w:tcW w:w="584"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22804.4</w:t>
            </w:r>
          </w:p>
        </w:tc>
        <w:tc>
          <w:tcPr>
            <w:tcW w:w="585"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22804.4</w:t>
            </w:r>
          </w:p>
        </w:tc>
        <w:tc>
          <w:tcPr>
            <w:tcW w:w="690"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Light" w:hAnsi="Times New Roman" w:cs="Times New Roman"/>
                <w:sz w:val="24"/>
                <w:szCs w:val="24"/>
              </w:rPr>
              <w:t>2508.6</w:t>
            </w:r>
          </w:p>
        </w:tc>
        <w:tc>
          <w:tcPr>
            <w:tcW w:w="690"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2280.4</w:t>
            </w:r>
          </w:p>
        </w:tc>
        <w:tc>
          <w:tcPr>
            <w:tcW w:w="689"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Regular" w:hAnsi="Times New Roman" w:cs="Times New Roman"/>
                <w:sz w:val="24"/>
                <w:szCs w:val="24"/>
              </w:rPr>
              <w:t>2280.4</w:t>
            </w:r>
          </w:p>
        </w:tc>
      </w:tr>
      <w:tr w:rsidR="00B3369E" w:rsidRPr="00B3369E" w:rsidTr="004838D2">
        <w:tc>
          <w:tcPr>
            <w:tcW w:w="1178" w:type="pct"/>
          </w:tcPr>
          <w:p w:rsidR="00B3369E" w:rsidRPr="00B3369E" w:rsidRDefault="00B3369E" w:rsidP="004838D2">
            <w:pPr>
              <w:jc w:val="both"/>
              <w:rPr>
                <w:rFonts w:ascii="Times New Roman" w:hAnsi="Times New Roman" w:cs="Times New Roman"/>
                <w:b/>
                <w:bCs/>
                <w:sz w:val="24"/>
                <w:szCs w:val="24"/>
              </w:rPr>
            </w:pPr>
            <w:r w:rsidRPr="00B3369E">
              <w:rPr>
                <w:rFonts w:ascii="Times New Roman" w:eastAsia="Klavika-Bold" w:hAnsi="Times New Roman" w:cs="Times New Roman"/>
                <w:b/>
                <w:bCs/>
                <w:sz w:val="24"/>
                <w:szCs w:val="24"/>
              </w:rPr>
              <w:t>Total Operational Risk</w:t>
            </w:r>
          </w:p>
        </w:tc>
        <w:tc>
          <w:tcPr>
            <w:tcW w:w="584"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25085.8</w:t>
            </w:r>
          </w:p>
        </w:tc>
        <w:tc>
          <w:tcPr>
            <w:tcW w:w="584"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22804.4</w:t>
            </w:r>
          </w:p>
        </w:tc>
        <w:tc>
          <w:tcPr>
            <w:tcW w:w="585"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22804.4</w:t>
            </w:r>
          </w:p>
        </w:tc>
        <w:tc>
          <w:tcPr>
            <w:tcW w:w="690"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2508.6</w:t>
            </w:r>
          </w:p>
        </w:tc>
        <w:tc>
          <w:tcPr>
            <w:tcW w:w="690" w:type="pct"/>
          </w:tcPr>
          <w:p w:rsidR="00B3369E" w:rsidRPr="00B3369E" w:rsidRDefault="00B3369E" w:rsidP="004838D2">
            <w:pPr>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2280.4</w:t>
            </w:r>
          </w:p>
        </w:tc>
        <w:tc>
          <w:tcPr>
            <w:tcW w:w="689" w:type="pct"/>
          </w:tcPr>
          <w:p w:rsidR="00B3369E" w:rsidRPr="00B3369E" w:rsidRDefault="00B3369E" w:rsidP="004838D2">
            <w:pPr>
              <w:keepNext/>
              <w:jc w:val="center"/>
              <w:rPr>
                <w:rFonts w:ascii="Times New Roman" w:hAnsi="Times New Roman" w:cs="Times New Roman"/>
                <w:b/>
                <w:bCs/>
                <w:sz w:val="24"/>
                <w:szCs w:val="24"/>
              </w:rPr>
            </w:pPr>
            <w:r w:rsidRPr="00B3369E">
              <w:rPr>
                <w:rFonts w:ascii="Times New Roman" w:eastAsia="Klavika-Bold" w:hAnsi="Times New Roman" w:cs="Times New Roman"/>
                <w:b/>
                <w:bCs/>
                <w:sz w:val="24"/>
                <w:szCs w:val="24"/>
              </w:rPr>
              <w:t>2280.4</w:t>
            </w:r>
          </w:p>
        </w:tc>
      </w:tr>
    </w:tbl>
    <w:p w:rsidR="00B3369E" w:rsidRPr="00B3369E" w:rsidRDefault="00B3369E" w:rsidP="00B3369E">
      <w:pPr>
        <w:pStyle w:val="Tables"/>
      </w:pPr>
      <w:bookmarkStart w:id="229" w:name="_Toc6620274"/>
      <w:r w:rsidRPr="00B3369E">
        <w:t xml:space="preserve">Table 6:  </w:t>
      </w:r>
      <w:r w:rsidR="00276A72">
        <w:fldChar w:fldCharType="begin"/>
      </w:r>
      <w:r w:rsidR="002324C7">
        <w:instrText xml:space="preserve"> SEQ Table_6:_ \* ARABIC </w:instrText>
      </w:r>
      <w:r w:rsidR="00276A72">
        <w:fldChar w:fldCharType="separate"/>
      </w:r>
      <w:r w:rsidRPr="00B3369E">
        <w:rPr>
          <w:noProof/>
        </w:rPr>
        <w:t>12</w:t>
      </w:r>
      <w:r w:rsidR="00276A72">
        <w:rPr>
          <w:noProof/>
        </w:rPr>
        <w:fldChar w:fldCharType="end"/>
      </w:r>
      <w:r w:rsidRPr="00B3369E">
        <w:t xml:space="preserve"> Operational Risk for Capital requirement</w:t>
      </w:r>
      <w:bookmarkEnd w:id="229"/>
    </w:p>
    <w:p w:rsidR="00B3369E" w:rsidRPr="00B3369E" w:rsidRDefault="00B3369E" w:rsidP="00B3369E">
      <w:pPr>
        <w:pStyle w:val="Tables"/>
      </w:pPr>
    </w:p>
    <w:p w:rsidR="00B3369E" w:rsidRPr="00B3369E" w:rsidRDefault="00B3369E" w:rsidP="00B3369E">
      <w:pPr>
        <w:pStyle w:val="Tables"/>
      </w:pPr>
    </w:p>
    <w:p w:rsidR="00B3369E" w:rsidRPr="00B3369E" w:rsidRDefault="00B3369E" w:rsidP="00B3369E">
      <w:pPr>
        <w:pStyle w:val="Tables"/>
      </w:pPr>
    </w:p>
    <w:p w:rsidR="00B3369E" w:rsidRPr="00B3369E" w:rsidRDefault="00B3369E" w:rsidP="00B3369E">
      <w:pPr>
        <w:pStyle w:val="Tables"/>
      </w:pPr>
    </w:p>
    <w:p w:rsidR="00B3369E" w:rsidRPr="00B3369E" w:rsidRDefault="00B3369E" w:rsidP="00B3369E">
      <w:pPr>
        <w:pStyle w:val="Tables"/>
      </w:pPr>
    </w:p>
    <w:p w:rsidR="00B3369E" w:rsidRPr="00B3369E" w:rsidRDefault="00B3369E" w:rsidP="00B3369E">
      <w:pPr>
        <w:pStyle w:val="Tables"/>
      </w:pPr>
    </w:p>
    <w:p w:rsidR="00B3369E" w:rsidRPr="00B3369E" w:rsidRDefault="00B3369E" w:rsidP="00B3369E">
      <w:pPr>
        <w:pStyle w:val="Tables"/>
      </w:pPr>
    </w:p>
    <w:p w:rsidR="00B3369E" w:rsidRPr="00B3369E" w:rsidRDefault="00B3369E" w:rsidP="00B3369E">
      <w:pPr>
        <w:pStyle w:val="Tables"/>
      </w:pPr>
    </w:p>
    <w:p w:rsidR="00B3369E" w:rsidRPr="00B3369E" w:rsidRDefault="00B3369E" w:rsidP="00B3369E">
      <w:pPr>
        <w:pStyle w:val="HTMLPreformatted"/>
        <w:shd w:val="clear" w:color="auto" w:fill="FFFFFF"/>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Total Risk Weight Assets (RWA) Total minimum capital required (MCR) and the total eligible regulatory Capital</w:t>
      </w:r>
      <w:r w:rsidRPr="00B3369E">
        <w:rPr>
          <w:rFonts w:ascii="Times New Roman" w:hAnsi="Times New Roman" w:cs="Times New Roman"/>
        </w:rPr>
        <w:t xml:space="preserve">                                                                                                </w:t>
      </w:r>
      <w:proofErr w:type="gramStart"/>
      <w:r w:rsidRPr="00B3369E">
        <w:rPr>
          <w:rFonts w:ascii="Times New Roman" w:hAnsi="Times New Roman" w:cs="Times New Roman"/>
          <w:b/>
          <w:bCs/>
          <w:sz w:val="24"/>
          <w:szCs w:val="24"/>
        </w:rPr>
        <w:t>in million taka</w:t>
      </w:r>
      <w:proofErr w:type="gramEnd"/>
      <w:r w:rsidRPr="00B3369E">
        <w:rPr>
          <w:rFonts w:ascii="Times New Roman" w:hAnsi="Times New Roman" w:cs="Times New Roman"/>
          <w:b/>
          <w:bCs/>
          <w:sz w:val="24"/>
          <w:szCs w:val="24"/>
        </w:rPr>
        <w:t xml:space="preserve">                                        </w:t>
      </w:r>
    </w:p>
    <w:tbl>
      <w:tblPr>
        <w:tblStyle w:val="TableGrid"/>
        <w:tblW w:w="5000" w:type="pct"/>
        <w:tblLook w:val="04A0"/>
      </w:tblPr>
      <w:tblGrid>
        <w:gridCol w:w="3800"/>
        <w:gridCol w:w="1799"/>
        <w:gridCol w:w="1712"/>
        <w:gridCol w:w="1932"/>
      </w:tblGrid>
      <w:tr w:rsidR="00B3369E" w:rsidRPr="00B3369E" w:rsidTr="004838D2">
        <w:tc>
          <w:tcPr>
            <w:tcW w:w="5000" w:type="pct"/>
            <w:gridSpan w:val="4"/>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Total Risk Weighted Assets (RWA) for Credit Risk</w:t>
            </w:r>
          </w:p>
        </w:tc>
      </w:tr>
      <w:tr w:rsidR="00B3369E" w:rsidRPr="00B3369E" w:rsidTr="004838D2">
        <w:tc>
          <w:tcPr>
            <w:tcW w:w="205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Particulars</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2017</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2016</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2015</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Total Credit Risk [i]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151920.8</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136995.9</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130062.0</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Market Risk [ii]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3124.0</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2364.9</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1682.2</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Operational Risk [iii]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25085.8</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22804.4</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22804.4</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Total Risk Weighted Assets (RWA) [I + II + III]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180130.6</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162165.2</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154548.6</w:t>
            </w:r>
          </w:p>
        </w:tc>
      </w:tr>
      <w:tr w:rsidR="00B3369E" w:rsidRPr="00B3369E" w:rsidTr="004838D2">
        <w:tc>
          <w:tcPr>
            <w:tcW w:w="5000" w:type="pct"/>
            <w:gridSpan w:val="4"/>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Total Minimum Capital Requirement (MCR) for Credit Risk</w:t>
            </w:r>
          </w:p>
        </w:tc>
      </w:tr>
      <w:tr w:rsidR="00B3369E" w:rsidRPr="00B3369E" w:rsidTr="004838D2">
        <w:tc>
          <w:tcPr>
            <w:tcW w:w="205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Particulars</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2017</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2016</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2015</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Total Credit Risk [i]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15192.1</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13,699.6</w:t>
            </w:r>
          </w:p>
        </w:tc>
        <w:tc>
          <w:tcPr>
            <w:tcW w:w="1045" w:type="pct"/>
          </w:tcPr>
          <w:p w:rsidR="00B3369E" w:rsidRPr="00B3369E" w:rsidRDefault="00B3369E" w:rsidP="004838D2">
            <w:pPr>
              <w:pStyle w:val="HTMLPreformatted"/>
              <w:tabs>
                <w:tab w:val="left" w:pos="568"/>
              </w:tabs>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13,006.2</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Market Risk [ii]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312.4</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236.5</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168.2</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Operational Risk [iii]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Light" w:hAnsi="Times New Roman" w:cs="Times New Roman"/>
                <w:sz w:val="24"/>
                <w:szCs w:val="24"/>
              </w:rPr>
              <w:t>2508.6</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2280.4</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Regular" w:hAnsi="Times New Roman" w:cs="Times New Roman"/>
                <w:sz w:val="24"/>
                <w:szCs w:val="24"/>
              </w:rPr>
              <w:t>2280.4</w:t>
            </w:r>
          </w:p>
        </w:tc>
      </w:tr>
      <w:tr w:rsidR="00B3369E" w:rsidRPr="00B3369E" w:rsidTr="004838D2">
        <w:tc>
          <w:tcPr>
            <w:tcW w:w="2056" w:type="pct"/>
          </w:tcPr>
          <w:p w:rsidR="00B3369E" w:rsidRPr="00B3369E" w:rsidRDefault="00B3369E" w:rsidP="004838D2">
            <w:pPr>
              <w:pStyle w:val="HTMLPreformatted"/>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Total Minimum Capital Requirement (MCR) [I + II + III]</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18013.1</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16216.5</w:t>
            </w:r>
          </w:p>
        </w:tc>
        <w:tc>
          <w:tcPr>
            <w:tcW w:w="1045"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15454.9</w:t>
            </w:r>
          </w:p>
        </w:tc>
      </w:tr>
      <w:tr w:rsidR="00B3369E" w:rsidRPr="00B3369E" w:rsidTr="004838D2">
        <w:tc>
          <w:tcPr>
            <w:tcW w:w="205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Total Eligible Regulatory Capital</w:t>
            </w:r>
          </w:p>
        </w:tc>
        <w:tc>
          <w:tcPr>
            <w:tcW w:w="973"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26106.6</w:t>
            </w:r>
          </w:p>
        </w:tc>
        <w:tc>
          <w:tcPr>
            <w:tcW w:w="926" w:type="pct"/>
          </w:tcPr>
          <w:p w:rsidR="00B3369E" w:rsidRPr="00B3369E" w:rsidRDefault="00B3369E" w:rsidP="004838D2">
            <w:pPr>
              <w:pStyle w:val="HTMLPreformatted"/>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21249.4</w:t>
            </w:r>
          </w:p>
        </w:tc>
        <w:tc>
          <w:tcPr>
            <w:tcW w:w="1045" w:type="pct"/>
          </w:tcPr>
          <w:p w:rsidR="00B3369E" w:rsidRPr="00B3369E" w:rsidRDefault="00B3369E" w:rsidP="004838D2">
            <w:pPr>
              <w:pStyle w:val="HTMLPreformatted"/>
              <w:keepNext/>
              <w:jc w:val="center"/>
              <w:rPr>
                <w:rFonts w:ascii="Times New Roman" w:hAnsi="Times New Roman" w:cs="Times New Roman"/>
                <w:b/>
                <w:bCs/>
                <w:color w:val="212121"/>
                <w:sz w:val="24"/>
                <w:szCs w:val="24"/>
              </w:rPr>
            </w:pPr>
            <w:r w:rsidRPr="00B3369E">
              <w:rPr>
                <w:rFonts w:ascii="Times New Roman" w:eastAsia="Klavika-Bold" w:hAnsi="Times New Roman" w:cs="Times New Roman"/>
                <w:b/>
                <w:bCs/>
                <w:sz w:val="24"/>
                <w:szCs w:val="24"/>
              </w:rPr>
              <w:t>21137.7</w:t>
            </w:r>
          </w:p>
        </w:tc>
      </w:tr>
    </w:tbl>
    <w:p w:rsidR="00B3369E" w:rsidRPr="00B3369E" w:rsidRDefault="00B3369E" w:rsidP="00B3369E">
      <w:pPr>
        <w:pStyle w:val="Tables"/>
      </w:pPr>
      <w:bookmarkStart w:id="230" w:name="_Toc6620275"/>
      <w:r w:rsidRPr="00B3369E">
        <w:t xml:space="preserve">Table 6:  </w:t>
      </w:r>
      <w:r w:rsidR="00276A72">
        <w:fldChar w:fldCharType="begin"/>
      </w:r>
      <w:r w:rsidR="002324C7">
        <w:instrText xml:space="preserve"> SEQ Table_6:_ \* ARABIC </w:instrText>
      </w:r>
      <w:r w:rsidR="00276A72">
        <w:fldChar w:fldCharType="separate"/>
      </w:r>
      <w:r w:rsidRPr="00B3369E">
        <w:rPr>
          <w:noProof/>
        </w:rPr>
        <w:t>13</w:t>
      </w:r>
      <w:r w:rsidR="00276A72">
        <w:rPr>
          <w:noProof/>
        </w:rPr>
        <w:fldChar w:fldCharType="end"/>
      </w:r>
      <w:r w:rsidRPr="00B3369E">
        <w:t xml:space="preserve"> Total (RWA) Total (MCR) and the total eligible regulatory Capital</w:t>
      </w:r>
      <w:bookmarkEnd w:id="230"/>
    </w:p>
    <w:p w:rsidR="00B3369E" w:rsidRPr="00B3369E" w:rsidRDefault="00B3369E" w:rsidP="00B3369E">
      <w:pPr>
        <w:pStyle w:val="Tables"/>
      </w:pPr>
    </w:p>
    <w:p w:rsidR="00B3369E" w:rsidRPr="00B3369E" w:rsidRDefault="00B3369E" w:rsidP="00B3369E">
      <w:pPr>
        <w:pStyle w:val="HTMLPreformatted"/>
        <w:keepNext/>
        <w:shd w:val="clear" w:color="auto" w:fill="FFFFFF"/>
        <w:jc w:val="center"/>
        <w:rPr>
          <w:rFonts w:ascii="Times New Roman" w:hAnsi="Times New Roman" w:cs="Times New Roman"/>
        </w:rPr>
      </w:pPr>
      <w:r w:rsidRPr="00B3369E">
        <w:rPr>
          <w:rFonts w:ascii="Times New Roman" w:hAnsi="Times New Roman" w:cs="Times New Roman"/>
          <w:noProof/>
          <w:color w:val="212121"/>
          <w:sz w:val="24"/>
          <w:szCs w:val="24"/>
        </w:rPr>
        <w:drawing>
          <wp:inline distT="0" distB="0" distL="0" distR="0">
            <wp:extent cx="5076825" cy="2343150"/>
            <wp:effectExtent l="19050" t="0" r="9525" b="0"/>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3369E" w:rsidRPr="00B3369E" w:rsidRDefault="00B3369E" w:rsidP="00B3369E">
      <w:pPr>
        <w:pStyle w:val="Figures"/>
      </w:pPr>
      <w:bookmarkStart w:id="231" w:name="_Toc6621160"/>
      <w:r w:rsidRPr="00B3369E">
        <w:t>Figure 6: 4 RWA Asset Compositions</w:t>
      </w:r>
      <w:bookmarkEnd w:id="231"/>
    </w:p>
    <w:p w:rsidR="00B3369E" w:rsidRPr="00B3369E" w:rsidRDefault="00B3369E" w:rsidP="00B3369E">
      <w:pPr>
        <w:pStyle w:val="NoSpacing"/>
        <w:rPr>
          <w:rFonts w:ascii="Times New Roman" w:hAnsi="Times New Roman" w:cs="Times New Roman"/>
        </w:rPr>
      </w:pPr>
    </w:p>
    <w:p w:rsidR="00B3369E" w:rsidRPr="00B3369E" w:rsidRDefault="00B3369E" w:rsidP="00B3369E">
      <w:pPr>
        <w:pStyle w:val="NoSpacing"/>
        <w:rPr>
          <w:rFonts w:ascii="Times New Roman" w:hAnsi="Times New Roman" w:cs="Times New Roman"/>
          <w:b/>
          <w:bCs/>
          <w:sz w:val="24"/>
          <w:szCs w:val="24"/>
        </w:rPr>
      </w:pPr>
      <w:r w:rsidRPr="00B3369E">
        <w:rPr>
          <w:rFonts w:ascii="Times New Roman" w:hAnsi="Times New Roman" w:cs="Times New Roman"/>
          <w:b/>
          <w:bCs/>
          <w:sz w:val="24"/>
          <w:szCs w:val="24"/>
        </w:rPr>
        <w:t>Liquidity Coverage Ratio (LCR)</w:t>
      </w:r>
    </w:p>
    <w:p w:rsidR="00B3369E" w:rsidRPr="00B3369E" w:rsidRDefault="00B3369E" w:rsidP="00B3369E">
      <w:pPr>
        <w:pStyle w:val="NoSpacing"/>
        <w:rPr>
          <w:rFonts w:ascii="Times New Roman" w:hAnsi="Times New Roman" w:cs="Times New Roman"/>
          <w:b/>
          <w:bCs/>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Liquidity coverage Ratio a bank ratio that uniquely identifies the quantity of high quality liquid assets, which are used to cash in on the downside, referred to by a very poor short-term arrivals of cash-carrying cash being used to cash in on cash outflows. The precise situation involved the collapse of both institution-oriented and business-driven financial scenarios in the real-world scenarios of financial disaster experience. The purpose of the communication LCR is to ensure adequate maintenance, high-tariff assets, which can convert cash, to ensure its liquidity for a 30-day time horizon below the strong intensity of the situation. Leads to the process and method of asset liability policy DBBL resolve the risk of liquidity. The reference (function) approved by ALCO works under certain conditions Board. Under the supervision of top management, the Treasury Department (Front Office) and the ALM Desk review the overall liquidity position of DBBL and adopt appropriate strategies and process the bank's liquidity with the location of the industry for risk management. Bangladesh bank guideline if bank have financial crises faced then bank easy 30 days into liquidity asset to can be money convert. So, BB Basel required LCR increase 100% ratio after those bank follow Basel III. So DBBL before 3 years cross to 100% LCR. Under the table given the information:</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NoSpacing"/>
        <w:rPr>
          <w:rFonts w:ascii="Times New Roman" w:hAnsi="Times New Roman" w:cs="Times New Roman"/>
          <w:b/>
          <w:bCs/>
          <w:sz w:val="24"/>
          <w:szCs w:val="24"/>
        </w:rPr>
      </w:pPr>
      <w:r w:rsidRPr="00B3369E">
        <w:rPr>
          <w:rFonts w:ascii="Times New Roman" w:hAnsi="Times New Roman" w:cs="Times New Roman"/>
          <w:sz w:val="24"/>
          <w:szCs w:val="24"/>
        </w:rPr>
        <w:t>Liquidity Coverage Ratio (LCR)</w:t>
      </w:r>
      <w:r w:rsidRPr="00B3369E">
        <w:rPr>
          <w:rFonts w:ascii="Times New Roman" w:hAnsi="Times New Roman" w:cs="Times New Roman"/>
          <w:b/>
          <w:bCs/>
          <w:sz w:val="24"/>
          <w:szCs w:val="24"/>
        </w:rPr>
        <w:t xml:space="preserve"> </w:t>
      </w:r>
      <w:r w:rsidRPr="00B3369E">
        <w:rPr>
          <w:rFonts w:ascii="Times New Roman" w:hAnsi="Times New Roman" w:cs="Times New Roman"/>
          <w:sz w:val="24"/>
          <w:szCs w:val="24"/>
        </w:rPr>
        <w:t>= stock of high quality liquid assets/net cash outflows over the next 30 calendar days</w:t>
      </w:r>
    </w:p>
    <w:tbl>
      <w:tblPr>
        <w:tblStyle w:val="TableGrid"/>
        <w:tblW w:w="5000" w:type="pct"/>
        <w:tblLook w:val="04A0"/>
      </w:tblPr>
      <w:tblGrid>
        <w:gridCol w:w="1539"/>
        <w:gridCol w:w="1536"/>
        <w:gridCol w:w="1538"/>
        <w:gridCol w:w="1536"/>
        <w:gridCol w:w="1027"/>
        <w:gridCol w:w="520"/>
        <w:gridCol w:w="520"/>
        <w:gridCol w:w="1027"/>
      </w:tblGrid>
      <w:tr w:rsidR="00B3369E" w:rsidRPr="00B3369E" w:rsidTr="004838D2">
        <w:trPr>
          <w:trHeight w:val="611"/>
        </w:trPr>
        <w:tc>
          <w:tcPr>
            <w:tcW w:w="2495" w:type="pct"/>
            <w:gridSpan w:val="3"/>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Stock of high quality liquid assets</w:t>
            </w:r>
          </w:p>
        </w:tc>
        <w:tc>
          <w:tcPr>
            <w:tcW w:w="2505" w:type="pct"/>
            <w:gridSpan w:val="5"/>
            <w:vAlign w:val="center"/>
          </w:tcPr>
          <w:p w:rsidR="00B3369E" w:rsidRPr="00B3369E" w:rsidRDefault="00B3369E" w:rsidP="004838D2">
            <w:pPr>
              <w:pStyle w:val="NoSpacing"/>
              <w:jc w:val="center"/>
              <w:rPr>
                <w:rFonts w:ascii="Times New Roman" w:hAnsi="Times New Roman" w:cs="Times New Roman"/>
                <w:sz w:val="24"/>
                <w:szCs w:val="24"/>
              </w:rPr>
            </w:pPr>
            <w:r w:rsidRPr="00B3369E">
              <w:rPr>
                <w:rFonts w:ascii="Times New Roman" w:hAnsi="Times New Roman" w:cs="Times New Roman"/>
                <w:sz w:val="24"/>
                <w:szCs w:val="24"/>
              </w:rPr>
              <w:t>Net cash outflows over the next 30 calendar days</w:t>
            </w:r>
          </w:p>
          <w:p w:rsidR="00B3369E" w:rsidRPr="00B3369E" w:rsidRDefault="00B3369E" w:rsidP="004838D2">
            <w:pPr>
              <w:pStyle w:val="HTMLPreformatted"/>
              <w:jc w:val="center"/>
              <w:rPr>
                <w:rFonts w:ascii="Times New Roman" w:hAnsi="Times New Roman" w:cs="Times New Roman"/>
                <w:sz w:val="24"/>
                <w:szCs w:val="24"/>
              </w:rPr>
            </w:pPr>
          </w:p>
        </w:tc>
      </w:tr>
      <w:tr w:rsidR="00B3369E" w:rsidRPr="00B3369E" w:rsidTr="004838D2">
        <w:trPr>
          <w:trHeight w:val="256"/>
        </w:trPr>
        <w:tc>
          <w:tcPr>
            <w:tcW w:w="832"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2015</w:t>
            </w:r>
          </w:p>
        </w:tc>
        <w:tc>
          <w:tcPr>
            <w:tcW w:w="831"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2016</w:t>
            </w:r>
          </w:p>
        </w:tc>
        <w:tc>
          <w:tcPr>
            <w:tcW w:w="831"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2017</w:t>
            </w:r>
          </w:p>
        </w:tc>
        <w:tc>
          <w:tcPr>
            <w:tcW w:w="831"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2015</w:t>
            </w:r>
          </w:p>
        </w:tc>
        <w:tc>
          <w:tcPr>
            <w:tcW w:w="837"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2016</w:t>
            </w:r>
          </w:p>
        </w:tc>
        <w:tc>
          <w:tcPr>
            <w:tcW w:w="837"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2017</w:t>
            </w:r>
          </w:p>
        </w:tc>
      </w:tr>
      <w:tr w:rsidR="00B3369E" w:rsidRPr="00B3369E" w:rsidTr="004838D2">
        <w:trPr>
          <w:trHeight w:val="256"/>
        </w:trPr>
        <w:tc>
          <w:tcPr>
            <w:tcW w:w="832"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41638.4</w:t>
            </w:r>
          </w:p>
        </w:tc>
        <w:tc>
          <w:tcPr>
            <w:tcW w:w="831"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60069.2</w:t>
            </w:r>
          </w:p>
        </w:tc>
        <w:tc>
          <w:tcPr>
            <w:tcW w:w="831"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59363.0</w:t>
            </w:r>
          </w:p>
        </w:tc>
        <w:tc>
          <w:tcPr>
            <w:tcW w:w="831"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36091.4</w:t>
            </w:r>
          </w:p>
        </w:tc>
        <w:tc>
          <w:tcPr>
            <w:tcW w:w="837"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46244.0</w:t>
            </w:r>
          </w:p>
        </w:tc>
        <w:tc>
          <w:tcPr>
            <w:tcW w:w="837"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47469.7</w:t>
            </w:r>
          </w:p>
        </w:tc>
      </w:tr>
      <w:tr w:rsidR="00B3369E" w:rsidRPr="00B3369E" w:rsidTr="004838D2">
        <w:trPr>
          <w:trHeight w:val="256"/>
        </w:trPr>
        <w:tc>
          <w:tcPr>
            <w:tcW w:w="1663"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2015</w:t>
            </w:r>
          </w:p>
        </w:tc>
        <w:tc>
          <w:tcPr>
            <w:tcW w:w="1663"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2016</w:t>
            </w:r>
          </w:p>
        </w:tc>
        <w:tc>
          <w:tcPr>
            <w:tcW w:w="1674" w:type="pct"/>
            <w:gridSpan w:val="4"/>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2017</w:t>
            </w:r>
          </w:p>
        </w:tc>
      </w:tr>
      <w:tr w:rsidR="00B3369E" w:rsidRPr="00B3369E" w:rsidTr="004838D2">
        <w:trPr>
          <w:trHeight w:val="562"/>
        </w:trPr>
        <w:tc>
          <w:tcPr>
            <w:tcW w:w="1663"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41638.4/36091.4*100=</w:t>
            </w:r>
            <w:r w:rsidRPr="00B3369E">
              <w:rPr>
                <w:rFonts w:ascii="Times New Roman" w:hAnsi="Times New Roman" w:cs="Times New Roman"/>
                <w:sz w:val="24"/>
                <w:szCs w:val="24"/>
              </w:rPr>
              <w:t>115.4%</w:t>
            </w:r>
          </w:p>
        </w:tc>
        <w:tc>
          <w:tcPr>
            <w:tcW w:w="1663"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60069.2/46244.0*100=</w:t>
            </w:r>
            <w:r w:rsidRPr="00B3369E">
              <w:rPr>
                <w:rFonts w:ascii="Times New Roman" w:hAnsi="Times New Roman" w:cs="Times New Roman"/>
                <w:sz w:val="24"/>
                <w:szCs w:val="24"/>
              </w:rPr>
              <w:t>129.9%</w:t>
            </w:r>
          </w:p>
        </w:tc>
        <w:tc>
          <w:tcPr>
            <w:tcW w:w="1674" w:type="pct"/>
            <w:gridSpan w:val="4"/>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59363.0/47469.7*100=</w:t>
            </w:r>
            <w:r w:rsidRPr="00B3369E">
              <w:rPr>
                <w:rFonts w:ascii="Times New Roman" w:hAnsi="Times New Roman" w:cs="Times New Roman"/>
                <w:sz w:val="24"/>
                <w:szCs w:val="24"/>
              </w:rPr>
              <w:t>125.1%</w:t>
            </w:r>
          </w:p>
        </w:tc>
      </w:tr>
      <w:tr w:rsidR="00B3369E" w:rsidRPr="00B3369E" w:rsidTr="004838D2">
        <w:tc>
          <w:tcPr>
            <w:tcW w:w="1663" w:type="pct"/>
            <w:gridSpan w:val="2"/>
            <w:vMerge w:val="restar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Particulars</w:t>
            </w:r>
          </w:p>
        </w:tc>
        <w:tc>
          <w:tcPr>
            <w:tcW w:w="3337" w:type="pct"/>
            <w:gridSpan w:val="6"/>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Ratio %</w:t>
            </w:r>
          </w:p>
        </w:tc>
      </w:tr>
      <w:tr w:rsidR="00B3369E" w:rsidRPr="00B3369E" w:rsidTr="004838D2">
        <w:tc>
          <w:tcPr>
            <w:tcW w:w="1663" w:type="pct"/>
            <w:gridSpan w:val="2"/>
            <w:vMerge/>
            <w:vAlign w:val="center"/>
          </w:tcPr>
          <w:p w:rsidR="00B3369E" w:rsidRPr="00B3369E" w:rsidRDefault="00B3369E" w:rsidP="004838D2">
            <w:pPr>
              <w:pStyle w:val="HTMLPreformatted"/>
              <w:jc w:val="center"/>
              <w:rPr>
                <w:rFonts w:ascii="Times New Roman" w:hAnsi="Times New Roman" w:cs="Times New Roman"/>
                <w:sz w:val="24"/>
                <w:szCs w:val="24"/>
              </w:rPr>
            </w:pPr>
          </w:p>
        </w:tc>
        <w:tc>
          <w:tcPr>
            <w:tcW w:w="1663"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BB Requirement</w:t>
            </w:r>
          </w:p>
        </w:tc>
        <w:tc>
          <w:tcPr>
            <w:tcW w:w="1674" w:type="pct"/>
            <w:gridSpan w:val="4"/>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DBBL’s Position</w:t>
            </w:r>
          </w:p>
        </w:tc>
      </w:tr>
      <w:tr w:rsidR="00B3369E" w:rsidRPr="00B3369E" w:rsidTr="004838D2">
        <w:trPr>
          <w:trHeight w:val="256"/>
        </w:trPr>
        <w:tc>
          <w:tcPr>
            <w:tcW w:w="1663" w:type="pct"/>
            <w:gridSpan w:val="2"/>
            <w:vMerge w:val="restar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Liquidity Coverage Ratio (LCR)</w:t>
            </w:r>
          </w:p>
        </w:tc>
        <w:tc>
          <w:tcPr>
            <w:tcW w:w="1663" w:type="pct"/>
            <w:gridSpan w:val="2"/>
            <w:vMerge w:val="restar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≥100%</w:t>
            </w:r>
          </w:p>
        </w:tc>
        <w:tc>
          <w:tcPr>
            <w:tcW w:w="557"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2015</w:t>
            </w:r>
          </w:p>
        </w:tc>
        <w:tc>
          <w:tcPr>
            <w:tcW w:w="560"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2016</w:t>
            </w:r>
          </w:p>
        </w:tc>
        <w:tc>
          <w:tcPr>
            <w:tcW w:w="557"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2017</w:t>
            </w:r>
          </w:p>
        </w:tc>
      </w:tr>
      <w:tr w:rsidR="00B3369E" w:rsidRPr="00B3369E" w:rsidTr="004838D2">
        <w:trPr>
          <w:trHeight w:val="256"/>
        </w:trPr>
        <w:tc>
          <w:tcPr>
            <w:tcW w:w="1663" w:type="pct"/>
            <w:gridSpan w:val="2"/>
            <w:vMerge/>
            <w:vAlign w:val="center"/>
          </w:tcPr>
          <w:p w:rsidR="00B3369E" w:rsidRPr="00B3369E" w:rsidRDefault="00B3369E" w:rsidP="004838D2">
            <w:pPr>
              <w:pStyle w:val="HTMLPreformatted"/>
              <w:jc w:val="center"/>
              <w:rPr>
                <w:rFonts w:ascii="Times New Roman" w:hAnsi="Times New Roman" w:cs="Times New Roman"/>
                <w:sz w:val="24"/>
                <w:szCs w:val="24"/>
              </w:rPr>
            </w:pPr>
          </w:p>
        </w:tc>
        <w:tc>
          <w:tcPr>
            <w:tcW w:w="1663" w:type="pct"/>
            <w:gridSpan w:val="2"/>
            <w:vMerge/>
            <w:vAlign w:val="center"/>
          </w:tcPr>
          <w:p w:rsidR="00B3369E" w:rsidRPr="00B3369E" w:rsidRDefault="00B3369E" w:rsidP="004838D2">
            <w:pPr>
              <w:pStyle w:val="HTMLPreformatted"/>
              <w:jc w:val="center"/>
              <w:rPr>
                <w:rFonts w:ascii="Times New Roman" w:hAnsi="Times New Roman" w:cs="Times New Roman"/>
                <w:sz w:val="24"/>
                <w:szCs w:val="24"/>
              </w:rPr>
            </w:pPr>
          </w:p>
        </w:tc>
        <w:tc>
          <w:tcPr>
            <w:tcW w:w="557"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115.4%</w:t>
            </w:r>
          </w:p>
        </w:tc>
        <w:tc>
          <w:tcPr>
            <w:tcW w:w="560"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129.9%</w:t>
            </w:r>
          </w:p>
        </w:tc>
        <w:tc>
          <w:tcPr>
            <w:tcW w:w="557" w:type="pct"/>
            <w:vAlign w:val="center"/>
          </w:tcPr>
          <w:p w:rsidR="00B3369E" w:rsidRPr="00B3369E" w:rsidRDefault="00B3369E" w:rsidP="004838D2">
            <w:pPr>
              <w:pStyle w:val="HTMLPreformatted"/>
              <w:keepNext/>
              <w:jc w:val="center"/>
              <w:rPr>
                <w:rFonts w:ascii="Times New Roman" w:hAnsi="Times New Roman" w:cs="Times New Roman"/>
                <w:sz w:val="24"/>
                <w:szCs w:val="24"/>
              </w:rPr>
            </w:pPr>
            <w:r w:rsidRPr="00B3369E">
              <w:rPr>
                <w:rFonts w:ascii="Times New Roman" w:hAnsi="Times New Roman" w:cs="Times New Roman"/>
                <w:sz w:val="24"/>
                <w:szCs w:val="24"/>
              </w:rPr>
              <w:t>125.1%</w:t>
            </w:r>
          </w:p>
        </w:tc>
      </w:tr>
    </w:tbl>
    <w:p w:rsidR="00B3369E" w:rsidRPr="00B3369E" w:rsidRDefault="00B3369E" w:rsidP="00B3369E">
      <w:pPr>
        <w:pStyle w:val="Tables"/>
      </w:pPr>
      <w:bookmarkStart w:id="232" w:name="_Toc6620276"/>
      <w:r w:rsidRPr="00B3369E">
        <w:t xml:space="preserve">Table 6:  </w:t>
      </w:r>
      <w:r w:rsidR="00276A72">
        <w:fldChar w:fldCharType="begin"/>
      </w:r>
      <w:r w:rsidR="002324C7">
        <w:instrText xml:space="preserve"> SEQ Table_6:_ \* ARABIC </w:instrText>
      </w:r>
      <w:r w:rsidR="00276A72">
        <w:fldChar w:fldCharType="separate"/>
      </w:r>
      <w:r w:rsidRPr="00B3369E">
        <w:rPr>
          <w:noProof/>
        </w:rPr>
        <w:t>14</w:t>
      </w:r>
      <w:r w:rsidR="00276A72">
        <w:rPr>
          <w:noProof/>
        </w:rPr>
        <w:fldChar w:fldCharType="end"/>
      </w:r>
      <w:r w:rsidRPr="00B3369E">
        <w:t xml:space="preserve"> Liquidity Coverage Ratios (LCR)</w:t>
      </w:r>
      <w:bookmarkEnd w:id="232"/>
    </w:p>
    <w:p w:rsidR="00B3369E" w:rsidRPr="00B3369E" w:rsidRDefault="00B3369E" w:rsidP="00B3369E">
      <w:pPr>
        <w:pStyle w:val="Tables"/>
      </w:pPr>
    </w:p>
    <w:p w:rsidR="00B3369E" w:rsidRPr="00B3369E" w:rsidRDefault="00B3369E" w:rsidP="00B3369E">
      <w:pPr>
        <w:pStyle w:val="HTMLPreformatted"/>
        <w:keepNext/>
        <w:shd w:val="clear" w:color="auto" w:fill="FFFFFF"/>
        <w:spacing w:line="360" w:lineRule="auto"/>
        <w:jc w:val="center"/>
        <w:rPr>
          <w:rFonts w:ascii="Times New Roman" w:hAnsi="Times New Roman" w:cs="Times New Roman"/>
        </w:rPr>
      </w:pPr>
      <w:r w:rsidRPr="00B3369E">
        <w:rPr>
          <w:rFonts w:ascii="Times New Roman" w:hAnsi="Times New Roman" w:cs="Times New Roman"/>
          <w:noProof/>
        </w:rPr>
        <w:drawing>
          <wp:inline distT="0" distB="0" distL="0" distR="0">
            <wp:extent cx="4762500" cy="2066925"/>
            <wp:effectExtent l="19050" t="0" r="19050" b="0"/>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3369E" w:rsidRPr="00B3369E" w:rsidRDefault="00B3369E" w:rsidP="00B3369E">
      <w:pPr>
        <w:pStyle w:val="Figures"/>
      </w:pPr>
      <w:bookmarkStart w:id="233" w:name="_Toc6621161"/>
      <w:r w:rsidRPr="00B3369E">
        <w:t>Figure 6:  5 Liquidity Coverage Ratios (LCR)</w:t>
      </w:r>
      <w:bookmarkEnd w:id="233"/>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rPr>
      </w:pPr>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Net Stable Funding Ratio (NSFR)</w:t>
      </w:r>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shd w:val="clear" w:color="auto" w:fill="FFFFFF"/>
        </w:rPr>
        <w:t xml:space="preserve">For the one year of NSFR, the need for instant liquidity requirement from the minimum amount of funds of the bank's funds related to the liquidity profiles of the asset as well as the balance sheet commitment. During the NSFR credit crash, the short-term wholesale funds restrict the dependency. </w:t>
      </w:r>
      <w:r w:rsidRPr="00B3369E">
        <w:rPr>
          <w:rFonts w:ascii="Times New Roman" w:hAnsi="Times New Roman" w:cs="Times New Roman"/>
          <w:color w:val="212121"/>
          <w:sz w:val="24"/>
          <w:szCs w:val="24"/>
        </w:rPr>
        <w:t xml:space="preserve"> So Bangladesh Bank through given Basel III Net stable funding ratio will be increase 100% if bank cross 100% they follow Basel III and those bank easy liquidity to money. DBBL they were making NSFR before three years increase 100%. So DBBL increase 100% NSFR they are follow to Basel III. Given Under DBBL NSFR report:</w:t>
      </w:r>
    </w:p>
    <w:p w:rsidR="00B3369E" w:rsidRPr="00B3369E" w:rsidRDefault="00B3369E" w:rsidP="00B3369E">
      <w:pPr>
        <w:pStyle w:val="HTMLPreformatted"/>
        <w:shd w:val="clear" w:color="auto" w:fill="FFFFFF"/>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Net Stable Funding Ratio (NSFR) = Available amount of stable funding (ASF)</w:t>
      </w:r>
      <w:r w:rsidRPr="00B3369E">
        <w:rPr>
          <w:rFonts w:ascii="Times New Roman" w:hAnsi="Times New Roman" w:cs="Times New Roman"/>
          <w:b/>
          <w:bCs/>
          <w:color w:val="212121"/>
          <w:sz w:val="24"/>
          <w:szCs w:val="24"/>
        </w:rPr>
        <w:t>/</w:t>
      </w:r>
      <w:r w:rsidRPr="00B3369E">
        <w:rPr>
          <w:rFonts w:ascii="Times New Roman" w:hAnsi="Times New Roman" w:cs="Times New Roman"/>
          <w:color w:val="212121"/>
          <w:sz w:val="24"/>
          <w:szCs w:val="24"/>
        </w:rPr>
        <w:t>required amount of stable funding (RSF)</w:t>
      </w:r>
    </w:p>
    <w:tbl>
      <w:tblPr>
        <w:tblStyle w:val="TableGrid"/>
        <w:tblW w:w="5000" w:type="pct"/>
        <w:tblLook w:val="04A0"/>
      </w:tblPr>
      <w:tblGrid>
        <w:gridCol w:w="1531"/>
        <w:gridCol w:w="1531"/>
        <w:gridCol w:w="1532"/>
        <w:gridCol w:w="1532"/>
        <w:gridCol w:w="1031"/>
        <w:gridCol w:w="528"/>
        <w:gridCol w:w="528"/>
        <w:gridCol w:w="1030"/>
      </w:tblGrid>
      <w:tr w:rsidR="00B3369E" w:rsidRPr="00B3369E" w:rsidTr="004838D2">
        <w:trPr>
          <w:trHeight w:val="256"/>
        </w:trPr>
        <w:tc>
          <w:tcPr>
            <w:tcW w:w="2588" w:type="pct"/>
            <w:gridSpan w:val="3"/>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color w:val="212121"/>
                <w:sz w:val="24"/>
                <w:szCs w:val="24"/>
              </w:rPr>
              <w:t>Available amount of stable funding (ASF)</w:t>
            </w:r>
          </w:p>
        </w:tc>
        <w:tc>
          <w:tcPr>
            <w:tcW w:w="2412" w:type="pct"/>
            <w:gridSpan w:val="5"/>
            <w:vAlign w:val="center"/>
          </w:tcPr>
          <w:p w:rsidR="00B3369E" w:rsidRPr="00B3369E" w:rsidRDefault="00B3369E" w:rsidP="004838D2">
            <w:pPr>
              <w:pStyle w:val="HTMLPreformatted"/>
              <w:shd w:val="clear" w:color="auto" w:fill="FFFFFF"/>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Required amount of stable funding (RSF)</w:t>
            </w:r>
          </w:p>
          <w:p w:rsidR="00B3369E" w:rsidRPr="00B3369E" w:rsidRDefault="00B3369E" w:rsidP="004838D2">
            <w:pPr>
              <w:pStyle w:val="HTMLPreformatted"/>
              <w:jc w:val="center"/>
              <w:rPr>
                <w:rFonts w:ascii="Times New Roman" w:hAnsi="Times New Roman" w:cs="Times New Roman"/>
                <w:sz w:val="24"/>
                <w:szCs w:val="24"/>
              </w:rPr>
            </w:pPr>
          </w:p>
        </w:tc>
      </w:tr>
      <w:tr w:rsidR="00B3369E" w:rsidRPr="00B3369E" w:rsidTr="004838D2">
        <w:trPr>
          <w:trHeight w:val="256"/>
        </w:trPr>
        <w:tc>
          <w:tcPr>
            <w:tcW w:w="862"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2015</w:t>
            </w:r>
          </w:p>
        </w:tc>
        <w:tc>
          <w:tcPr>
            <w:tcW w:w="863"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2016</w:t>
            </w:r>
          </w:p>
        </w:tc>
        <w:tc>
          <w:tcPr>
            <w:tcW w:w="863"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2017</w:t>
            </w:r>
          </w:p>
        </w:tc>
        <w:tc>
          <w:tcPr>
            <w:tcW w:w="863"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2015</w:t>
            </w:r>
          </w:p>
        </w:tc>
        <w:tc>
          <w:tcPr>
            <w:tcW w:w="775"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2016</w:t>
            </w:r>
          </w:p>
        </w:tc>
        <w:tc>
          <w:tcPr>
            <w:tcW w:w="775"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2017</w:t>
            </w:r>
          </w:p>
        </w:tc>
      </w:tr>
      <w:tr w:rsidR="00B3369E" w:rsidRPr="00B3369E" w:rsidTr="004838D2">
        <w:trPr>
          <w:trHeight w:val="256"/>
        </w:trPr>
        <w:tc>
          <w:tcPr>
            <w:tcW w:w="862"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183804.5</w:t>
            </w:r>
          </w:p>
        </w:tc>
        <w:tc>
          <w:tcPr>
            <w:tcW w:w="863"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202620.0</w:t>
            </w:r>
          </w:p>
        </w:tc>
        <w:tc>
          <w:tcPr>
            <w:tcW w:w="863"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235128.0</w:t>
            </w:r>
          </w:p>
        </w:tc>
        <w:tc>
          <w:tcPr>
            <w:tcW w:w="863"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154892.6</w:t>
            </w:r>
          </w:p>
        </w:tc>
        <w:tc>
          <w:tcPr>
            <w:tcW w:w="775"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172854.2</w:t>
            </w:r>
          </w:p>
        </w:tc>
        <w:tc>
          <w:tcPr>
            <w:tcW w:w="775"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203291.8</w:t>
            </w:r>
          </w:p>
        </w:tc>
      </w:tr>
      <w:tr w:rsidR="00B3369E" w:rsidRPr="00B3369E" w:rsidTr="004838D2">
        <w:trPr>
          <w:trHeight w:val="256"/>
        </w:trPr>
        <w:tc>
          <w:tcPr>
            <w:tcW w:w="1725"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2015</w:t>
            </w:r>
          </w:p>
        </w:tc>
        <w:tc>
          <w:tcPr>
            <w:tcW w:w="1726"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2016</w:t>
            </w:r>
          </w:p>
        </w:tc>
        <w:tc>
          <w:tcPr>
            <w:tcW w:w="1549" w:type="pct"/>
            <w:gridSpan w:val="4"/>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2017</w:t>
            </w:r>
          </w:p>
        </w:tc>
      </w:tr>
      <w:tr w:rsidR="00B3369E" w:rsidRPr="00B3369E" w:rsidTr="004838D2">
        <w:trPr>
          <w:trHeight w:val="562"/>
        </w:trPr>
        <w:tc>
          <w:tcPr>
            <w:tcW w:w="1725"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183804.5/154892.6*100=</w:t>
            </w:r>
            <w:r w:rsidRPr="00B3369E">
              <w:rPr>
                <w:rFonts w:ascii="Times New Roman" w:hAnsi="Times New Roman" w:cs="Times New Roman"/>
                <w:color w:val="212121"/>
                <w:sz w:val="24"/>
                <w:szCs w:val="24"/>
              </w:rPr>
              <w:t>118.7%</w:t>
            </w:r>
          </w:p>
        </w:tc>
        <w:tc>
          <w:tcPr>
            <w:tcW w:w="1726"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202620.0/172854.2*100=</w:t>
            </w:r>
            <w:r w:rsidRPr="00B3369E">
              <w:rPr>
                <w:rFonts w:ascii="Times New Roman" w:hAnsi="Times New Roman" w:cs="Times New Roman"/>
                <w:color w:val="212121"/>
                <w:sz w:val="24"/>
                <w:szCs w:val="24"/>
              </w:rPr>
              <w:t>117.2%</w:t>
            </w:r>
          </w:p>
        </w:tc>
        <w:tc>
          <w:tcPr>
            <w:tcW w:w="1549" w:type="pct"/>
            <w:gridSpan w:val="4"/>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eastAsia="Klavika-Bold" w:hAnsi="Times New Roman" w:cs="Times New Roman"/>
                <w:sz w:val="24"/>
                <w:szCs w:val="24"/>
              </w:rPr>
              <w:t>235128.0/203291.8*100=</w:t>
            </w:r>
            <w:r w:rsidRPr="00B3369E">
              <w:rPr>
                <w:rFonts w:ascii="Times New Roman" w:hAnsi="Times New Roman" w:cs="Times New Roman"/>
                <w:color w:val="212121"/>
                <w:sz w:val="24"/>
                <w:szCs w:val="24"/>
              </w:rPr>
              <w:t>115.7%</w:t>
            </w:r>
          </w:p>
        </w:tc>
      </w:tr>
      <w:tr w:rsidR="00B3369E" w:rsidRPr="00B3369E" w:rsidTr="004838D2">
        <w:tc>
          <w:tcPr>
            <w:tcW w:w="1725" w:type="pct"/>
            <w:gridSpan w:val="2"/>
            <w:vMerge w:val="restar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Particulars</w:t>
            </w:r>
          </w:p>
        </w:tc>
        <w:tc>
          <w:tcPr>
            <w:tcW w:w="3275" w:type="pct"/>
            <w:gridSpan w:val="6"/>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Ratio %</w:t>
            </w:r>
          </w:p>
        </w:tc>
      </w:tr>
      <w:tr w:rsidR="00B3369E" w:rsidRPr="00B3369E" w:rsidTr="004838D2">
        <w:tc>
          <w:tcPr>
            <w:tcW w:w="1725" w:type="pct"/>
            <w:gridSpan w:val="2"/>
            <w:vMerge/>
            <w:vAlign w:val="center"/>
          </w:tcPr>
          <w:p w:rsidR="00B3369E" w:rsidRPr="00B3369E" w:rsidRDefault="00B3369E" w:rsidP="004838D2">
            <w:pPr>
              <w:pStyle w:val="HTMLPreformatted"/>
              <w:jc w:val="center"/>
              <w:rPr>
                <w:rFonts w:ascii="Times New Roman" w:hAnsi="Times New Roman" w:cs="Times New Roman"/>
                <w:sz w:val="24"/>
                <w:szCs w:val="24"/>
              </w:rPr>
            </w:pPr>
          </w:p>
        </w:tc>
        <w:tc>
          <w:tcPr>
            <w:tcW w:w="1726"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BB Requirement</w:t>
            </w:r>
          </w:p>
        </w:tc>
        <w:tc>
          <w:tcPr>
            <w:tcW w:w="1549" w:type="pct"/>
            <w:gridSpan w:val="4"/>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DBBL’s Position</w:t>
            </w:r>
          </w:p>
        </w:tc>
      </w:tr>
      <w:tr w:rsidR="00B3369E" w:rsidRPr="00B3369E" w:rsidTr="004838D2">
        <w:trPr>
          <w:trHeight w:val="256"/>
        </w:trPr>
        <w:tc>
          <w:tcPr>
            <w:tcW w:w="1725" w:type="pct"/>
            <w:gridSpan w:val="2"/>
            <w:vMerge w:val="restar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color w:val="212121"/>
                <w:sz w:val="24"/>
                <w:szCs w:val="24"/>
              </w:rPr>
              <w:t>Net Stable Funding Ratio (NSFR)</w:t>
            </w:r>
          </w:p>
        </w:tc>
        <w:tc>
          <w:tcPr>
            <w:tcW w:w="1726" w:type="pct"/>
            <w:gridSpan w:val="2"/>
            <w:vMerge w:val="restar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color w:val="212121"/>
                <w:sz w:val="24"/>
                <w:szCs w:val="24"/>
              </w:rPr>
              <w:t>&gt;100%</w:t>
            </w:r>
          </w:p>
        </w:tc>
        <w:tc>
          <w:tcPr>
            <w:tcW w:w="517"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2015</w:t>
            </w:r>
          </w:p>
        </w:tc>
        <w:tc>
          <w:tcPr>
            <w:tcW w:w="516"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2016</w:t>
            </w:r>
          </w:p>
        </w:tc>
        <w:tc>
          <w:tcPr>
            <w:tcW w:w="517"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sz w:val="24"/>
                <w:szCs w:val="24"/>
              </w:rPr>
              <w:t>2017</w:t>
            </w:r>
          </w:p>
        </w:tc>
      </w:tr>
      <w:tr w:rsidR="00B3369E" w:rsidRPr="00B3369E" w:rsidTr="004838D2">
        <w:trPr>
          <w:trHeight w:val="256"/>
        </w:trPr>
        <w:tc>
          <w:tcPr>
            <w:tcW w:w="1725" w:type="pct"/>
            <w:gridSpan w:val="2"/>
            <w:vMerge/>
            <w:vAlign w:val="center"/>
          </w:tcPr>
          <w:p w:rsidR="00B3369E" w:rsidRPr="00B3369E" w:rsidRDefault="00B3369E" w:rsidP="004838D2">
            <w:pPr>
              <w:pStyle w:val="HTMLPreformatted"/>
              <w:jc w:val="center"/>
              <w:rPr>
                <w:rFonts w:ascii="Times New Roman" w:hAnsi="Times New Roman" w:cs="Times New Roman"/>
                <w:sz w:val="24"/>
                <w:szCs w:val="24"/>
              </w:rPr>
            </w:pPr>
          </w:p>
        </w:tc>
        <w:tc>
          <w:tcPr>
            <w:tcW w:w="1726" w:type="pct"/>
            <w:gridSpan w:val="2"/>
            <w:vMerge/>
            <w:vAlign w:val="center"/>
          </w:tcPr>
          <w:p w:rsidR="00B3369E" w:rsidRPr="00B3369E" w:rsidRDefault="00B3369E" w:rsidP="004838D2">
            <w:pPr>
              <w:pStyle w:val="HTMLPreformatted"/>
              <w:jc w:val="center"/>
              <w:rPr>
                <w:rFonts w:ascii="Times New Roman" w:hAnsi="Times New Roman" w:cs="Times New Roman"/>
                <w:sz w:val="24"/>
                <w:szCs w:val="24"/>
              </w:rPr>
            </w:pPr>
          </w:p>
        </w:tc>
        <w:tc>
          <w:tcPr>
            <w:tcW w:w="517" w:type="pct"/>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color w:val="212121"/>
                <w:sz w:val="24"/>
                <w:szCs w:val="24"/>
              </w:rPr>
              <w:t>118.7%</w:t>
            </w:r>
          </w:p>
        </w:tc>
        <w:tc>
          <w:tcPr>
            <w:tcW w:w="516" w:type="pct"/>
            <w:gridSpan w:val="2"/>
            <w:vAlign w:val="center"/>
          </w:tcPr>
          <w:p w:rsidR="00B3369E" w:rsidRPr="00B3369E" w:rsidRDefault="00B3369E" w:rsidP="004838D2">
            <w:pPr>
              <w:pStyle w:val="HTMLPreformatted"/>
              <w:jc w:val="center"/>
              <w:rPr>
                <w:rFonts w:ascii="Times New Roman" w:hAnsi="Times New Roman" w:cs="Times New Roman"/>
                <w:sz w:val="24"/>
                <w:szCs w:val="24"/>
              </w:rPr>
            </w:pPr>
            <w:r w:rsidRPr="00B3369E">
              <w:rPr>
                <w:rFonts w:ascii="Times New Roman" w:hAnsi="Times New Roman" w:cs="Times New Roman"/>
                <w:color w:val="212121"/>
                <w:sz w:val="24"/>
                <w:szCs w:val="24"/>
              </w:rPr>
              <w:t>117.2%</w:t>
            </w:r>
          </w:p>
        </w:tc>
        <w:tc>
          <w:tcPr>
            <w:tcW w:w="517" w:type="pct"/>
            <w:vAlign w:val="center"/>
          </w:tcPr>
          <w:p w:rsidR="00B3369E" w:rsidRPr="00B3369E" w:rsidRDefault="00B3369E" w:rsidP="004838D2">
            <w:pPr>
              <w:pStyle w:val="HTMLPreformatted"/>
              <w:keepNext/>
              <w:jc w:val="center"/>
              <w:rPr>
                <w:rFonts w:ascii="Times New Roman" w:hAnsi="Times New Roman" w:cs="Times New Roman"/>
                <w:sz w:val="24"/>
                <w:szCs w:val="24"/>
              </w:rPr>
            </w:pPr>
            <w:r w:rsidRPr="00B3369E">
              <w:rPr>
                <w:rFonts w:ascii="Times New Roman" w:hAnsi="Times New Roman" w:cs="Times New Roman"/>
                <w:color w:val="212121"/>
                <w:sz w:val="24"/>
                <w:szCs w:val="24"/>
              </w:rPr>
              <w:t>115.7%</w:t>
            </w:r>
          </w:p>
        </w:tc>
      </w:tr>
    </w:tbl>
    <w:p w:rsidR="00B3369E" w:rsidRPr="00B3369E" w:rsidRDefault="00B3369E" w:rsidP="00B3369E">
      <w:pPr>
        <w:pStyle w:val="Tables"/>
      </w:pPr>
      <w:bookmarkStart w:id="234" w:name="_Toc6620277"/>
      <w:r w:rsidRPr="00B3369E">
        <w:t xml:space="preserve">Table 6:  </w:t>
      </w:r>
      <w:r w:rsidR="00276A72">
        <w:fldChar w:fldCharType="begin"/>
      </w:r>
      <w:r w:rsidR="002324C7">
        <w:instrText xml:space="preserve"> SEQ Table_6:_ \* ARABIC </w:instrText>
      </w:r>
      <w:r w:rsidR="00276A72">
        <w:fldChar w:fldCharType="separate"/>
      </w:r>
      <w:r w:rsidRPr="00B3369E">
        <w:rPr>
          <w:noProof/>
        </w:rPr>
        <w:t>15</w:t>
      </w:r>
      <w:r w:rsidR="00276A72">
        <w:rPr>
          <w:noProof/>
        </w:rPr>
        <w:fldChar w:fldCharType="end"/>
      </w:r>
      <w:r w:rsidRPr="00B3369E">
        <w:t xml:space="preserve"> Net Stable Funding Ratio (NSFR)</w:t>
      </w:r>
      <w:bookmarkEnd w:id="234"/>
    </w:p>
    <w:p w:rsidR="00B3369E" w:rsidRPr="00B3369E" w:rsidRDefault="00B3369E" w:rsidP="00B3369E">
      <w:pPr>
        <w:pStyle w:val="Tables"/>
      </w:pPr>
    </w:p>
    <w:p w:rsidR="00B3369E" w:rsidRPr="00B3369E" w:rsidRDefault="00B3369E" w:rsidP="00B3369E">
      <w:pPr>
        <w:pStyle w:val="HTMLPreformatted"/>
        <w:keepNext/>
        <w:shd w:val="clear" w:color="auto" w:fill="FFFFFF"/>
        <w:jc w:val="center"/>
        <w:rPr>
          <w:rFonts w:ascii="Times New Roman" w:hAnsi="Times New Roman" w:cs="Times New Roman"/>
        </w:rPr>
      </w:pPr>
      <w:r w:rsidRPr="00B3369E">
        <w:rPr>
          <w:rFonts w:ascii="Times New Roman" w:hAnsi="Times New Roman" w:cs="Times New Roman"/>
          <w:noProof/>
        </w:rPr>
        <w:drawing>
          <wp:inline distT="0" distB="0" distL="0" distR="0">
            <wp:extent cx="4572000" cy="2743200"/>
            <wp:effectExtent l="19050" t="0" r="19050" b="0"/>
            <wp:docPr id="1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3369E" w:rsidRPr="00B3369E" w:rsidRDefault="00B3369E" w:rsidP="00B3369E">
      <w:pPr>
        <w:pStyle w:val="Figures"/>
      </w:pPr>
      <w:bookmarkStart w:id="235" w:name="_Toc6621162"/>
      <w:r w:rsidRPr="00B3369E">
        <w:t>Figure 6:  6 Net Stable Funding Ratios (NSFR)</w:t>
      </w:r>
      <w:bookmarkEnd w:id="235"/>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rPr>
      </w:pPr>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rPr>
      </w:pPr>
      <w:r w:rsidRPr="00B3369E">
        <w:rPr>
          <w:rFonts w:ascii="Times New Roman" w:hAnsi="Times New Roman" w:cs="Times New Roman"/>
          <w:b/>
          <w:bCs/>
          <w:color w:val="212121"/>
          <w:sz w:val="24"/>
          <w:szCs w:val="24"/>
        </w:rPr>
        <w:t>Leverage Ratio</w:t>
      </w:r>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rPr>
      </w:pPr>
    </w:p>
    <w:p w:rsidR="00B3369E" w:rsidRPr="00B3369E" w:rsidRDefault="00B3369E" w:rsidP="00B3369E">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First and foremost, the leverage ratio of the bank is maintained (The total coordinated and closed balance sheet ratio as Tier 1 capital asset) is better than the controller requirement above. This is the end, interesting balance sheet components, namely, deposits and loans, loans &amp; progress, other liquid assets (Treasury bills, bonds, and funding locations) Monthly basis analysis. Balance containers are holding increasing overall size (Considering short-term) collectively balance exposure and closure of the balance sheet possible growth aspect of industrial index and equity (Tier 1 capital) bank quarterly rest. </w:t>
      </w:r>
      <w:r w:rsidRPr="00B3369E">
        <w:rPr>
          <w:rFonts w:ascii="Times New Roman" w:hAnsi="Times New Roman" w:cs="Times New Roman"/>
          <w:sz w:val="24"/>
          <w:szCs w:val="24"/>
        </w:rPr>
        <w:br/>
      </w:r>
      <w:r w:rsidRPr="00B3369E">
        <w:rPr>
          <w:rFonts w:ascii="Times New Roman" w:hAnsi="Times New Roman" w:cs="Times New Roman"/>
          <w:color w:val="212121"/>
          <w:sz w:val="24"/>
          <w:szCs w:val="24"/>
          <w:shd w:val="clear" w:color="auto" w:fill="FFFFFF"/>
        </w:rPr>
        <w:t xml:space="preserve">In case of excessive leverage management, the situation is controlled by financial policy initiatives, such as expected opportunities Business potential (growth) estimated money supply, inflation, as a result In addition to the industry, the estimated overall liquidity of the bank is considered special. </w:t>
      </w:r>
      <w:r w:rsidRPr="00B3369E">
        <w:rPr>
          <w:rFonts w:ascii="Times New Roman" w:hAnsi="Times New Roman" w:cs="Times New Roman"/>
          <w:color w:val="212121"/>
          <w:sz w:val="24"/>
          <w:szCs w:val="24"/>
        </w:rPr>
        <w:t>The balance sheet exposes the overall position of the bank accounts and the applicable conditions are presented as the reporting date, relevant accounting standards, such as IASs (BASs), IFRS (BFRs) etc. The assets and liabilities are also created where the total measurement of asset and liability accounting value is presented the related accounting standards and compliance regulatory guidelines are approved. To calculate "leverage", follow the 'leverage ratio' method of DBBL / according 3% increase to follow the advice of the Bangladesh Bank. So DBBL before 3 years increase 3% leverage Ratio. So, DBBL follow Basel III Leverage ratio:</w:t>
      </w:r>
      <w:r w:rsidRPr="00B3369E">
        <w:rPr>
          <w:rFonts w:ascii="Times New Roman" w:hAnsi="Times New Roman" w:cs="Times New Roman"/>
          <w:color w:val="212121"/>
          <w:sz w:val="24"/>
          <w:szCs w:val="24"/>
        </w:rPr>
        <w:tab/>
      </w:r>
      <w:r w:rsidRPr="00B3369E">
        <w:rPr>
          <w:rFonts w:ascii="Times New Roman" w:hAnsi="Times New Roman" w:cs="Times New Roman"/>
          <w:color w:val="212121"/>
          <w:sz w:val="24"/>
          <w:szCs w:val="24"/>
        </w:rPr>
        <w:tab/>
      </w:r>
    </w:p>
    <w:p w:rsidR="00B3369E" w:rsidRPr="00B3369E" w:rsidRDefault="00B3369E" w:rsidP="00B3369E">
      <w:pPr>
        <w:pStyle w:val="HTMLPreformatted"/>
        <w:shd w:val="clear" w:color="auto" w:fill="FFFFFF"/>
        <w:jc w:val="both"/>
        <w:rPr>
          <w:rFonts w:ascii="Times New Roman" w:hAnsi="Times New Roman" w:cs="Times New Roman"/>
          <w:b/>
          <w:bCs/>
          <w:color w:val="212121"/>
          <w:sz w:val="24"/>
          <w:szCs w:val="24"/>
        </w:rPr>
      </w:pPr>
    </w:p>
    <w:p w:rsidR="00B3369E" w:rsidRPr="00B3369E" w:rsidRDefault="00B3369E" w:rsidP="00B3369E">
      <w:pPr>
        <w:pStyle w:val="HTMLPreformatted"/>
        <w:shd w:val="clear" w:color="auto" w:fill="FFFFFF"/>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Leverage Ratio (LR) = Tier 1 Capital (after related adjustment)/Total Exposure (after related adjustment)</w:t>
      </w:r>
    </w:p>
    <w:p w:rsidR="00B3369E" w:rsidRPr="00B3369E" w:rsidRDefault="00B3369E" w:rsidP="00B3369E">
      <w:pPr>
        <w:pStyle w:val="HTMLPreformatted"/>
        <w:shd w:val="clear" w:color="auto" w:fill="FFFFFF"/>
        <w:jc w:val="both"/>
        <w:rPr>
          <w:rFonts w:ascii="Times New Roman" w:hAnsi="Times New Roman" w:cs="Times New Roman"/>
          <w:color w:val="212121"/>
          <w:sz w:val="24"/>
          <w:szCs w:val="24"/>
        </w:rPr>
      </w:pPr>
    </w:p>
    <w:tbl>
      <w:tblPr>
        <w:tblStyle w:val="TableGrid"/>
        <w:tblW w:w="5000" w:type="pct"/>
        <w:jc w:val="center"/>
        <w:tblLook w:val="04A0"/>
      </w:tblPr>
      <w:tblGrid>
        <w:gridCol w:w="1539"/>
        <w:gridCol w:w="1542"/>
        <w:gridCol w:w="1540"/>
        <w:gridCol w:w="1542"/>
        <w:gridCol w:w="1028"/>
        <w:gridCol w:w="512"/>
        <w:gridCol w:w="516"/>
        <w:gridCol w:w="1024"/>
      </w:tblGrid>
      <w:tr w:rsidR="00B3369E" w:rsidRPr="00B3369E" w:rsidTr="004838D2">
        <w:trPr>
          <w:trHeight w:val="352"/>
          <w:jc w:val="center"/>
        </w:trPr>
        <w:tc>
          <w:tcPr>
            <w:tcW w:w="2500" w:type="pct"/>
            <w:gridSpan w:val="3"/>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Tier 1 Capital (after related adjustment)</w:t>
            </w:r>
          </w:p>
        </w:tc>
        <w:tc>
          <w:tcPr>
            <w:tcW w:w="2500" w:type="pct"/>
            <w:gridSpan w:val="5"/>
            <w:vAlign w:val="center"/>
          </w:tcPr>
          <w:p w:rsidR="00B3369E" w:rsidRPr="00B3369E" w:rsidRDefault="00B3369E" w:rsidP="004838D2">
            <w:pPr>
              <w:pStyle w:val="HTMLPreformatted"/>
              <w:shd w:val="clear" w:color="auto" w:fill="FFFFFF"/>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Total Exposure (after related adjustment)</w:t>
            </w:r>
          </w:p>
          <w:p w:rsidR="00B3369E" w:rsidRPr="00B3369E" w:rsidRDefault="00B3369E" w:rsidP="004838D2">
            <w:pPr>
              <w:pStyle w:val="HTMLPreformatted"/>
              <w:jc w:val="center"/>
              <w:rPr>
                <w:rFonts w:ascii="Times New Roman" w:hAnsi="Times New Roman" w:cs="Times New Roman"/>
                <w:color w:val="212121"/>
                <w:sz w:val="24"/>
                <w:szCs w:val="24"/>
              </w:rPr>
            </w:pPr>
          </w:p>
        </w:tc>
      </w:tr>
      <w:tr w:rsidR="00B3369E" w:rsidRPr="00B3369E" w:rsidTr="004838D2">
        <w:trPr>
          <w:trHeight w:val="326"/>
          <w:jc w:val="center"/>
        </w:trPr>
        <w:tc>
          <w:tcPr>
            <w:tcW w:w="833" w:type="pct"/>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sz w:val="24"/>
                <w:szCs w:val="24"/>
              </w:rPr>
              <w:t>2015</w:t>
            </w:r>
          </w:p>
        </w:tc>
        <w:tc>
          <w:tcPr>
            <w:tcW w:w="834" w:type="pct"/>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sz w:val="24"/>
                <w:szCs w:val="24"/>
              </w:rPr>
              <w:t>2016</w:t>
            </w:r>
          </w:p>
        </w:tc>
        <w:tc>
          <w:tcPr>
            <w:tcW w:w="833" w:type="pct"/>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sz w:val="24"/>
                <w:szCs w:val="24"/>
              </w:rPr>
              <w:t>2017</w:t>
            </w:r>
          </w:p>
        </w:tc>
        <w:tc>
          <w:tcPr>
            <w:tcW w:w="834" w:type="pct"/>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sz w:val="24"/>
                <w:szCs w:val="24"/>
              </w:rPr>
              <w:t>2015</w:t>
            </w:r>
          </w:p>
        </w:tc>
        <w:tc>
          <w:tcPr>
            <w:tcW w:w="833" w:type="pct"/>
            <w:gridSpan w:val="2"/>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sz w:val="24"/>
                <w:szCs w:val="24"/>
              </w:rPr>
              <w:t>2016</w:t>
            </w:r>
          </w:p>
        </w:tc>
        <w:tc>
          <w:tcPr>
            <w:tcW w:w="833" w:type="pct"/>
            <w:gridSpan w:val="2"/>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sz w:val="24"/>
                <w:szCs w:val="24"/>
              </w:rPr>
              <w:t>2017</w:t>
            </w:r>
          </w:p>
        </w:tc>
      </w:tr>
      <w:tr w:rsidR="00B3369E" w:rsidRPr="00B3369E" w:rsidTr="004838D2">
        <w:trPr>
          <w:trHeight w:val="325"/>
          <w:jc w:val="center"/>
        </w:trPr>
        <w:tc>
          <w:tcPr>
            <w:tcW w:w="833" w:type="pct"/>
            <w:vAlign w:val="center"/>
          </w:tcPr>
          <w:p w:rsidR="00B3369E" w:rsidRPr="00B3369E" w:rsidRDefault="00B3369E" w:rsidP="004838D2">
            <w:pPr>
              <w:jc w:val="center"/>
              <w:rPr>
                <w:rFonts w:ascii="Times New Roman" w:hAnsi="Times New Roman" w:cs="Times New Roman"/>
                <w:sz w:val="24"/>
                <w:szCs w:val="24"/>
              </w:rPr>
            </w:pPr>
            <w:r w:rsidRPr="00B3369E">
              <w:rPr>
                <w:rFonts w:ascii="Times New Roman" w:eastAsia="Klavika-Bold" w:hAnsi="Times New Roman" w:cs="Times New Roman"/>
                <w:sz w:val="24"/>
                <w:szCs w:val="24"/>
              </w:rPr>
              <w:t>14634.8</w:t>
            </w:r>
          </w:p>
        </w:tc>
        <w:tc>
          <w:tcPr>
            <w:tcW w:w="834" w:type="pct"/>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eastAsia="Klavika-Bold" w:hAnsi="Times New Roman" w:cs="Times New Roman"/>
                <w:sz w:val="24"/>
                <w:szCs w:val="24"/>
              </w:rPr>
              <w:t>14747.5</w:t>
            </w:r>
          </w:p>
        </w:tc>
        <w:tc>
          <w:tcPr>
            <w:tcW w:w="833" w:type="pct"/>
            <w:vAlign w:val="center"/>
          </w:tcPr>
          <w:p w:rsidR="00B3369E" w:rsidRPr="00B3369E" w:rsidRDefault="00B3369E" w:rsidP="004838D2">
            <w:pPr>
              <w:jc w:val="center"/>
              <w:rPr>
                <w:rFonts w:ascii="Times New Roman" w:hAnsi="Times New Roman" w:cs="Times New Roman"/>
                <w:sz w:val="24"/>
                <w:szCs w:val="24"/>
              </w:rPr>
            </w:pPr>
            <w:r w:rsidRPr="00B3369E">
              <w:rPr>
                <w:rFonts w:ascii="Times New Roman" w:eastAsia="Klavika-Bold" w:hAnsi="Times New Roman" w:cs="Times New Roman"/>
                <w:sz w:val="24"/>
                <w:szCs w:val="24"/>
              </w:rPr>
              <w:t>16593.3</w:t>
            </w:r>
          </w:p>
        </w:tc>
        <w:tc>
          <w:tcPr>
            <w:tcW w:w="834" w:type="pct"/>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eastAsia="Klavika-Bold" w:hAnsi="Times New Roman" w:cs="Times New Roman"/>
                <w:sz w:val="24"/>
                <w:szCs w:val="24"/>
              </w:rPr>
              <w:t>252848.1</w:t>
            </w:r>
          </w:p>
        </w:tc>
        <w:tc>
          <w:tcPr>
            <w:tcW w:w="833" w:type="pct"/>
            <w:gridSpan w:val="2"/>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eastAsia="Klavika-Bold" w:hAnsi="Times New Roman" w:cs="Times New Roman"/>
                <w:sz w:val="24"/>
                <w:szCs w:val="24"/>
              </w:rPr>
              <w:t>284534.5</w:t>
            </w:r>
          </w:p>
        </w:tc>
        <w:tc>
          <w:tcPr>
            <w:tcW w:w="833" w:type="pct"/>
            <w:gridSpan w:val="2"/>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eastAsia="Klavika-Bold" w:hAnsi="Times New Roman" w:cs="Times New Roman"/>
                <w:sz w:val="24"/>
                <w:szCs w:val="24"/>
              </w:rPr>
              <w:t>322188.4</w:t>
            </w:r>
          </w:p>
        </w:tc>
      </w:tr>
      <w:tr w:rsidR="00B3369E" w:rsidRPr="00B3369E" w:rsidTr="004838D2">
        <w:trPr>
          <w:trHeight w:val="305"/>
          <w:jc w:val="center"/>
        </w:trPr>
        <w:tc>
          <w:tcPr>
            <w:tcW w:w="1667" w:type="pct"/>
            <w:gridSpan w:val="2"/>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sz w:val="24"/>
                <w:szCs w:val="24"/>
              </w:rPr>
              <w:t>2015</w:t>
            </w:r>
          </w:p>
        </w:tc>
        <w:tc>
          <w:tcPr>
            <w:tcW w:w="1667" w:type="pct"/>
            <w:gridSpan w:val="2"/>
            <w:vAlign w:val="center"/>
          </w:tcPr>
          <w:p w:rsidR="00B3369E" w:rsidRPr="00B3369E" w:rsidRDefault="00B3369E" w:rsidP="004838D2">
            <w:pPr>
              <w:pStyle w:val="HTMLPreformatted"/>
              <w:jc w:val="center"/>
              <w:rPr>
                <w:rFonts w:ascii="Times New Roman" w:eastAsia="Klavika-Bold" w:hAnsi="Times New Roman" w:cs="Times New Roman"/>
                <w:sz w:val="24"/>
                <w:szCs w:val="24"/>
              </w:rPr>
            </w:pPr>
            <w:r w:rsidRPr="00B3369E">
              <w:rPr>
                <w:rFonts w:ascii="Times New Roman" w:hAnsi="Times New Roman" w:cs="Times New Roman"/>
                <w:sz w:val="24"/>
                <w:szCs w:val="24"/>
              </w:rPr>
              <w:t>2016</w:t>
            </w:r>
          </w:p>
        </w:tc>
        <w:tc>
          <w:tcPr>
            <w:tcW w:w="1666" w:type="pct"/>
            <w:gridSpan w:val="4"/>
            <w:vAlign w:val="center"/>
          </w:tcPr>
          <w:p w:rsidR="00B3369E" w:rsidRPr="00B3369E" w:rsidRDefault="00B3369E" w:rsidP="004838D2">
            <w:pPr>
              <w:pStyle w:val="HTMLPreformatted"/>
              <w:jc w:val="center"/>
              <w:rPr>
                <w:rFonts w:ascii="Times New Roman" w:eastAsia="Klavika-Bold" w:hAnsi="Times New Roman" w:cs="Times New Roman"/>
                <w:sz w:val="24"/>
                <w:szCs w:val="24"/>
              </w:rPr>
            </w:pPr>
            <w:r w:rsidRPr="00B3369E">
              <w:rPr>
                <w:rFonts w:ascii="Times New Roman" w:hAnsi="Times New Roman" w:cs="Times New Roman"/>
                <w:sz w:val="24"/>
                <w:szCs w:val="24"/>
              </w:rPr>
              <w:t>2017</w:t>
            </w:r>
          </w:p>
        </w:tc>
      </w:tr>
      <w:tr w:rsidR="00B3369E" w:rsidRPr="00B3369E" w:rsidTr="004838D2">
        <w:trPr>
          <w:trHeight w:val="304"/>
          <w:jc w:val="center"/>
        </w:trPr>
        <w:tc>
          <w:tcPr>
            <w:tcW w:w="1667" w:type="pct"/>
            <w:gridSpan w:val="2"/>
            <w:vAlign w:val="center"/>
          </w:tcPr>
          <w:p w:rsidR="00B3369E" w:rsidRPr="00B3369E" w:rsidRDefault="00B3369E" w:rsidP="004838D2">
            <w:pPr>
              <w:pStyle w:val="HTMLPreformatted"/>
              <w:jc w:val="center"/>
              <w:rPr>
                <w:rFonts w:ascii="Times New Roman" w:eastAsia="Klavika-Bold" w:hAnsi="Times New Roman" w:cs="Times New Roman"/>
                <w:sz w:val="24"/>
                <w:szCs w:val="24"/>
              </w:rPr>
            </w:pPr>
            <w:r w:rsidRPr="00B3369E">
              <w:rPr>
                <w:rFonts w:ascii="Times New Roman" w:eastAsia="Klavika-Bold" w:hAnsi="Times New Roman" w:cs="Times New Roman"/>
                <w:sz w:val="24"/>
                <w:szCs w:val="24"/>
              </w:rPr>
              <w:t>14634.8/252848.1*100=</w:t>
            </w:r>
            <w:r w:rsidRPr="00B3369E">
              <w:rPr>
                <w:rFonts w:ascii="Times New Roman" w:hAnsi="Times New Roman" w:cs="Times New Roman"/>
                <w:color w:val="212121"/>
                <w:sz w:val="24"/>
                <w:szCs w:val="24"/>
              </w:rPr>
              <w:t>5.7%</w:t>
            </w:r>
          </w:p>
        </w:tc>
        <w:tc>
          <w:tcPr>
            <w:tcW w:w="1667" w:type="pct"/>
            <w:gridSpan w:val="2"/>
            <w:vAlign w:val="center"/>
          </w:tcPr>
          <w:p w:rsidR="00B3369E" w:rsidRPr="00B3369E" w:rsidRDefault="00B3369E" w:rsidP="004838D2">
            <w:pPr>
              <w:pStyle w:val="HTMLPreformatted"/>
              <w:jc w:val="center"/>
              <w:rPr>
                <w:rFonts w:ascii="Times New Roman" w:eastAsia="Klavika-Bold" w:hAnsi="Times New Roman" w:cs="Times New Roman"/>
                <w:sz w:val="24"/>
                <w:szCs w:val="24"/>
              </w:rPr>
            </w:pPr>
            <w:r w:rsidRPr="00B3369E">
              <w:rPr>
                <w:rFonts w:ascii="Times New Roman" w:eastAsia="Klavika-Bold" w:hAnsi="Times New Roman" w:cs="Times New Roman"/>
                <w:sz w:val="24"/>
                <w:szCs w:val="24"/>
              </w:rPr>
              <w:t>14747.5/284534.5*100=</w:t>
            </w:r>
            <w:r w:rsidRPr="00B3369E">
              <w:rPr>
                <w:rFonts w:ascii="Times New Roman" w:hAnsi="Times New Roman" w:cs="Times New Roman"/>
                <w:color w:val="212121"/>
                <w:sz w:val="24"/>
                <w:szCs w:val="24"/>
              </w:rPr>
              <w:t>5.2%</w:t>
            </w:r>
          </w:p>
        </w:tc>
        <w:tc>
          <w:tcPr>
            <w:tcW w:w="1666" w:type="pct"/>
            <w:gridSpan w:val="4"/>
            <w:vAlign w:val="center"/>
          </w:tcPr>
          <w:p w:rsidR="00B3369E" w:rsidRPr="00B3369E" w:rsidRDefault="00B3369E" w:rsidP="004838D2">
            <w:pPr>
              <w:pStyle w:val="HTMLPreformatted"/>
              <w:jc w:val="center"/>
              <w:rPr>
                <w:rFonts w:ascii="Times New Roman" w:eastAsia="Klavika-Bold" w:hAnsi="Times New Roman" w:cs="Times New Roman"/>
                <w:sz w:val="24"/>
                <w:szCs w:val="24"/>
              </w:rPr>
            </w:pPr>
            <w:r w:rsidRPr="00B3369E">
              <w:rPr>
                <w:rFonts w:ascii="Times New Roman" w:eastAsia="Klavika-Bold" w:hAnsi="Times New Roman" w:cs="Times New Roman"/>
                <w:sz w:val="24"/>
                <w:szCs w:val="24"/>
              </w:rPr>
              <w:t>16593.3/322188.4*100=</w:t>
            </w:r>
            <w:r w:rsidRPr="00B3369E">
              <w:rPr>
                <w:rFonts w:ascii="Times New Roman" w:hAnsi="Times New Roman" w:cs="Times New Roman"/>
                <w:color w:val="212121"/>
                <w:sz w:val="24"/>
                <w:szCs w:val="24"/>
              </w:rPr>
              <w:t>5.2%</w:t>
            </w:r>
          </w:p>
        </w:tc>
      </w:tr>
      <w:tr w:rsidR="00B3369E" w:rsidRPr="00B3369E" w:rsidTr="004838D2">
        <w:trPr>
          <w:jc w:val="center"/>
        </w:trPr>
        <w:tc>
          <w:tcPr>
            <w:tcW w:w="1667" w:type="pct"/>
            <w:gridSpan w:val="2"/>
            <w:vMerge w:val="restart"/>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Particulars</w:t>
            </w:r>
          </w:p>
        </w:tc>
        <w:tc>
          <w:tcPr>
            <w:tcW w:w="3333" w:type="pct"/>
            <w:gridSpan w:val="6"/>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Ratio%</w:t>
            </w:r>
          </w:p>
        </w:tc>
      </w:tr>
      <w:tr w:rsidR="00B3369E" w:rsidRPr="00B3369E" w:rsidTr="004838D2">
        <w:trPr>
          <w:jc w:val="center"/>
        </w:trPr>
        <w:tc>
          <w:tcPr>
            <w:tcW w:w="1667" w:type="pct"/>
            <w:gridSpan w:val="2"/>
            <w:vMerge/>
            <w:vAlign w:val="center"/>
          </w:tcPr>
          <w:p w:rsidR="00B3369E" w:rsidRPr="00B3369E" w:rsidRDefault="00B3369E" w:rsidP="004838D2">
            <w:pPr>
              <w:pStyle w:val="HTMLPreformatted"/>
              <w:jc w:val="center"/>
              <w:rPr>
                <w:rFonts w:ascii="Times New Roman" w:hAnsi="Times New Roman" w:cs="Times New Roman"/>
                <w:color w:val="212121"/>
                <w:sz w:val="24"/>
                <w:szCs w:val="24"/>
              </w:rPr>
            </w:pPr>
          </w:p>
        </w:tc>
        <w:tc>
          <w:tcPr>
            <w:tcW w:w="1667" w:type="pct"/>
            <w:gridSpan w:val="2"/>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BB Requirement</w:t>
            </w:r>
          </w:p>
        </w:tc>
        <w:tc>
          <w:tcPr>
            <w:tcW w:w="1666" w:type="pct"/>
            <w:gridSpan w:val="4"/>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DBBL’s Position</w:t>
            </w:r>
          </w:p>
        </w:tc>
      </w:tr>
      <w:tr w:rsidR="00B3369E" w:rsidRPr="00B3369E" w:rsidTr="004838D2">
        <w:trPr>
          <w:trHeight w:val="256"/>
          <w:jc w:val="center"/>
        </w:trPr>
        <w:tc>
          <w:tcPr>
            <w:tcW w:w="1667" w:type="pct"/>
            <w:gridSpan w:val="2"/>
            <w:vMerge w:val="restart"/>
            <w:vAlign w:val="center"/>
          </w:tcPr>
          <w:p w:rsidR="00B3369E" w:rsidRPr="00B3369E" w:rsidRDefault="00B3369E" w:rsidP="004838D2">
            <w:pPr>
              <w:pStyle w:val="HTMLPreformatted"/>
              <w:shd w:val="clear" w:color="auto" w:fill="FFFFFF"/>
              <w:ind w:firstLine="720"/>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Leverage Ratio(LR)</w:t>
            </w:r>
          </w:p>
          <w:p w:rsidR="00B3369E" w:rsidRPr="00B3369E" w:rsidRDefault="00B3369E" w:rsidP="004838D2">
            <w:pPr>
              <w:pStyle w:val="HTMLPreformatted"/>
              <w:jc w:val="center"/>
              <w:rPr>
                <w:rFonts w:ascii="Times New Roman" w:hAnsi="Times New Roman" w:cs="Times New Roman"/>
                <w:color w:val="212121"/>
                <w:sz w:val="24"/>
                <w:szCs w:val="24"/>
              </w:rPr>
            </w:pPr>
          </w:p>
        </w:tc>
        <w:tc>
          <w:tcPr>
            <w:tcW w:w="1667" w:type="pct"/>
            <w:gridSpan w:val="2"/>
            <w:vMerge w:val="restart"/>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&gt;3%</w:t>
            </w:r>
          </w:p>
        </w:tc>
        <w:tc>
          <w:tcPr>
            <w:tcW w:w="556" w:type="pct"/>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2015</w:t>
            </w:r>
          </w:p>
        </w:tc>
        <w:tc>
          <w:tcPr>
            <w:tcW w:w="556" w:type="pct"/>
            <w:gridSpan w:val="2"/>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2016</w:t>
            </w:r>
          </w:p>
        </w:tc>
        <w:tc>
          <w:tcPr>
            <w:tcW w:w="554" w:type="pct"/>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2017</w:t>
            </w:r>
          </w:p>
        </w:tc>
      </w:tr>
      <w:tr w:rsidR="00B3369E" w:rsidRPr="00B3369E" w:rsidTr="004838D2">
        <w:trPr>
          <w:trHeight w:val="256"/>
          <w:jc w:val="center"/>
        </w:trPr>
        <w:tc>
          <w:tcPr>
            <w:tcW w:w="1667" w:type="pct"/>
            <w:gridSpan w:val="2"/>
            <w:vMerge/>
            <w:vAlign w:val="center"/>
          </w:tcPr>
          <w:p w:rsidR="00B3369E" w:rsidRPr="00B3369E" w:rsidRDefault="00B3369E" w:rsidP="004838D2">
            <w:pPr>
              <w:pStyle w:val="HTMLPreformatted"/>
              <w:shd w:val="clear" w:color="auto" w:fill="FFFFFF"/>
              <w:ind w:firstLine="720"/>
              <w:jc w:val="center"/>
              <w:rPr>
                <w:rFonts w:ascii="Times New Roman" w:hAnsi="Times New Roman" w:cs="Times New Roman"/>
                <w:color w:val="212121"/>
                <w:sz w:val="24"/>
                <w:szCs w:val="24"/>
              </w:rPr>
            </w:pPr>
          </w:p>
        </w:tc>
        <w:tc>
          <w:tcPr>
            <w:tcW w:w="1667" w:type="pct"/>
            <w:gridSpan w:val="2"/>
            <w:vMerge/>
            <w:vAlign w:val="center"/>
          </w:tcPr>
          <w:p w:rsidR="00B3369E" w:rsidRPr="00B3369E" w:rsidRDefault="00B3369E" w:rsidP="004838D2">
            <w:pPr>
              <w:pStyle w:val="HTMLPreformatted"/>
              <w:jc w:val="center"/>
              <w:rPr>
                <w:rFonts w:ascii="Times New Roman" w:hAnsi="Times New Roman" w:cs="Times New Roman"/>
                <w:color w:val="212121"/>
                <w:sz w:val="24"/>
                <w:szCs w:val="24"/>
              </w:rPr>
            </w:pPr>
          </w:p>
        </w:tc>
        <w:tc>
          <w:tcPr>
            <w:tcW w:w="556" w:type="pct"/>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5.7%</w:t>
            </w:r>
          </w:p>
        </w:tc>
        <w:tc>
          <w:tcPr>
            <w:tcW w:w="556" w:type="pct"/>
            <w:gridSpan w:val="2"/>
            <w:vAlign w:val="center"/>
          </w:tcPr>
          <w:p w:rsidR="00B3369E" w:rsidRPr="00B3369E" w:rsidRDefault="00B3369E" w:rsidP="004838D2">
            <w:pPr>
              <w:pStyle w:val="HTMLPreformatted"/>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5.2%</w:t>
            </w:r>
          </w:p>
        </w:tc>
        <w:tc>
          <w:tcPr>
            <w:tcW w:w="554" w:type="pct"/>
            <w:vAlign w:val="center"/>
          </w:tcPr>
          <w:p w:rsidR="00B3369E" w:rsidRPr="00B3369E" w:rsidRDefault="00B3369E" w:rsidP="004838D2">
            <w:pPr>
              <w:pStyle w:val="HTMLPreformatted"/>
              <w:keepNext/>
              <w:jc w:val="center"/>
              <w:rPr>
                <w:rFonts w:ascii="Times New Roman" w:hAnsi="Times New Roman" w:cs="Times New Roman"/>
                <w:color w:val="212121"/>
                <w:sz w:val="24"/>
                <w:szCs w:val="24"/>
              </w:rPr>
            </w:pPr>
            <w:r w:rsidRPr="00B3369E">
              <w:rPr>
                <w:rFonts w:ascii="Times New Roman" w:hAnsi="Times New Roman" w:cs="Times New Roman"/>
                <w:color w:val="212121"/>
                <w:sz w:val="24"/>
                <w:szCs w:val="24"/>
              </w:rPr>
              <w:t>5.2%</w:t>
            </w:r>
          </w:p>
        </w:tc>
      </w:tr>
    </w:tbl>
    <w:p w:rsidR="00B3369E" w:rsidRPr="00B3369E" w:rsidRDefault="00B3369E" w:rsidP="00B3369E">
      <w:pPr>
        <w:pStyle w:val="Tables"/>
      </w:pPr>
      <w:bookmarkStart w:id="236" w:name="_Toc6620278"/>
      <w:r w:rsidRPr="00B3369E">
        <w:t xml:space="preserve">Table 6:  </w:t>
      </w:r>
      <w:r w:rsidR="00276A72">
        <w:fldChar w:fldCharType="begin"/>
      </w:r>
      <w:r w:rsidR="00390004">
        <w:instrText xml:space="preserve"> SEQ Table_6:_ \* ARABIC </w:instrText>
      </w:r>
      <w:r w:rsidR="00276A72">
        <w:fldChar w:fldCharType="separate"/>
      </w:r>
      <w:proofErr w:type="gramStart"/>
      <w:r w:rsidRPr="00B3369E">
        <w:rPr>
          <w:noProof/>
        </w:rPr>
        <w:t>16</w:t>
      </w:r>
      <w:r w:rsidR="00276A72">
        <w:rPr>
          <w:noProof/>
        </w:rPr>
        <w:fldChar w:fldCharType="end"/>
      </w:r>
      <w:r w:rsidRPr="00B3369E">
        <w:t xml:space="preserve"> Leverage Ratio</w:t>
      </w:r>
      <w:bookmarkEnd w:id="236"/>
      <w:proofErr w:type="gramEnd"/>
    </w:p>
    <w:p w:rsidR="00B3369E" w:rsidRPr="00B3369E" w:rsidRDefault="00B3369E" w:rsidP="00B3369E">
      <w:pPr>
        <w:pStyle w:val="Tables"/>
      </w:pPr>
    </w:p>
    <w:p w:rsidR="00B3369E" w:rsidRPr="00B3369E" w:rsidRDefault="00B3369E" w:rsidP="00B3369E">
      <w:pPr>
        <w:keepNext/>
        <w:spacing w:line="240" w:lineRule="auto"/>
        <w:jc w:val="center"/>
        <w:rPr>
          <w:rFonts w:ascii="Times New Roman" w:hAnsi="Times New Roman" w:cs="Times New Roman"/>
        </w:rPr>
      </w:pPr>
      <w:r w:rsidRPr="00B3369E">
        <w:rPr>
          <w:rFonts w:ascii="Times New Roman" w:hAnsi="Times New Roman" w:cs="Times New Roman"/>
          <w:noProof/>
        </w:rPr>
        <w:drawing>
          <wp:inline distT="0" distB="0" distL="0" distR="0">
            <wp:extent cx="4572000" cy="2743200"/>
            <wp:effectExtent l="19050" t="0" r="19050" b="0"/>
            <wp:docPr id="1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3369E" w:rsidRPr="00B3369E" w:rsidRDefault="00B3369E" w:rsidP="00B3369E">
      <w:pPr>
        <w:pStyle w:val="Figures"/>
      </w:pPr>
      <w:bookmarkStart w:id="237" w:name="_Toc6621163"/>
      <w:r w:rsidRPr="00B3369E">
        <w:t>Figure 6:  7 Leverage Ratios (LR)</w:t>
      </w:r>
      <w:bookmarkEnd w:id="237"/>
    </w:p>
    <w:p w:rsidR="00B3369E" w:rsidRPr="00B3369E" w:rsidRDefault="00B3369E" w:rsidP="00B3369E">
      <w:pPr>
        <w:rPr>
          <w:rFonts w:ascii="Times New Roman" w:hAnsi="Times New Roman" w:cs="Times New Roman"/>
          <w:b/>
          <w:bCs/>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The Dutch-Bangla Bank Limited has followed all the requirements of the Bangladesh Bank. From 2015 to 2017, they exceeded all Common Equity Tier 1, Total tier 1, and capital conversion buffer, capital to risk-weighted asset ratio, leverage ratio, liquidity coverage ratio and net stable finding ratio. So finally, Dutch-Bangla Bank Limited can implement Basel 3 before the year 2019.</w:t>
      </w: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pacing w:line="276" w:lineRule="auto"/>
        <w:jc w:val="both"/>
        <w:rPr>
          <w:rFonts w:ascii="Times New Roman" w:hAnsi="Times New Roman" w:cs="Times New Roman"/>
          <w:color w:val="212121"/>
          <w:sz w:val="24"/>
          <w:szCs w:val="24"/>
        </w:rPr>
      </w:pPr>
    </w:p>
    <w:p w:rsidR="00B3369E" w:rsidRPr="00B3369E" w:rsidRDefault="00B3369E" w:rsidP="00B3369E">
      <w:pPr>
        <w:pStyle w:val="Heading2"/>
        <w:spacing w:before="0"/>
        <w:jc w:val="both"/>
        <w:rPr>
          <w:rFonts w:ascii="Times New Roman" w:hAnsi="Times New Roman" w:cs="Times New Roman"/>
          <w:color w:val="632423" w:themeColor="accent2" w:themeShade="80"/>
          <w:sz w:val="24"/>
          <w:szCs w:val="24"/>
        </w:rPr>
      </w:pPr>
      <w:bookmarkStart w:id="238" w:name="_Toc6610661"/>
      <w:bookmarkStart w:id="239" w:name="_Toc6614078"/>
      <w:r w:rsidRPr="00B3369E">
        <w:rPr>
          <w:rFonts w:ascii="Times New Roman" w:hAnsi="Times New Roman" w:cs="Times New Roman"/>
          <w:color w:val="632423" w:themeColor="accent2" w:themeShade="80"/>
          <w:sz w:val="24"/>
          <w:szCs w:val="24"/>
        </w:rPr>
        <w:t>6.3 DBBL Risk Management System:</w:t>
      </w:r>
      <w:bookmarkEnd w:id="238"/>
      <w:bookmarkEnd w:id="239"/>
    </w:p>
    <w:p w:rsidR="00B3369E" w:rsidRPr="00B3369E" w:rsidRDefault="00B3369E" w:rsidP="00B3369E">
      <w:pPr>
        <w:spacing w:after="0"/>
        <w:rPr>
          <w:rFonts w:ascii="Times New Roman" w:hAnsi="Times New Roman" w:cs="Times New Roman"/>
        </w:rPr>
      </w:pPr>
    </w:p>
    <w:p w:rsidR="00B3369E" w:rsidRPr="00B3369E" w:rsidRDefault="00B3369E" w:rsidP="00B3369E">
      <w:pPr>
        <w:pStyle w:val="HTMLPreformatted"/>
        <w:shd w:val="clear" w:color="auto" w:fill="FFFFFF"/>
        <w:ind w:left="720"/>
        <w:jc w:val="both"/>
        <w:rPr>
          <w:rFonts w:ascii="Times New Roman" w:hAnsi="Times New Roman" w:cs="Times New Roman"/>
          <w:color w:val="212121"/>
          <w:sz w:val="24"/>
          <w:szCs w:val="24"/>
        </w:rPr>
      </w:pPr>
      <w:bookmarkStart w:id="240" w:name="_Toc6610662"/>
      <w:bookmarkStart w:id="241" w:name="_Toc6614079"/>
      <w:r w:rsidRPr="00B3369E">
        <w:rPr>
          <w:rStyle w:val="Heading3Char"/>
          <w:rFonts w:ascii="Times New Roman" w:hAnsi="Times New Roman" w:cs="Times New Roman"/>
          <w:color w:val="943634" w:themeColor="accent2" w:themeShade="BF"/>
          <w:sz w:val="24"/>
          <w:szCs w:val="24"/>
        </w:rPr>
        <w:t>6.3.1 Credit Risk:</w:t>
      </w:r>
      <w:bookmarkEnd w:id="240"/>
      <w:bookmarkEnd w:id="241"/>
      <w:r w:rsidRPr="00B3369E">
        <w:rPr>
          <w:rStyle w:val="Heading2Char"/>
          <w:rFonts w:ascii="Times New Roman" w:hAnsi="Times New Roman" w:cs="Times New Roman"/>
          <w:sz w:val="28"/>
          <w:szCs w:val="28"/>
        </w:rPr>
        <w:t xml:space="preserve"> </w:t>
      </w:r>
      <w:r w:rsidRPr="00B3369E">
        <w:rPr>
          <w:rFonts w:ascii="Times New Roman" w:hAnsi="Times New Roman" w:cs="Times New Roman"/>
          <w:color w:val="212121"/>
          <w:sz w:val="24"/>
          <w:szCs w:val="24"/>
        </w:rPr>
        <w:t>The main features of DBBL Credit Risk Management Policies and Procedures as follows:</w:t>
      </w: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rPr>
      </w:pPr>
    </w:p>
    <w:p w:rsidR="00B3369E" w:rsidRPr="00B3369E" w:rsidRDefault="00B3369E" w:rsidP="001B0E2C">
      <w:pPr>
        <w:pStyle w:val="HTMLPreformatted"/>
        <w:numPr>
          <w:ilvl w:val="0"/>
          <w:numId w:val="42"/>
        </w:numPr>
        <w:shd w:val="clear" w:color="auto" w:fill="FFFFFF"/>
        <w:ind w:left="1440"/>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Credit Policy:</w:t>
      </w:r>
      <w:r w:rsidRPr="00B3369E">
        <w:rPr>
          <w:rFonts w:ascii="Times New Roman" w:hAnsi="Times New Roman" w:cs="Times New Roman"/>
          <w:color w:val="212121"/>
          <w:sz w:val="24"/>
          <w:szCs w:val="24"/>
        </w:rPr>
        <w:t xml:space="preserve"> </w:t>
      </w:r>
      <w:r w:rsidRPr="00B3369E">
        <w:rPr>
          <w:rFonts w:ascii="Times New Roman" w:hAnsi="Times New Roman" w:cs="Times New Roman"/>
          <w:color w:val="212121"/>
          <w:sz w:val="24"/>
          <w:szCs w:val="24"/>
          <w:shd w:val="clear" w:color="auto" w:fill="FFFFFF"/>
        </w:rPr>
        <w:t xml:space="preserve"> Considering credit policy / manual set to be appreciated by risk management and other rules and regulations till Bangladesh Bank can be operated from time to time the rules of the Bangladesh Bank will be considered for risk management and other rules. </w:t>
      </w:r>
      <w:r w:rsidRPr="00B3369E">
        <w:rPr>
          <w:rFonts w:ascii="Times New Roman" w:hAnsi="Times New Roman" w:cs="Times New Roman"/>
          <w:color w:val="212121"/>
          <w:sz w:val="24"/>
          <w:szCs w:val="24"/>
        </w:rPr>
        <w:t>The policy is based on the principles of sound borrowing policy and reliability, and the decision making policy is based on the principles of correct financial, practice management honesty, industrial, technical analysis, outstanding effort of the environment, loan agency, company information.</w:t>
      </w:r>
    </w:p>
    <w:p w:rsidR="00B3369E" w:rsidRPr="00B3369E" w:rsidRDefault="00B3369E" w:rsidP="00B3369E">
      <w:pPr>
        <w:pStyle w:val="HTMLPreformatted"/>
        <w:shd w:val="clear" w:color="auto" w:fill="FFFFFF"/>
        <w:ind w:left="1440"/>
        <w:jc w:val="both"/>
        <w:rPr>
          <w:rFonts w:ascii="Times New Roman" w:hAnsi="Times New Roman" w:cs="Times New Roman"/>
          <w:color w:val="212121"/>
          <w:sz w:val="24"/>
          <w:szCs w:val="24"/>
        </w:rPr>
      </w:pPr>
    </w:p>
    <w:p w:rsidR="00B3369E" w:rsidRPr="00B3369E" w:rsidRDefault="00B3369E" w:rsidP="001B0E2C">
      <w:pPr>
        <w:pStyle w:val="HTMLPreformatted"/>
        <w:numPr>
          <w:ilvl w:val="0"/>
          <w:numId w:val="42"/>
        </w:numPr>
        <w:shd w:val="clear" w:color="auto" w:fill="FFFFFF"/>
        <w:ind w:left="1440"/>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Credit Approval:</w:t>
      </w:r>
      <w:r w:rsidRPr="00B3369E">
        <w:rPr>
          <w:rFonts w:ascii="Times New Roman" w:hAnsi="Times New Roman" w:cs="Times New Roman"/>
          <w:color w:val="212121"/>
          <w:sz w:val="24"/>
          <w:szCs w:val="24"/>
        </w:rPr>
        <w:t xml:space="preserve"> Balance level like debt monitoring, supervision and recovery with provisions for primary level systems such as authority, each credit operation and screening, risk, identification, management assessment and credit risk.</w:t>
      </w:r>
    </w:p>
    <w:p w:rsidR="00B3369E" w:rsidRPr="00B3369E" w:rsidRDefault="00B3369E" w:rsidP="001B0E2C">
      <w:pPr>
        <w:pStyle w:val="HTMLPreformatted"/>
        <w:numPr>
          <w:ilvl w:val="0"/>
          <w:numId w:val="42"/>
        </w:numPr>
        <w:shd w:val="clear" w:color="auto" w:fill="FFFFFF"/>
        <w:ind w:left="1440"/>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Independent Credit: </w:t>
      </w:r>
      <w:r w:rsidRPr="00B3369E">
        <w:rPr>
          <w:rFonts w:ascii="Times New Roman" w:hAnsi="Times New Roman" w:cs="Times New Roman"/>
          <w:color w:val="212121"/>
          <w:sz w:val="24"/>
          <w:szCs w:val="24"/>
        </w:rPr>
        <w:t>Independent Credit Risk Management Division to evaluate the credit risks and recommend the decay methods and strategies during the processing of credit proposals by the business sections for approval.</w:t>
      </w:r>
    </w:p>
    <w:p w:rsidR="00B3369E" w:rsidRPr="00B3369E" w:rsidRDefault="00B3369E" w:rsidP="001B0E2C">
      <w:pPr>
        <w:pStyle w:val="HTMLPreformatted"/>
        <w:numPr>
          <w:ilvl w:val="0"/>
          <w:numId w:val="42"/>
        </w:numPr>
        <w:shd w:val="clear" w:color="auto" w:fill="FFFFFF"/>
        <w:ind w:left="1440"/>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Separate credit: </w:t>
      </w:r>
      <w:r w:rsidRPr="00B3369E">
        <w:rPr>
          <w:rFonts w:ascii="Times New Roman" w:hAnsi="Times New Roman" w:cs="Times New Roman"/>
          <w:color w:val="212121"/>
          <w:sz w:val="24"/>
          <w:szCs w:val="24"/>
        </w:rPr>
        <w:t>The Department of Credit Administration ensures that Free Security Documents are freely distributed. DBBL is basically going through a unique process of reviewing security documents by the second legal advisor other than the investigating lawyer. Section borrowers follow the terms and conditions of agreement with the loan agreement.</w:t>
      </w:r>
    </w:p>
    <w:p w:rsidR="00B3369E" w:rsidRPr="00B3369E" w:rsidRDefault="00B3369E" w:rsidP="001B0E2C">
      <w:pPr>
        <w:pStyle w:val="HTMLPreformatted"/>
        <w:numPr>
          <w:ilvl w:val="0"/>
          <w:numId w:val="42"/>
        </w:numPr>
        <w:shd w:val="clear" w:color="auto" w:fill="FFFFFF"/>
        <w:ind w:left="1440"/>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 xml:space="preserve">Independent Management Division: </w:t>
      </w:r>
      <w:r w:rsidRPr="00B3369E">
        <w:rPr>
          <w:rFonts w:ascii="Times New Roman" w:hAnsi="Times New Roman" w:cs="Times New Roman"/>
          <w:color w:val="212121"/>
          <w:sz w:val="24"/>
          <w:szCs w:val="24"/>
        </w:rPr>
        <w:t>An independent and fully intelligence special asset management department, credit performance and recovery monitoring, presenting criminals in the portfolio of signs and improving credit quality. This category ensures the risk of debt portfolio and significant debt loss. There is a detective and high level management recovery committee to deal with debt problems for general and highest suitability settlement.</w:t>
      </w:r>
    </w:p>
    <w:p w:rsidR="00B3369E" w:rsidRPr="00B3369E" w:rsidRDefault="00B3369E" w:rsidP="001B0E2C">
      <w:pPr>
        <w:pStyle w:val="HTMLPreformatted"/>
        <w:numPr>
          <w:ilvl w:val="0"/>
          <w:numId w:val="42"/>
        </w:numPr>
        <w:shd w:val="clear" w:color="auto" w:fill="FFFFFF"/>
        <w:ind w:left="1440"/>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rPr>
        <w:t>Credit Operation:</w:t>
      </w:r>
      <w:r w:rsidRPr="00B3369E">
        <w:rPr>
          <w:rFonts w:ascii="Times New Roman" w:hAnsi="Times New Roman" w:cs="Times New Roman"/>
          <w:color w:val="212121"/>
          <w:sz w:val="24"/>
          <w:szCs w:val="24"/>
        </w:rPr>
        <w:t xml:space="preserve"> </w:t>
      </w:r>
      <w:r w:rsidRPr="00B3369E">
        <w:rPr>
          <w:rFonts w:ascii="Times New Roman" w:hAnsi="Times New Roman" w:cs="Times New Roman"/>
          <w:color w:val="212121"/>
          <w:sz w:val="24"/>
          <w:szCs w:val="24"/>
          <w:shd w:val="clear" w:color="auto" w:fill="FFFFFF"/>
        </w:rPr>
        <w:t xml:space="preserve">Internal control and compliance departments are </w:t>
      </w:r>
      <w:r w:rsidRPr="00B3369E">
        <w:rPr>
          <w:rFonts w:ascii="Times New Roman" w:hAnsi="Times New Roman" w:cs="Times New Roman"/>
          <w:color w:val="212121"/>
          <w:sz w:val="24"/>
          <w:szCs w:val="24"/>
        </w:rPr>
        <w:t>confirmed deal with independently verified and</w:t>
      </w:r>
      <w:r w:rsidRPr="00B3369E">
        <w:rPr>
          <w:rFonts w:ascii="Times New Roman" w:hAnsi="Times New Roman" w:cs="Times New Roman"/>
          <w:color w:val="212121"/>
          <w:sz w:val="24"/>
          <w:szCs w:val="24"/>
          <w:shd w:val="clear" w:color="auto" w:fill="FFFFFF"/>
        </w:rPr>
        <w:t xml:space="preserve"> at least one year, authorized credit, Bangladesh Bank guidelines, procedures, internal control, documentation and overall credit risk eligibility management system.</w:t>
      </w:r>
    </w:p>
    <w:p w:rsidR="00B3369E" w:rsidRPr="00B3369E" w:rsidRDefault="00B3369E" w:rsidP="001B0E2C">
      <w:pPr>
        <w:pStyle w:val="HTMLPreformatted"/>
        <w:numPr>
          <w:ilvl w:val="0"/>
          <w:numId w:val="42"/>
        </w:numPr>
        <w:shd w:val="clear" w:color="auto" w:fill="FFFFFF"/>
        <w:ind w:left="1440"/>
        <w:jc w:val="both"/>
        <w:rPr>
          <w:rFonts w:ascii="Times New Roman" w:hAnsi="Times New Roman" w:cs="Times New Roman"/>
          <w:color w:val="212121"/>
          <w:sz w:val="24"/>
          <w:szCs w:val="24"/>
        </w:rPr>
      </w:pPr>
      <w:r w:rsidRPr="00B3369E">
        <w:rPr>
          <w:rFonts w:ascii="Times New Roman" w:hAnsi="Times New Roman" w:cs="Times New Roman"/>
          <w:b/>
          <w:bCs/>
          <w:color w:val="212121"/>
          <w:sz w:val="24"/>
          <w:szCs w:val="24"/>
          <w:shd w:val="clear" w:color="auto" w:fill="FFFFFF"/>
        </w:rPr>
        <w:t>Reporting Board:</w:t>
      </w:r>
      <w:r w:rsidRPr="00B3369E">
        <w:rPr>
          <w:rFonts w:ascii="Times New Roman" w:hAnsi="Times New Roman" w:cs="Times New Roman"/>
          <w:color w:val="212121"/>
          <w:sz w:val="24"/>
          <w:szCs w:val="24"/>
          <w:shd w:val="clear" w:color="auto" w:fill="FFFFFF"/>
        </w:rPr>
        <w:t xml:space="preserve"> </w:t>
      </w:r>
      <w:r w:rsidRPr="00B3369E">
        <w:rPr>
          <w:rFonts w:ascii="Times New Roman" w:hAnsi="Times New Roman" w:cs="Times New Roman"/>
          <w:color w:val="212121"/>
          <w:sz w:val="24"/>
          <w:szCs w:val="24"/>
        </w:rPr>
        <w:t>The all quality, performance, recovery status, risk situation, adequacy of the provision of loan portfolio are regularly reported to the Board of Directors, Executive Committee, Risk Management Committee on information and guidance.</w:t>
      </w: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rPr>
      </w:pPr>
      <w:bookmarkStart w:id="242" w:name="_Toc6610663"/>
      <w:bookmarkStart w:id="243" w:name="_Toc6614080"/>
      <w:r w:rsidRPr="00B3369E">
        <w:rPr>
          <w:rStyle w:val="Heading3Char"/>
          <w:rFonts w:ascii="Times New Roman" w:hAnsi="Times New Roman" w:cs="Times New Roman"/>
          <w:color w:val="943634" w:themeColor="accent2" w:themeShade="BF"/>
          <w:sz w:val="24"/>
          <w:szCs w:val="24"/>
        </w:rPr>
        <w:t>6.3.2 Market Risk Management:</w:t>
      </w:r>
      <w:bookmarkEnd w:id="242"/>
      <w:bookmarkEnd w:id="243"/>
      <w:r w:rsidRPr="00B3369E">
        <w:rPr>
          <w:rFonts w:ascii="Times New Roman" w:hAnsi="Times New Roman" w:cs="Times New Roman"/>
          <w:b/>
          <w:bCs/>
          <w:color w:val="212121"/>
          <w:sz w:val="24"/>
          <w:szCs w:val="24"/>
        </w:rPr>
        <w:t xml:space="preserve"> </w:t>
      </w:r>
      <w:r w:rsidRPr="00B3369E">
        <w:rPr>
          <w:rFonts w:ascii="Times New Roman" w:hAnsi="Times New Roman" w:cs="Times New Roman"/>
          <w:color w:val="212121"/>
          <w:sz w:val="24"/>
          <w:szCs w:val="24"/>
        </w:rPr>
        <w:t>Market risk manages the bank's Treasury Department of liquidity, surveillance from interest rates and foreign exchange risk assets-liability management Committee (ALCO) is a senior officer of the bank. ALCO filled at least once a month. Risk Management Division also recommends portfolio density for holding market risk parameters for monthly RWA reviews.</w:t>
      </w: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bookmarkStart w:id="244" w:name="_Toc6610664"/>
      <w:bookmarkStart w:id="245" w:name="_Toc6614081"/>
      <w:r w:rsidRPr="00B3369E">
        <w:rPr>
          <w:rStyle w:val="Heading3Char"/>
          <w:rFonts w:ascii="Times New Roman" w:hAnsi="Times New Roman" w:cs="Times New Roman"/>
          <w:color w:val="943634" w:themeColor="accent2" w:themeShade="BF"/>
          <w:sz w:val="24"/>
          <w:szCs w:val="24"/>
        </w:rPr>
        <w:t>6.3.3 Operation Risk Management:</w:t>
      </w:r>
      <w:bookmarkEnd w:id="244"/>
      <w:bookmarkEnd w:id="245"/>
      <w:r w:rsidRPr="00B3369E">
        <w:rPr>
          <w:rFonts w:ascii="Times New Roman" w:hAnsi="Times New Roman" w:cs="Times New Roman"/>
          <w:b/>
          <w:bCs/>
          <w:color w:val="212121"/>
          <w:sz w:val="24"/>
          <w:szCs w:val="24"/>
        </w:rPr>
        <w:t xml:space="preserve"> </w:t>
      </w:r>
      <w:r w:rsidRPr="00B3369E">
        <w:rPr>
          <w:rFonts w:ascii="Times New Roman" w:hAnsi="Times New Roman" w:cs="Times New Roman"/>
          <w:color w:val="212121"/>
          <w:sz w:val="24"/>
          <w:szCs w:val="24"/>
        </w:rPr>
        <w:t xml:space="preserve">DBBL is using check to hacking operation risk </w:t>
      </w:r>
      <w:r w:rsidRPr="00B3369E">
        <w:rPr>
          <w:rFonts w:ascii="Times New Roman" w:hAnsi="Times New Roman" w:cs="Times New Roman"/>
          <w:color w:val="212121"/>
          <w:sz w:val="24"/>
          <w:szCs w:val="24"/>
          <w:shd w:val="clear" w:color="auto" w:fill="FFFFFF"/>
        </w:rPr>
        <w:t>Departmental control Function Check List (DCFCL) from Bangladesh bank with their own Quarterly Operation Report (QOR) recommendation. It should submit the statement of self-assessment of self-assessment of Bangladesh Bank quarterly anti-fraud fraud. Their money laundering and finance activities control to CAMLCO. This process control customer service and complaint management and dual control protect to software.</w:t>
      </w: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TMLPreformatted"/>
        <w:shd w:val="clear" w:color="auto" w:fill="FFFFFF"/>
        <w:spacing w:line="276" w:lineRule="auto"/>
        <w:ind w:left="720"/>
        <w:jc w:val="both"/>
        <w:rPr>
          <w:rFonts w:ascii="Times New Roman" w:hAnsi="Times New Roman" w:cs="Times New Roman"/>
          <w:color w:val="212121"/>
          <w:sz w:val="24"/>
          <w:szCs w:val="24"/>
          <w:shd w:val="clear" w:color="auto" w:fill="FFFFFF"/>
        </w:rPr>
      </w:pPr>
    </w:p>
    <w:p w:rsidR="00B3369E" w:rsidRPr="00B3369E" w:rsidRDefault="00B3369E" w:rsidP="00B3369E">
      <w:pPr>
        <w:pStyle w:val="Heading1"/>
        <w:jc w:val="center"/>
        <w:rPr>
          <w:rFonts w:ascii="Times New Roman" w:hAnsi="Times New Roman" w:cs="Times New Roman"/>
          <w:color w:val="002060"/>
          <w:sz w:val="36"/>
          <w:szCs w:val="36"/>
        </w:rPr>
      </w:pPr>
      <w:bookmarkStart w:id="246" w:name="_Toc6610665"/>
      <w:bookmarkStart w:id="247" w:name="_Toc6614082"/>
      <w:r w:rsidRPr="00B3369E">
        <w:rPr>
          <w:rFonts w:ascii="Times New Roman" w:hAnsi="Times New Roman" w:cs="Times New Roman"/>
          <w:color w:val="002060"/>
          <w:sz w:val="36"/>
          <w:szCs w:val="36"/>
        </w:rPr>
        <w:t>Chapter-7</w:t>
      </w:r>
      <w:bookmarkEnd w:id="246"/>
      <w:bookmarkEnd w:id="247"/>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248" w:name="_Toc6610666"/>
      <w:bookmarkStart w:id="249" w:name="_Toc6614083"/>
      <w:r w:rsidRPr="00B3369E">
        <w:rPr>
          <w:rFonts w:ascii="Times New Roman" w:hAnsi="Times New Roman" w:cs="Times New Roman"/>
          <w:color w:val="632423" w:themeColor="accent2" w:themeShade="80"/>
          <w:sz w:val="28"/>
          <w:szCs w:val="28"/>
        </w:rPr>
        <w:t>7.1 Finding to Recommendation</w:t>
      </w:r>
      <w:bookmarkEnd w:id="248"/>
      <w:bookmarkEnd w:id="249"/>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Basel III is published in Bangladesh in 2015, but the bank is not maintaining it correctly. Capital Conversion Buffer of capitalism is an emergency element that avoid in the bank. This thing should be applied because it is included in Basel III.</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 xml:space="preserve">Following the instructions of the Bangladesh Bank, "Risk-Based Capital Adequacy Ratio Guidelines (Corrected Regulatory Capital Framework for Banks for Banks with Basel III)", I understand that this is a pretty complex instruction that demands separate banks for implementation. Without training, the whole banking industry is very difficult to understand the standards of quality worldwide. After talking to my teacher and talking to the bank staff, I found Basel III. Basel III became mandatory for all the scheduled banks in Bangladesh since January 2015 the common equity Tier 1 strategy of the policy maintains DBBL the CRAR ratio is a little more. DBBL has implemented Basel 3 in 2015. In 2015-2017, it is important because DBBL Basel III submitted the complete Basel Report with the capital ratio to the Bangladesh Bank. They followed all the policies of Basel offered by the Bangladesh Bank. </w:t>
      </w:r>
      <w:r w:rsidRPr="00B3369E">
        <w:rPr>
          <w:rFonts w:ascii="Times New Roman" w:hAnsi="Times New Roman" w:cs="Times New Roman"/>
          <w:sz w:val="24"/>
          <w:szCs w:val="24"/>
        </w:rPr>
        <w:br/>
      </w:r>
      <w:r w:rsidRPr="00B3369E">
        <w:rPr>
          <w:rFonts w:ascii="Times New Roman" w:hAnsi="Times New Roman" w:cs="Times New Roman"/>
          <w:color w:val="212121"/>
          <w:sz w:val="24"/>
          <w:szCs w:val="24"/>
          <w:shd w:val="clear" w:color="auto" w:fill="FFFFFF"/>
        </w:rPr>
        <w:t xml:space="preserve">Dutch-Bangla Bank Limited did not talk about their annual report Tier 2. </w:t>
      </w:r>
      <w:r w:rsidRPr="00B3369E">
        <w:rPr>
          <w:rFonts w:ascii="Times New Roman" w:hAnsi="Times New Roman" w:cs="Times New Roman"/>
          <w:color w:val="212121"/>
          <w:sz w:val="24"/>
          <w:szCs w:val="24"/>
        </w:rPr>
        <w:t xml:space="preserve">DBBL Bangladesh is now number 1 bank. DBBL could follow 3 but could not implement some Basel 3, they are deceiving. Again City Bank, </w:t>
      </w:r>
      <w:proofErr w:type="spellStart"/>
      <w:r w:rsidRPr="00B3369E">
        <w:rPr>
          <w:rFonts w:ascii="Times New Roman" w:hAnsi="Times New Roman" w:cs="Times New Roman"/>
          <w:color w:val="212121"/>
          <w:sz w:val="24"/>
          <w:szCs w:val="24"/>
        </w:rPr>
        <w:t>Brac</w:t>
      </w:r>
      <w:proofErr w:type="spellEnd"/>
      <w:r w:rsidRPr="00B3369E">
        <w:rPr>
          <w:rFonts w:ascii="Times New Roman" w:hAnsi="Times New Roman" w:cs="Times New Roman"/>
          <w:color w:val="212121"/>
          <w:sz w:val="24"/>
          <w:szCs w:val="24"/>
        </w:rPr>
        <w:t xml:space="preserve"> Bank, Mercantile Bank, Standard Chartered Bank, HSBC Bank, MTBL Bank are better banks, they can follow Basel 3. And if the public banks think they can follow Basel, then Basel 2, 3 could not follow. DBBL should make their annual report well. From 2015-2017 they have been creating Basel 3 similarly pattern.</w:t>
      </w: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p>
    <w:p w:rsidR="00B3369E" w:rsidRPr="00B3369E" w:rsidRDefault="00B3369E" w:rsidP="00B3369E">
      <w:pPr>
        <w:pStyle w:val="Heading2"/>
        <w:spacing w:before="0"/>
        <w:jc w:val="both"/>
        <w:rPr>
          <w:rFonts w:ascii="Times New Roman" w:hAnsi="Times New Roman" w:cs="Times New Roman"/>
          <w:color w:val="632423" w:themeColor="accent2" w:themeShade="80"/>
          <w:sz w:val="28"/>
          <w:szCs w:val="28"/>
        </w:rPr>
      </w:pPr>
      <w:bookmarkStart w:id="250" w:name="_Toc6610667"/>
      <w:bookmarkStart w:id="251" w:name="_Toc6614084"/>
      <w:r w:rsidRPr="00B3369E">
        <w:rPr>
          <w:rFonts w:ascii="Times New Roman" w:hAnsi="Times New Roman" w:cs="Times New Roman"/>
          <w:color w:val="632423" w:themeColor="accent2" w:themeShade="80"/>
          <w:sz w:val="28"/>
          <w:szCs w:val="28"/>
        </w:rPr>
        <w:t>7.2 Conclusion</w:t>
      </w:r>
      <w:bookmarkEnd w:id="250"/>
      <w:bookmarkEnd w:id="251"/>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rPr>
        <w:br/>
      </w:r>
      <w:r w:rsidRPr="00B3369E">
        <w:rPr>
          <w:rFonts w:ascii="Times New Roman" w:hAnsi="Times New Roman" w:cs="Times New Roman"/>
          <w:color w:val="212121"/>
          <w:sz w:val="24"/>
          <w:szCs w:val="24"/>
          <w:shd w:val="clear" w:color="auto" w:fill="FFFFFF"/>
        </w:rPr>
        <w:t xml:space="preserve">Dutch-Bangla Bank Limited banking industry is a successful private commercial bank. This is the main goal of a safe and stable growth. After years of bank was practicing conservative banking years. So much, this new technology has been made for more transparent central management for each region of the bank. Dutch-Bangla Bank extends resources and services widely for the client. DBBL spells a powerful picture for its social cause’s program bank. </w:t>
      </w:r>
      <w:r w:rsidRPr="00B3369E">
        <w:rPr>
          <w:rFonts w:ascii="Times New Roman" w:hAnsi="Times New Roman" w:cs="Times New Roman"/>
          <w:color w:val="212121"/>
          <w:sz w:val="24"/>
          <w:szCs w:val="24"/>
        </w:rPr>
        <w:t xml:space="preserve">They implemented according to the Bangladesh Bank Basel III sample. </w:t>
      </w: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p>
    <w:p w:rsidR="00B3369E" w:rsidRPr="00B3369E" w:rsidRDefault="00B3369E" w:rsidP="00B3369E">
      <w:pPr>
        <w:pStyle w:val="HTMLPreformatted"/>
        <w:shd w:val="clear" w:color="auto" w:fill="FFFFFF"/>
        <w:spacing w:line="276" w:lineRule="auto"/>
        <w:jc w:val="both"/>
        <w:rPr>
          <w:rFonts w:ascii="Times New Roman" w:hAnsi="Times New Roman" w:cs="Times New Roman"/>
          <w:color w:val="212121"/>
          <w:sz w:val="24"/>
          <w:szCs w:val="24"/>
        </w:rPr>
      </w:pPr>
      <w:r w:rsidRPr="00B3369E">
        <w:rPr>
          <w:rFonts w:ascii="Times New Roman" w:hAnsi="Times New Roman" w:cs="Times New Roman"/>
          <w:color w:val="212121"/>
          <w:sz w:val="24"/>
          <w:szCs w:val="24"/>
        </w:rPr>
        <w:t>Internationally some committees are now recognizing the importance of effective supervision of the banking industry, because if the industry continues to work itself, it will get very much below the world global economy. In Basel III will be fully implemented by 2019. Basel III banks there hardly follow the detailed policy and banks report more efficiently and transparently or accurately. Theoretically, 12.50% of the Total Capital plus Conservation Buffer can be frustrating for banks in 2019 and can turn hostile business environment in Bangladesh.</w:t>
      </w:r>
      <w:r w:rsidRPr="00B3369E">
        <w:rPr>
          <w:rFonts w:ascii="Times New Roman" w:hAnsi="Times New Roman" w:cs="Times New Roman"/>
          <w:color w:val="212121"/>
          <w:sz w:val="24"/>
          <w:szCs w:val="24"/>
          <w:shd w:val="clear" w:color="auto" w:fill="FFFFFF"/>
        </w:rPr>
        <w:t xml:space="preserve"> It is seen in the real world that adequate capital cannot save a bank or not. </w:t>
      </w:r>
      <w:r w:rsidRPr="00B3369E">
        <w:rPr>
          <w:rFonts w:ascii="Times New Roman" w:hAnsi="Times New Roman" w:cs="Times New Roman"/>
          <w:sz w:val="24"/>
          <w:szCs w:val="24"/>
        </w:rPr>
        <w:br/>
      </w:r>
      <w:r w:rsidRPr="00B3369E">
        <w:rPr>
          <w:rFonts w:ascii="Times New Roman" w:hAnsi="Times New Roman" w:cs="Times New Roman"/>
          <w:color w:val="212121"/>
          <w:sz w:val="24"/>
          <w:szCs w:val="24"/>
          <w:shd w:val="clear" w:color="auto" w:fill="FFFFFF"/>
        </w:rPr>
        <w:t>However, no harm has been made to maintain a restricted capital in accordance with the according Bangladesh Bank policy for any economic disaster.</w:t>
      </w:r>
      <w:r w:rsidRPr="00B3369E">
        <w:rPr>
          <w:rFonts w:ascii="Times New Roman" w:hAnsi="Times New Roman" w:cs="Times New Roman"/>
          <w:color w:val="212121"/>
          <w:sz w:val="24"/>
          <w:szCs w:val="24"/>
        </w:rPr>
        <w:t xml:space="preserve"> Prevention it’s better to cure the world of the world - An analysis of the world is now thinking.</w:t>
      </w:r>
    </w:p>
    <w:p w:rsidR="00B3369E" w:rsidRPr="00B3369E" w:rsidRDefault="00B3369E" w:rsidP="00B3369E">
      <w:pPr>
        <w:rPr>
          <w:rFonts w:ascii="Times New Roman" w:hAnsi="Times New Roman" w:cs="Times New Roman"/>
        </w:rPr>
      </w:pPr>
    </w:p>
    <w:p w:rsidR="00B3369E" w:rsidRPr="00B3369E" w:rsidRDefault="00B3369E" w:rsidP="00B3369E">
      <w:pPr>
        <w:pStyle w:val="Heading1"/>
        <w:jc w:val="center"/>
        <w:rPr>
          <w:rFonts w:ascii="Times New Roman" w:hAnsi="Times New Roman" w:cs="Times New Roman"/>
          <w:color w:val="002060"/>
          <w:sz w:val="36"/>
          <w:szCs w:val="36"/>
        </w:rPr>
      </w:pPr>
      <w:bookmarkStart w:id="252" w:name="_Toc6610668"/>
      <w:bookmarkStart w:id="253" w:name="_Toc6614085"/>
      <w:r w:rsidRPr="00B3369E">
        <w:rPr>
          <w:rFonts w:ascii="Times New Roman" w:hAnsi="Times New Roman" w:cs="Times New Roman"/>
          <w:color w:val="002060"/>
          <w:sz w:val="36"/>
          <w:szCs w:val="36"/>
        </w:rPr>
        <w:t>List of Reference</w:t>
      </w:r>
      <w:bookmarkEnd w:id="252"/>
      <w:bookmarkEnd w:id="253"/>
    </w:p>
    <w:p w:rsidR="00B3369E" w:rsidRPr="00B3369E" w:rsidRDefault="00B3369E" w:rsidP="00B3369E">
      <w:pPr>
        <w:spacing w:after="100" w:afterAutospacing="1"/>
        <w:jc w:val="both"/>
        <w:rPr>
          <w:rFonts w:ascii="Times New Roman" w:hAnsi="Times New Roman" w:cs="Times New Roman"/>
          <w:b/>
          <w:bCs/>
          <w:sz w:val="24"/>
          <w:szCs w:val="24"/>
          <w:u w:val="single"/>
        </w:rPr>
      </w:pPr>
      <w:r w:rsidRPr="00B3369E">
        <w:rPr>
          <w:rFonts w:ascii="Times New Roman" w:hAnsi="Times New Roman" w:cs="Times New Roman"/>
          <w:b/>
          <w:bCs/>
          <w:sz w:val="24"/>
          <w:szCs w:val="24"/>
          <w:u w:val="single"/>
        </w:rPr>
        <w:t>1. DBBL Annual Report:</w:t>
      </w:r>
    </w:p>
    <w:p w:rsidR="00B3369E" w:rsidRPr="00B3369E" w:rsidRDefault="00276A72" w:rsidP="001B0E2C">
      <w:pPr>
        <w:pStyle w:val="ListParagraph"/>
        <w:numPr>
          <w:ilvl w:val="0"/>
          <w:numId w:val="43"/>
        </w:numPr>
        <w:spacing w:after="100" w:afterAutospacing="1" w:line="240" w:lineRule="auto"/>
        <w:jc w:val="both"/>
        <w:rPr>
          <w:rFonts w:ascii="Times New Roman" w:hAnsi="Times New Roman" w:cs="Times New Roman"/>
          <w:b/>
          <w:bCs/>
          <w:sz w:val="24"/>
          <w:szCs w:val="24"/>
          <w:u w:val="single"/>
        </w:rPr>
      </w:pPr>
      <w:hyperlink r:id="rId32" w:history="1">
        <w:r w:rsidR="00B3369E" w:rsidRPr="00B3369E">
          <w:rPr>
            <w:rStyle w:val="Hyperlink"/>
            <w:rFonts w:ascii="Times New Roman" w:hAnsi="Times New Roman" w:cs="Times New Roman"/>
            <w:sz w:val="24"/>
            <w:szCs w:val="24"/>
          </w:rPr>
          <w:t>https://www.dutchbanglabank.com/investor-relations/Annual-Report-2017/Annual- Report-2017.pdf</w:t>
        </w:r>
      </w:hyperlink>
    </w:p>
    <w:p w:rsidR="00B3369E" w:rsidRPr="00B3369E" w:rsidRDefault="00276A72" w:rsidP="001B0E2C">
      <w:pPr>
        <w:pStyle w:val="ListParagraph"/>
        <w:numPr>
          <w:ilvl w:val="0"/>
          <w:numId w:val="43"/>
        </w:numPr>
        <w:spacing w:after="100" w:afterAutospacing="1" w:line="240" w:lineRule="auto"/>
        <w:jc w:val="both"/>
        <w:rPr>
          <w:rFonts w:ascii="Times New Roman" w:hAnsi="Times New Roman" w:cs="Times New Roman"/>
          <w:b/>
          <w:bCs/>
          <w:sz w:val="24"/>
          <w:szCs w:val="24"/>
          <w:u w:val="single"/>
        </w:rPr>
      </w:pPr>
      <w:hyperlink r:id="rId33" w:history="1">
        <w:r w:rsidR="00B3369E" w:rsidRPr="00B3369E">
          <w:rPr>
            <w:rStyle w:val="Hyperlink"/>
            <w:rFonts w:ascii="Times New Roman" w:hAnsi="Times New Roman" w:cs="Times New Roman"/>
            <w:sz w:val="24"/>
            <w:szCs w:val="24"/>
          </w:rPr>
          <w:t>https://www.dutchbanglabank.com/investor-relations/Annual-Report-2016/Annual-Report-2016.pdf</w:t>
        </w:r>
      </w:hyperlink>
    </w:p>
    <w:p w:rsidR="00B3369E" w:rsidRPr="00B3369E" w:rsidRDefault="00276A72" w:rsidP="001B0E2C">
      <w:pPr>
        <w:pStyle w:val="ListParagraph"/>
        <w:numPr>
          <w:ilvl w:val="0"/>
          <w:numId w:val="43"/>
        </w:numPr>
        <w:spacing w:after="100" w:afterAutospacing="1" w:line="240" w:lineRule="auto"/>
        <w:jc w:val="both"/>
        <w:rPr>
          <w:rFonts w:ascii="Times New Roman" w:hAnsi="Times New Roman" w:cs="Times New Roman"/>
          <w:b/>
          <w:bCs/>
          <w:sz w:val="24"/>
          <w:szCs w:val="24"/>
          <w:u w:val="single"/>
        </w:rPr>
      </w:pPr>
      <w:hyperlink r:id="rId34" w:history="1">
        <w:r w:rsidR="00B3369E" w:rsidRPr="00B3369E">
          <w:rPr>
            <w:rStyle w:val="Hyperlink"/>
            <w:rFonts w:ascii="Times New Roman" w:hAnsi="Times New Roman" w:cs="Times New Roman"/>
            <w:sz w:val="24"/>
            <w:szCs w:val="24"/>
          </w:rPr>
          <w:t>https://www.dutchbanglabank.com/investor-relations/Annual-Report-2015/Annual-Report-2015.pdf</w:t>
        </w:r>
      </w:hyperlink>
    </w:p>
    <w:p w:rsidR="00B3369E" w:rsidRPr="00B3369E" w:rsidRDefault="00B3369E" w:rsidP="00B3369E">
      <w:pPr>
        <w:spacing w:after="100" w:afterAutospacing="1"/>
        <w:jc w:val="both"/>
        <w:rPr>
          <w:rFonts w:ascii="Times New Roman" w:hAnsi="Times New Roman" w:cs="Times New Roman"/>
          <w:b/>
          <w:bCs/>
          <w:sz w:val="24"/>
          <w:szCs w:val="24"/>
          <w:u w:val="single"/>
        </w:rPr>
      </w:pPr>
      <w:r w:rsidRPr="00B3369E">
        <w:rPr>
          <w:rFonts w:ascii="Times New Roman" w:hAnsi="Times New Roman" w:cs="Times New Roman"/>
          <w:b/>
          <w:bCs/>
          <w:sz w:val="24"/>
          <w:szCs w:val="24"/>
          <w:u w:val="single"/>
        </w:rPr>
        <w:t>Bangladesh Bank Risk Based Guide line Basel III</w:t>
      </w:r>
    </w:p>
    <w:p w:rsidR="00B3369E" w:rsidRPr="00B3369E" w:rsidRDefault="00276A72" w:rsidP="001B0E2C">
      <w:pPr>
        <w:pStyle w:val="ListParagraph"/>
        <w:numPr>
          <w:ilvl w:val="0"/>
          <w:numId w:val="44"/>
        </w:numPr>
        <w:spacing w:after="100" w:afterAutospacing="1" w:line="240" w:lineRule="auto"/>
        <w:jc w:val="both"/>
        <w:rPr>
          <w:rFonts w:ascii="Times New Roman" w:hAnsi="Times New Roman" w:cs="Times New Roman"/>
          <w:b/>
          <w:bCs/>
          <w:sz w:val="24"/>
          <w:szCs w:val="24"/>
          <w:u w:val="single"/>
        </w:rPr>
      </w:pPr>
      <w:hyperlink r:id="rId35" w:history="1">
        <w:r w:rsidR="00B3369E" w:rsidRPr="00B3369E">
          <w:rPr>
            <w:rStyle w:val="Hyperlink"/>
            <w:rFonts w:ascii="Times New Roman" w:hAnsi="Times New Roman" w:cs="Times New Roman"/>
            <w:sz w:val="24"/>
            <w:szCs w:val="24"/>
          </w:rPr>
          <w:t>https://www.bb.org.bd/mediaroom/baselii/dec212014basel3_rbca.pdf</w:t>
        </w:r>
      </w:hyperlink>
    </w:p>
    <w:p w:rsidR="00B3369E" w:rsidRPr="00B3369E" w:rsidRDefault="00276A72" w:rsidP="001B0E2C">
      <w:pPr>
        <w:pStyle w:val="ListParagraph"/>
        <w:numPr>
          <w:ilvl w:val="0"/>
          <w:numId w:val="44"/>
        </w:numPr>
        <w:spacing w:after="100" w:afterAutospacing="1" w:line="240" w:lineRule="auto"/>
        <w:jc w:val="both"/>
        <w:rPr>
          <w:rFonts w:ascii="Times New Roman" w:hAnsi="Times New Roman" w:cs="Times New Roman"/>
          <w:b/>
          <w:bCs/>
          <w:sz w:val="24"/>
          <w:szCs w:val="24"/>
          <w:u w:val="single"/>
        </w:rPr>
      </w:pPr>
      <w:hyperlink r:id="rId36" w:history="1">
        <w:r w:rsidR="00B3369E" w:rsidRPr="00B3369E">
          <w:rPr>
            <w:rStyle w:val="Hyperlink"/>
            <w:rFonts w:ascii="Times New Roman" w:hAnsi="Times New Roman" w:cs="Times New Roman"/>
          </w:rPr>
          <w:t>https://www.bb.org.bd/</w:t>
        </w:r>
      </w:hyperlink>
    </w:p>
    <w:p w:rsidR="00B3369E" w:rsidRPr="00B3369E" w:rsidRDefault="00B3369E" w:rsidP="00B3369E">
      <w:pPr>
        <w:spacing w:after="100" w:afterAutospacing="1"/>
        <w:jc w:val="both"/>
        <w:rPr>
          <w:rFonts w:ascii="Times New Roman" w:hAnsi="Times New Roman" w:cs="Times New Roman"/>
          <w:b/>
          <w:bCs/>
          <w:sz w:val="24"/>
          <w:szCs w:val="24"/>
          <w:u w:val="single"/>
        </w:rPr>
      </w:pPr>
      <w:r w:rsidRPr="00B3369E">
        <w:rPr>
          <w:rFonts w:ascii="Times New Roman" w:hAnsi="Times New Roman" w:cs="Times New Roman"/>
          <w:b/>
          <w:bCs/>
          <w:sz w:val="24"/>
          <w:szCs w:val="24"/>
          <w:u w:val="single"/>
        </w:rPr>
        <w:t>BIS</w:t>
      </w:r>
    </w:p>
    <w:p w:rsidR="00B3369E" w:rsidRPr="00B3369E" w:rsidRDefault="00276A72" w:rsidP="001B0E2C">
      <w:pPr>
        <w:pStyle w:val="ListParagraph"/>
        <w:numPr>
          <w:ilvl w:val="0"/>
          <w:numId w:val="44"/>
        </w:numPr>
        <w:spacing w:after="100" w:afterAutospacing="1" w:line="240" w:lineRule="auto"/>
        <w:jc w:val="both"/>
        <w:rPr>
          <w:rFonts w:ascii="Times New Roman" w:hAnsi="Times New Roman" w:cs="Times New Roman"/>
          <w:sz w:val="24"/>
          <w:szCs w:val="24"/>
        </w:rPr>
      </w:pPr>
      <w:hyperlink r:id="rId37" w:history="1">
        <w:r w:rsidR="00B3369E" w:rsidRPr="00B3369E">
          <w:rPr>
            <w:rStyle w:val="Hyperlink"/>
            <w:rFonts w:ascii="Times New Roman" w:hAnsi="Times New Roman" w:cs="Times New Roman"/>
            <w:sz w:val="24"/>
            <w:szCs w:val="24"/>
          </w:rPr>
          <w:t>https://www.bis.org/bcbs/basel3.htm?m=3%7C14%7C572</w:t>
        </w:r>
      </w:hyperlink>
    </w:p>
    <w:p w:rsidR="00B3369E" w:rsidRPr="00B3369E" w:rsidRDefault="00276A72" w:rsidP="001B0E2C">
      <w:pPr>
        <w:pStyle w:val="ListParagraph"/>
        <w:numPr>
          <w:ilvl w:val="0"/>
          <w:numId w:val="44"/>
        </w:numPr>
        <w:spacing w:after="100" w:afterAutospacing="1" w:line="240" w:lineRule="auto"/>
        <w:jc w:val="both"/>
        <w:rPr>
          <w:rFonts w:ascii="Times New Roman" w:hAnsi="Times New Roman" w:cs="Times New Roman"/>
          <w:sz w:val="24"/>
          <w:szCs w:val="24"/>
        </w:rPr>
      </w:pPr>
      <w:hyperlink r:id="rId38" w:history="1">
        <w:r w:rsidR="00B3369E" w:rsidRPr="00B3369E">
          <w:rPr>
            <w:rStyle w:val="Hyperlink"/>
            <w:rFonts w:ascii="Times New Roman" w:hAnsi="Times New Roman" w:cs="Times New Roman"/>
            <w:sz w:val="24"/>
            <w:szCs w:val="24"/>
          </w:rPr>
          <w:t>https://www.bis.org/publ/bcbs107.htm</w:t>
        </w:r>
      </w:hyperlink>
    </w:p>
    <w:p w:rsidR="00B3369E" w:rsidRPr="00B3369E" w:rsidRDefault="00276A72" w:rsidP="001B0E2C">
      <w:pPr>
        <w:pStyle w:val="ListParagraph"/>
        <w:numPr>
          <w:ilvl w:val="0"/>
          <w:numId w:val="44"/>
        </w:numPr>
        <w:spacing w:after="100" w:afterAutospacing="1" w:line="240" w:lineRule="auto"/>
        <w:jc w:val="both"/>
        <w:rPr>
          <w:rFonts w:ascii="Times New Roman" w:hAnsi="Times New Roman" w:cs="Times New Roman"/>
          <w:sz w:val="24"/>
          <w:szCs w:val="24"/>
        </w:rPr>
      </w:pPr>
      <w:hyperlink r:id="rId39" w:history="1">
        <w:r w:rsidR="00B3369E" w:rsidRPr="00B3369E">
          <w:rPr>
            <w:rStyle w:val="Hyperlink"/>
            <w:rFonts w:ascii="Times New Roman" w:hAnsi="Times New Roman" w:cs="Times New Roman"/>
            <w:sz w:val="24"/>
            <w:szCs w:val="24"/>
          </w:rPr>
          <w:t>https://www.bis.org/bcbs/mesc.htm</w:t>
        </w:r>
      </w:hyperlink>
    </w:p>
    <w:p w:rsidR="00B3369E" w:rsidRPr="00B3369E" w:rsidRDefault="00276A72" w:rsidP="001B0E2C">
      <w:pPr>
        <w:pStyle w:val="ListParagraph"/>
        <w:numPr>
          <w:ilvl w:val="0"/>
          <w:numId w:val="44"/>
        </w:numPr>
        <w:spacing w:after="100" w:afterAutospacing="1" w:line="240" w:lineRule="auto"/>
        <w:jc w:val="both"/>
        <w:rPr>
          <w:rFonts w:ascii="Times New Roman" w:hAnsi="Times New Roman" w:cs="Times New Roman"/>
          <w:sz w:val="24"/>
          <w:szCs w:val="24"/>
        </w:rPr>
      </w:pPr>
      <w:hyperlink r:id="rId40" w:history="1">
        <w:r w:rsidR="00B3369E" w:rsidRPr="00B3369E">
          <w:rPr>
            <w:rStyle w:val="Hyperlink"/>
            <w:rFonts w:ascii="Times New Roman" w:hAnsi="Times New Roman" w:cs="Times New Roman"/>
          </w:rPr>
          <w:t>https://www.bis.org/list/bcbs_all/sdt_1/index.htm</w:t>
        </w:r>
      </w:hyperlink>
    </w:p>
    <w:p w:rsidR="00B3369E" w:rsidRPr="00B3369E" w:rsidRDefault="00276A72" w:rsidP="001B0E2C">
      <w:pPr>
        <w:pStyle w:val="ListParagraph"/>
        <w:numPr>
          <w:ilvl w:val="0"/>
          <w:numId w:val="44"/>
        </w:numPr>
        <w:spacing w:after="100" w:afterAutospacing="1" w:line="240" w:lineRule="auto"/>
        <w:jc w:val="both"/>
        <w:rPr>
          <w:rFonts w:ascii="Times New Roman" w:hAnsi="Times New Roman" w:cs="Times New Roman"/>
          <w:sz w:val="24"/>
          <w:szCs w:val="24"/>
        </w:rPr>
      </w:pPr>
      <w:hyperlink r:id="rId41" w:history="1">
        <w:r w:rsidR="00B3369E" w:rsidRPr="00B3369E">
          <w:rPr>
            <w:rStyle w:val="Hyperlink"/>
            <w:rFonts w:ascii="Times New Roman" w:hAnsi="Times New Roman" w:cs="Times New Roman"/>
          </w:rPr>
          <w:t>https://www.bis.org/bcbs/</w:t>
        </w:r>
      </w:hyperlink>
    </w:p>
    <w:p w:rsidR="00B3369E" w:rsidRPr="00B3369E" w:rsidRDefault="00276A72" w:rsidP="001B0E2C">
      <w:pPr>
        <w:pStyle w:val="ListParagraph"/>
        <w:numPr>
          <w:ilvl w:val="0"/>
          <w:numId w:val="44"/>
        </w:numPr>
        <w:spacing w:after="100" w:afterAutospacing="1" w:line="240" w:lineRule="auto"/>
        <w:jc w:val="both"/>
        <w:rPr>
          <w:rFonts w:ascii="Times New Roman" w:hAnsi="Times New Roman" w:cs="Times New Roman"/>
          <w:sz w:val="24"/>
          <w:szCs w:val="24"/>
        </w:rPr>
      </w:pPr>
      <w:hyperlink r:id="rId42" w:history="1">
        <w:r w:rsidR="00B3369E" w:rsidRPr="00B3369E">
          <w:rPr>
            <w:rStyle w:val="Hyperlink"/>
            <w:rFonts w:ascii="Times New Roman" w:hAnsi="Times New Roman" w:cs="Times New Roman"/>
          </w:rPr>
          <w:t>https://www.bis.org/publ/bcbs195.htm</w:t>
        </w:r>
      </w:hyperlink>
    </w:p>
    <w:p w:rsidR="00B3369E" w:rsidRPr="00B3369E" w:rsidRDefault="00276A72" w:rsidP="001B0E2C">
      <w:pPr>
        <w:pStyle w:val="ListParagraph"/>
        <w:numPr>
          <w:ilvl w:val="0"/>
          <w:numId w:val="44"/>
        </w:numPr>
        <w:spacing w:after="100" w:afterAutospacing="1" w:line="240" w:lineRule="auto"/>
        <w:jc w:val="both"/>
        <w:rPr>
          <w:rFonts w:ascii="Times New Roman" w:hAnsi="Times New Roman" w:cs="Times New Roman"/>
          <w:sz w:val="24"/>
          <w:szCs w:val="24"/>
        </w:rPr>
      </w:pPr>
      <w:hyperlink r:id="rId43" w:history="1">
        <w:r w:rsidR="00B3369E" w:rsidRPr="00B3369E">
          <w:rPr>
            <w:rStyle w:val="Hyperlink"/>
            <w:rFonts w:ascii="Times New Roman" w:hAnsi="Times New Roman" w:cs="Times New Roman"/>
          </w:rPr>
          <w:t>https://www.bis.org/publ/bcbsca.htm</w:t>
        </w:r>
      </w:hyperlink>
    </w:p>
    <w:p w:rsidR="00B3369E" w:rsidRPr="00B3369E" w:rsidRDefault="00B3369E" w:rsidP="00B3369E">
      <w:pPr>
        <w:pStyle w:val="HTMLPreformatted"/>
        <w:shd w:val="clear" w:color="auto" w:fill="FFFFFF"/>
        <w:spacing w:line="276" w:lineRule="auto"/>
        <w:rPr>
          <w:rFonts w:ascii="Times New Roman" w:hAnsi="Times New Roman" w:cs="Times New Roman"/>
          <w:b/>
          <w:bCs/>
          <w:color w:val="212121"/>
          <w:sz w:val="24"/>
          <w:szCs w:val="24"/>
          <w:u w:val="single"/>
        </w:rPr>
      </w:pPr>
      <w:r w:rsidRPr="00B3369E">
        <w:rPr>
          <w:rFonts w:ascii="Times New Roman" w:hAnsi="Times New Roman" w:cs="Times New Roman"/>
          <w:b/>
          <w:bCs/>
          <w:color w:val="212121"/>
          <w:sz w:val="24"/>
          <w:szCs w:val="24"/>
          <w:u w:val="single"/>
        </w:rPr>
        <w:t>Basel II and developing countries: diversity and portfolio effect</w:t>
      </w:r>
    </w:p>
    <w:p w:rsidR="00B3369E" w:rsidRPr="00B3369E" w:rsidRDefault="00B3369E" w:rsidP="00B3369E">
      <w:pPr>
        <w:pStyle w:val="HTMLPreformatted"/>
        <w:shd w:val="clear" w:color="auto" w:fill="FFFFFF"/>
        <w:spacing w:line="276" w:lineRule="auto"/>
        <w:ind w:left="360"/>
        <w:rPr>
          <w:rFonts w:ascii="Times New Roman" w:hAnsi="Times New Roman" w:cs="Times New Roman"/>
          <w:color w:val="212121"/>
          <w:sz w:val="24"/>
          <w:szCs w:val="24"/>
        </w:rPr>
      </w:pPr>
    </w:p>
    <w:p w:rsidR="00B3369E" w:rsidRPr="00B3369E" w:rsidRDefault="00276A72" w:rsidP="001B0E2C">
      <w:pPr>
        <w:pStyle w:val="HTMLPreformatted"/>
        <w:numPr>
          <w:ilvl w:val="0"/>
          <w:numId w:val="44"/>
        </w:numPr>
        <w:shd w:val="clear" w:color="auto" w:fill="FFFFFF"/>
        <w:rPr>
          <w:rFonts w:ascii="Times New Roman" w:hAnsi="Times New Roman" w:cs="Times New Roman"/>
          <w:color w:val="212121"/>
          <w:sz w:val="24"/>
          <w:szCs w:val="24"/>
        </w:rPr>
      </w:pPr>
      <w:hyperlink r:id="rId44" w:history="1">
        <w:r w:rsidR="00B3369E" w:rsidRPr="00B3369E">
          <w:rPr>
            <w:rStyle w:val="Hyperlink"/>
            <w:rFonts w:ascii="Times New Roman" w:eastAsiaTheme="majorEastAsia" w:hAnsi="Times New Roman" w:cs="Times New Roman"/>
            <w:sz w:val="24"/>
            <w:szCs w:val="24"/>
          </w:rPr>
          <w:t>http://www.stephanygj.net/papers/Basel_II_and_Developing_CountriesDiversification_and_Portfolio_Effects.pdf</w:t>
        </w:r>
      </w:hyperlink>
    </w:p>
    <w:p w:rsidR="00B3369E" w:rsidRPr="00B3369E" w:rsidRDefault="00B3369E" w:rsidP="00B3369E">
      <w:pPr>
        <w:spacing w:line="240" w:lineRule="auto"/>
        <w:rPr>
          <w:rFonts w:ascii="Times New Roman" w:hAnsi="Times New Roman" w:cs="Times New Roman"/>
          <w:sz w:val="24"/>
          <w:szCs w:val="24"/>
        </w:rPr>
      </w:pPr>
    </w:p>
    <w:p w:rsidR="00B3369E" w:rsidRPr="00B3369E" w:rsidRDefault="00B3369E" w:rsidP="00B3369E">
      <w:pPr>
        <w:rPr>
          <w:rFonts w:ascii="Times New Roman" w:hAnsi="Times New Roman" w:cs="Times New Roman"/>
          <w:b/>
          <w:bCs/>
          <w:sz w:val="24"/>
          <w:szCs w:val="24"/>
          <w:u w:val="single"/>
        </w:rPr>
      </w:pPr>
      <w:r w:rsidRPr="00B3369E">
        <w:rPr>
          <w:rFonts w:ascii="Times New Roman" w:hAnsi="Times New Roman" w:cs="Times New Roman"/>
          <w:b/>
          <w:bCs/>
          <w:sz w:val="24"/>
          <w:szCs w:val="24"/>
          <w:u w:val="single"/>
        </w:rPr>
        <w:t>Wikipedia</w:t>
      </w:r>
    </w:p>
    <w:p w:rsidR="00B3369E" w:rsidRPr="00B3369E" w:rsidRDefault="00276A72" w:rsidP="001B0E2C">
      <w:pPr>
        <w:pStyle w:val="ListParagraph"/>
        <w:numPr>
          <w:ilvl w:val="0"/>
          <w:numId w:val="44"/>
        </w:numPr>
        <w:spacing w:line="240" w:lineRule="auto"/>
        <w:rPr>
          <w:rFonts w:ascii="Times New Roman" w:hAnsi="Times New Roman" w:cs="Times New Roman"/>
          <w:b/>
          <w:bCs/>
          <w:sz w:val="24"/>
          <w:szCs w:val="24"/>
          <w:u w:val="single"/>
        </w:rPr>
      </w:pPr>
      <w:hyperlink r:id="rId45" w:history="1">
        <w:r w:rsidR="00B3369E" w:rsidRPr="00B3369E">
          <w:rPr>
            <w:rStyle w:val="Hyperlink"/>
            <w:rFonts w:ascii="Times New Roman" w:hAnsi="Times New Roman" w:cs="Times New Roman"/>
          </w:rPr>
          <w:t>https://en.wikipedia.org/wiki/Basel_I</w:t>
        </w:r>
      </w:hyperlink>
    </w:p>
    <w:p w:rsidR="00B3369E" w:rsidRPr="00B3369E" w:rsidRDefault="00276A72" w:rsidP="001B0E2C">
      <w:pPr>
        <w:pStyle w:val="ListParagraph"/>
        <w:numPr>
          <w:ilvl w:val="0"/>
          <w:numId w:val="44"/>
        </w:numPr>
        <w:spacing w:line="240" w:lineRule="auto"/>
        <w:rPr>
          <w:rFonts w:ascii="Times New Roman" w:hAnsi="Times New Roman" w:cs="Times New Roman"/>
          <w:b/>
          <w:bCs/>
          <w:sz w:val="24"/>
          <w:szCs w:val="24"/>
          <w:u w:val="single"/>
        </w:rPr>
      </w:pPr>
      <w:hyperlink r:id="rId46" w:history="1">
        <w:r w:rsidR="00B3369E" w:rsidRPr="00B3369E">
          <w:rPr>
            <w:rStyle w:val="Hyperlink"/>
            <w:rFonts w:ascii="Times New Roman" w:hAnsi="Times New Roman" w:cs="Times New Roman"/>
          </w:rPr>
          <w:t>https://en.wikipedia.org/wiki/Basel_II</w:t>
        </w:r>
      </w:hyperlink>
    </w:p>
    <w:p w:rsidR="00B3369E" w:rsidRPr="00B3369E" w:rsidRDefault="00276A72" w:rsidP="001B0E2C">
      <w:pPr>
        <w:pStyle w:val="ListParagraph"/>
        <w:numPr>
          <w:ilvl w:val="0"/>
          <w:numId w:val="44"/>
        </w:numPr>
        <w:spacing w:line="240" w:lineRule="auto"/>
        <w:rPr>
          <w:rFonts w:ascii="Times New Roman" w:hAnsi="Times New Roman" w:cs="Times New Roman"/>
          <w:b/>
          <w:bCs/>
          <w:sz w:val="24"/>
          <w:szCs w:val="24"/>
          <w:u w:val="single"/>
        </w:rPr>
      </w:pPr>
      <w:hyperlink r:id="rId47" w:history="1">
        <w:r w:rsidR="00B3369E" w:rsidRPr="00B3369E">
          <w:rPr>
            <w:rStyle w:val="Hyperlink"/>
            <w:rFonts w:ascii="Times New Roman" w:hAnsi="Times New Roman" w:cs="Times New Roman"/>
          </w:rPr>
          <w:t>https://en.wikipedia.org/wiki/Basel_III</w:t>
        </w:r>
      </w:hyperlink>
    </w:p>
    <w:p w:rsidR="00B3369E" w:rsidRPr="00B3369E" w:rsidRDefault="00276A72" w:rsidP="001B0E2C">
      <w:pPr>
        <w:pStyle w:val="ListParagraph"/>
        <w:numPr>
          <w:ilvl w:val="0"/>
          <w:numId w:val="44"/>
        </w:numPr>
        <w:spacing w:line="240" w:lineRule="auto"/>
        <w:rPr>
          <w:rFonts w:ascii="Times New Roman" w:hAnsi="Times New Roman" w:cs="Times New Roman"/>
          <w:b/>
          <w:bCs/>
          <w:sz w:val="24"/>
          <w:szCs w:val="24"/>
          <w:u w:val="single"/>
        </w:rPr>
      </w:pPr>
      <w:hyperlink r:id="rId48" w:history="1">
        <w:r w:rsidR="00B3369E" w:rsidRPr="00B3369E">
          <w:rPr>
            <w:rStyle w:val="Hyperlink"/>
            <w:rFonts w:ascii="Times New Roman" w:hAnsi="Times New Roman" w:cs="Times New Roman"/>
          </w:rPr>
          <w:t>https://en.wikipedia.org/wiki/Basel_Committee_on_Banking_Supervision</w:t>
        </w:r>
      </w:hyperlink>
    </w:p>
    <w:p w:rsidR="00B3369E" w:rsidRPr="00B3369E" w:rsidRDefault="00B3369E" w:rsidP="00B3369E">
      <w:pPr>
        <w:rPr>
          <w:rFonts w:ascii="Times New Roman" w:hAnsi="Times New Roman" w:cs="Times New Roman"/>
          <w:b/>
          <w:bCs/>
          <w:sz w:val="24"/>
          <w:szCs w:val="24"/>
          <w:u w:val="single"/>
        </w:rPr>
      </w:pPr>
      <w:r w:rsidRPr="00B3369E">
        <w:rPr>
          <w:rFonts w:ascii="Times New Roman" w:hAnsi="Times New Roman" w:cs="Times New Roman"/>
          <w:b/>
          <w:bCs/>
          <w:sz w:val="24"/>
          <w:szCs w:val="24"/>
          <w:u w:val="single"/>
        </w:rPr>
        <w:t>Other Website:</w:t>
      </w:r>
    </w:p>
    <w:p w:rsidR="00B3369E" w:rsidRPr="00B3369E" w:rsidRDefault="00276A72" w:rsidP="001B0E2C">
      <w:pPr>
        <w:pStyle w:val="ListParagraph"/>
        <w:numPr>
          <w:ilvl w:val="0"/>
          <w:numId w:val="45"/>
        </w:numPr>
        <w:spacing w:line="240" w:lineRule="auto"/>
        <w:rPr>
          <w:rFonts w:ascii="Times New Roman" w:hAnsi="Times New Roman" w:cs="Times New Roman"/>
          <w:b/>
          <w:bCs/>
          <w:sz w:val="24"/>
          <w:szCs w:val="24"/>
          <w:u w:val="single"/>
        </w:rPr>
      </w:pPr>
      <w:hyperlink r:id="rId49" w:history="1">
        <w:r w:rsidR="00B3369E" w:rsidRPr="00B3369E">
          <w:rPr>
            <w:rStyle w:val="Hyperlink"/>
            <w:rFonts w:ascii="Times New Roman" w:hAnsi="Times New Roman" w:cs="Times New Roman"/>
          </w:rPr>
          <w:t>https://apps.aima.in/ejournal_new/articlesPDF/Dr.BindyaKohli.pdf</w:t>
        </w:r>
      </w:hyperlink>
    </w:p>
    <w:p w:rsidR="00B3369E" w:rsidRPr="00B3369E" w:rsidRDefault="00276A72" w:rsidP="001B0E2C">
      <w:pPr>
        <w:pStyle w:val="ListParagraph"/>
        <w:numPr>
          <w:ilvl w:val="0"/>
          <w:numId w:val="45"/>
        </w:numPr>
        <w:spacing w:line="240" w:lineRule="auto"/>
        <w:rPr>
          <w:rFonts w:ascii="Times New Roman" w:hAnsi="Times New Roman" w:cs="Times New Roman"/>
          <w:b/>
          <w:bCs/>
          <w:sz w:val="24"/>
          <w:szCs w:val="24"/>
          <w:u w:val="single"/>
        </w:rPr>
      </w:pPr>
      <w:hyperlink r:id="rId50" w:history="1">
        <w:r w:rsidR="00B3369E" w:rsidRPr="00B3369E">
          <w:rPr>
            <w:rStyle w:val="Hyperlink"/>
            <w:rFonts w:ascii="Times New Roman" w:hAnsi="Times New Roman" w:cs="Times New Roman"/>
          </w:rPr>
          <w:t>https://ideas.repec.org/a/eee/jbfina/v24y2000i1-2p35-58.html</w:t>
        </w:r>
      </w:hyperlink>
    </w:p>
    <w:p w:rsidR="00B3369E" w:rsidRPr="00B3369E" w:rsidRDefault="00276A72" w:rsidP="001B0E2C">
      <w:pPr>
        <w:pStyle w:val="ListParagraph"/>
        <w:numPr>
          <w:ilvl w:val="0"/>
          <w:numId w:val="45"/>
        </w:numPr>
        <w:spacing w:line="240" w:lineRule="auto"/>
        <w:rPr>
          <w:rFonts w:ascii="Times New Roman" w:hAnsi="Times New Roman" w:cs="Times New Roman"/>
          <w:b/>
          <w:bCs/>
          <w:sz w:val="24"/>
          <w:szCs w:val="24"/>
          <w:u w:val="single"/>
        </w:rPr>
      </w:pPr>
      <w:hyperlink r:id="rId51" w:history="1">
        <w:r w:rsidR="00B3369E" w:rsidRPr="00B3369E">
          <w:rPr>
            <w:rStyle w:val="Hyperlink"/>
            <w:rFonts w:ascii="Times New Roman" w:hAnsi="Times New Roman" w:cs="Times New Roman"/>
          </w:rPr>
          <w:t>https://core.ac.uk/download/pdf/14919057.pdf</w:t>
        </w:r>
      </w:hyperlink>
    </w:p>
    <w:p w:rsidR="00B3369E" w:rsidRPr="00B3369E" w:rsidRDefault="00B3369E" w:rsidP="00B3369E">
      <w:pPr>
        <w:spacing w:after="100" w:afterAutospacing="1"/>
        <w:jc w:val="both"/>
        <w:rPr>
          <w:rFonts w:ascii="Times New Roman" w:hAnsi="Times New Roman" w:cs="Times New Roman"/>
          <w:sz w:val="36"/>
          <w:szCs w:val="36"/>
        </w:rPr>
      </w:pPr>
    </w:p>
    <w:p w:rsidR="00A04A59" w:rsidRPr="00B3369E" w:rsidRDefault="00A04A59" w:rsidP="00A76DEB">
      <w:pPr>
        <w:spacing w:after="100" w:afterAutospacing="1"/>
        <w:jc w:val="both"/>
        <w:rPr>
          <w:rFonts w:ascii="Times New Roman" w:hAnsi="Times New Roman" w:cs="Times New Roman"/>
          <w:b/>
          <w:bCs/>
          <w:sz w:val="21"/>
          <w:szCs w:val="21"/>
        </w:rPr>
      </w:pPr>
    </w:p>
    <w:sectPr w:rsidR="00A04A59" w:rsidRPr="00B3369E" w:rsidSect="004838D2">
      <w:pgSz w:w="11907" w:h="16839" w:code="9"/>
      <w:pgMar w:top="1440" w:right="1440" w:bottom="1440" w:left="1440" w:header="0" w:footer="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1CD5" w:rsidRDefault="00F21CD5" w:rsidP="00447031">
      <w:pPr>
        <w:spacing w:after="0" w:line="240" w:lineRule="auto"/>
      </w:pPr>
      <w:r>
        <w:separator/>
      </w:r>
    </w:p>
  </w:endnote>
  <w:endnote w:type="continuationSeparator" w:id="0">
    <w:p w:rsidR="00F21CD5" w:rsidRDefault="00F21CD5" w:rsidP="004470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Klavika-Bold">
    <w:altName w:val="MS Gothic"/>
    <w:panose1 w:val="00000000000000000000"/>
    <w:charset w:val="80"/>
    <w:family w:val="swiss"/>
    <w:notTrueType/>
    <w:pitch w:val="default"/>
    <w:sig w:usb0="00000001" w:usb1="08070000" w:usb2="00000010" w:usb3="00000000" w:csb0="00020000" w:csb1="00000000"/>
  </w:font>
  <w:font w:name="Klavika-Regular">
    <w:altName w:val="MS Gothic"/>
    <w:panose1 w:val="00000000000000000000"/>
    <w:charset w:val="80"/>
    <w:family w:val="swiss"/>
    <w:notTrueType/>
    <w:pitch w:val="default"/>
    <w:sig w:usb0="00000001" w:usb1="08070000" w:usb2="00000010" w:usb3="00000000" w:csb0="00020000" w:csb1="00000000"/>
  </w:font>
  <w:font w:name="Klavika-Light">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78471"/>
      <w:docPartObj>
        <w:docPartGallery w:val="Page Numbers (Bottom of Page)"/>
        <w:docPartUnique/>
      </w:docPartObj>
    </w:sdtPr>
    <w:sdtEndPr>
      <w:rPr>
        <w:highlight w:val="lightGray"/>
      </w:rPr>
    </w:sdtEndPr>
    <w:sdtContent>
      <w:p w:rsidR="004838D2" w:rsidRPr="0014343A" w:rsidRDefault="004838D2" w:rsidP="00B27DAA">
        <w:pPr>
          <w:pStyle w:val="Footer"/>
          <w:jc w:val="both"/>
          <w:rPr>
            <w:sz w:val="16"/>
            <w:szCs w:val="16"/>
          </w:rPr>
        </w:pPr>
        <w:r w:rsidRPr="0014343A">
          <w:rPr>
            <w:rFonts w:ascii="Comic Sans MS" w:hAnsi="Comic Sans MS" w:cs="Times New Roman"/>
            <w:b/>
            <w:bCs/>
            <w:sz w:val="16"/>
            <w:szCs w:val="16"/>
          </w:rPr>
          <w:t>Implementation of Basel</w:t>
        </w:r>
        <w:r>
          <w:rPr>
            <w:rFonts w:ascii="Comic Sans MS" w:hAnsi="Comic Sans MS" w:cs="Times New Roman"/>
            <w:b/>
            <w:bCs/>
            <w:sz w:val="16"/>
            <w:szCs w:val="16"/>
          </w:rPr>
          <w:t xml:space="preserve"> III</w:t>
        </w:r>
        <w:r w:rsidRPr="0014343A">
          <w:rPr>
            <w:rFonts w:ascii="Comic Sans MS" w:hAnsi="Comic Sans MS" w:cs="Times New Roman"/>
            <w:b/>
            <w:bCs/>
            <w:sz w:val="16"/>
            <w:szCs w:val="16"/>
          </w:rPr>
          <w:t xml:space="preserve"> Accords in Dutch-Bangla Bank Limited: </w:t>
        </w:r>
        <w:r>
          <w:rPr>
            <w:rFonts w:ascii="Comic Sans MS" w:hAnsi="Comic Sans MS" w:cs="Times New Roman"/>
            <w:b/>
            <w:bCs/>
            <w:sz w:val="16"/>
            <w:szCs w:val="16"/>
          </w:rPr>
          <w:t>Risk Based Capital Adequacy Ratios Requirement</w:t>
        </w:r>
        <w:r w:rsidRPr="0014343A">
          <w:rPr>
            <w:rFonts w:ascii="Comic Sans MS" w:hAnsi="Comic Sans MS" w:cs="Times New Roman"/>
            <w:b/>
            <w:bCs/>
            <w:sz w:val="16"/>
            <w:szCs w:val="16"/>
          </w:rPr>
          <w:t xml:space="preserve"> of Bangladesh Bank</w:t>
        </w:r>
      </w:p>
      <w:p w:rsidR="004838D2" w:rsidRPr="00E73ED7" w:rsidRDefault="004838D2">
        <w:pPr>
          <w:pStyle w:val="Footer"/>
          <w:jc w:val="right"/>
        </w:pPr>
        <w:r w:rsidRPr="00E73ED7">
          <w:rPr>
            <w:highlight w:val="lightGray"/>
          </w:rPr>
          <w:t xml:space="preserve">Page </w:t>
        </w:r>
        <w:r w:rsidR="00276A72" w:rsidRPr="00E73ED7">
          <w:rPr>
            <w:highlight w:val="lightGray"/>
          </w:rPr>
          <w:fldChar w:fldCharType="begin"/>
        </w:r>
        <w:r w:rsidRPr="00E73ED7">
          <w:rPr>
            <w:highlight w:val="lightGray"/>
          </w:rPr>
          <w:instrText xml:space="preserve"> PAGE   \* MERGEFORMAT </w:instrText>
        </w:r>
        <w:r w:rsidR="00276A72" w:rsidRPr="00E73ED7">
          <w:rPr>
            <w:highlight w:val="lightGray"/>
          </w:rPr>
          <w:fldChar w:fldCharType="separate"/>
        </w:r>
        <w:r w:rsidR="009508CB">
          <w:rPr>
            <w:noProof/>
            <w:highlight w:val="lightGray"/>
          </w:rPr>
          <w:t>i</w:t>
        </w:r>
        <w:r w:rsidR="00276A72" w:rsidRPr="00E73ED7">
          <w:rPr>
            <w:highlight w:val="lightGray"/>
          </w:rPr>
          <w:fldChar w:fldCharType="end"/>
        </w:r>
      </w:p>
    </w:sdtContent>
  </w:sdt>
  <w:p w:rsidR="004838D2" w:rsidRPr="00E86C9A" w:rsidRDefault="004838D2" w:rsidP="00E86C9A">
    <w:pPr>
      <w:pStyle w:val="Footer"/>
      <w:jc w:val="cen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1CD5" w:rsidRDefault="00F21CD5" w:rsidP="00447031">
      <w:pPr>
        <w:spacing w:after="0" w:line="240" w:lineRule="auto"/>
      </w:pPr>
      <w:r>
        <w:separator/>
      </w:r>
    </w:p>
  </w:footnote>
  <w:footnote w:type="continuationSeparator" w:id="0">
    <w:p w:rsidR="00F21CD5" w:rsidRDefault="00F21CD5" w:rsidP="004470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8D2" w:rsidRDefault="004838D2" w:rsidP="003252E3">
    <w:pPr>
      <w:pStyle w:val="Header"/>
      <w:jc w:val="center"/>
    </w:pPr>
    <w:r>
      <w:rPr>
        <w:noProof/>
      </w:rPr>
      <w:drawing>
        <wp:anchor distT="0" distB="0" distL="114300" distR="114300" simplePos="0" relativeHeight="251658240" behindDoc="0" locked="0" layoutInCell="1" allowOverlap="1">
          <wp:simplePos x="0" y="0"/>
          <wp:positionH relativeFrom="column">
            <wp:posOffset>-113030</wp:posOffset>
          </wp:positionH>
          <wp:positionV relativeFrom="paragraph">
            <wp:posOffset>-404495</wp:posOffset>
          </wp:positionV>
          <wp:extent cx="6099810" cy="650240"/>
          <wp:effectExtent l="19050" t="0" r="0" b="0"/>
          <wp:wrapThrough wrapText="bothSides">
            <wp:wrapPolygon edited="0">
              <wp:start x="-67" y="0"/>
              <wp:lineTo x="-67" y="20883"/>
              <wp:lineTo x="21587" y="20883"/>
              <wp:lineTo x="21587" y="0"/>
              <wp:lineTo x="-67" y="0"/>
            </wp:wrapPolygon>
          </wp:wrapThrough>
          <wp:docPr id="4" name="Picture 3" descr="D:\106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06033.jpg"/>
                  <pic:cNvPicPr>
                    <a:picLocks noChangeAspect="1" noChangeArrowheads="1"/>
                  </pic:cNvPicPr>
                </pic:nvPicPr>
                <pic:blipFill>
                  <a:blip r:embed="rId1"/>
                  <a:srcRect/>
                  <a:stretch>
                    <a:fillRect/>
                  </a:stretch>
                </pic:blipFill>
                <pic:spPr bwMode="auto">
                  <a:xfrm>
                    <a:off x="0" y="0"/>
                    <a:ext cx="6099810" cy="650240"/>
                  </a:xfrm>
                  <a:prstGeom prst="rect">
                    <a:avLst/>
                  </a:prstGeom>
                  <a:noFill/>
                  <a:ln w="9525">
                    <a:noFill/>
                    <a:miter lim="800000"/>
                    <a:headEnd/>
                    <a:tailEnd/>
                  </a:ln>
                </pic:spPr>
              </pic:pic>
            </a:graphicData>
          </a:graphic>
        </wp:anchor>
      </w:drawing>
    </w:r>
  </w:p>
  <w:p w:rsidR="004838D2" w:rsidRDefault="004838D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1pt;height:11.1pt" o:bullet="t">
        <v:imagedata r:id="rId1" o:title="mso12A1"/>
      </v:shape>
    </w:pict>
  </w:numPicBullet>
  <w:abstractNum w:abstractNumId="0">
    <w:nsid w:val="01567DF4"/>
    <w:multiLevelType w:val="hybridMultilevel"/>
    <w:tmpl w:val="B34C141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8F2369"/>
    <w:multiLevelType w:val="hybridMultilevel"/>
    <w:tmpl w:val="3B92A2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F835DD"/>
    <w:multiLevelType w:val="hybridMultilevel"/>
    <w:tmpl w:val="3C3087AA"/>
    <w:lvl w:ilvl="0" w:tplc="0409000F">
      <w:start w:val="1"/>
      <w:numFmt w:val="decimal"/>
      <w:lvlText w:val="%1."/>
      <w:lvlJc w:val="left"/>
      <w:pPr>
        <w:ind w:left="720" w:hanging="360"/>
      </w:pPr>
    </w:lvl>
    <w:lvl w:ilvl="1" w:tplc="F6B8AD16">
      <w:start w:val="1"/>
      <w:numFmt w:val="upperRoman"/>
      <w:lvlText w:val="%2."/>
      <w:lvlJc w:val="left"/>
      <w:pPr>
        <w:ind w:left="1800" w:hanging="720"/>
      </w:pPr>
      <w:rPr>
        <w:rFonts w:hint="default"/>
        <w:color w:val="auto"/>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88477A"/>
    <w:multiLevelType w:val="hybridMultilevel"/>
    <w:tmpl w:val="FA28844E"/>
    <w:lvl w:ilvl="0" w:tplc="A156D88C">
      <w:start w:val="1"/>
      <w:numFmt w:val="bullet"/>
      <w:lvlText w:val=""/>
      <w:lvlPicBulletId w:val="0"/>
      <w:lvlJc w:val="left"/>
      <w:pPr>
        <w:ind w:left="720" w:hanging="360"/>
      </w:pPr>
      <w:rPr>
        <w:rFonts w:ascii="Symbol" w:hAnsi="Symbol" w:hint="default"/>
        <w:bCs w:val="0"/>
        <w:iCs w:val="0"/>
        <w:color w:val="auto"/>
        <w:sz w:val="24"/>
        <w:szCs w:val="24"/>
        <w:u w:color="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8A6F27"/>
    <w:multiLevelType w:val="hybridMultilevel"/>
    <w:tmpl w:val="A5C86268"/>
    <w:lvl w:ilvl="0" w:tplc="A156D88C">
      <w:start w:val="1"/>
      <w:numFmt w:val="bullet"/>
      <w:lvlText w:val=""/>
      <w:lvlPicBulletId w:val="0"/>
      <w:lvlJc w:val="left"/>
      <w:pPr>
        <w:ind w:left="1440" w:hanging="360"/>
      </w:pPr>
      <w:rPr>
        <w:rFonts w:ascii="Symbol" w:hAnsi="Symbol" w:hint="default"/>
        <w:bCs w:val="0"/>
        <w:iCs w:val="0"/>
        <w:color w:val="auto"/>
        <w:sz w:val="24"/>
        <w:szCs w:val="24"/>
        <w:u w:color="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5A05D4E"/>
    <w:multiLevelType w:val="hybridMultilevel"/>
    <w:tmpl w:val="A9BC20E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C41F0A"/>
    <w:multiLevelType w:val="hybridMultilevel"/>
    <w:tmpl w:val="E41A346C"/>
    <w:lvl w:ilvl="0" w:tplc="D18A192E">
      <w:start w:val="1"/>
      <w:numFmt w:val="bullet"/>
      <w:lvlText w:val=""/>
      <w:lvlJc w:val="left"/>
      <w:pPr>
        <w:ind w:left="1440" w:hanging="360"/>
      </w:pPr>
      <w:rPr>
        <w:rFonts w:ascii="Wingdings" w:hAnsi="Wingdings" w:hint="default"/>
        <w:u w:color="4F81BD" w:themeColor="accen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E346964"/>
    <w:multiLevelType w:val="hybridMultilevel"/>
    <w:tmpl w:val="F782DE1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0E1751"/>
    <w:multiLevelType w:val="hybridMultilevel"/>
    <w:tmpl w:val="4694E8A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D90619"/>
    <w:multiLevelType w:val="hybridMultilevel"/>
    <w:tmpl w:val="2F88E8C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9957CB"/>
    <w:multiLevelType w:val="hybridMultilevel"/>
    <w:tmpl w:val="C24E9F6A"/>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874812"/>
    <w:multiLevelType w:val="hybridMultilevel"/>
    <w:tmpl w:val="6030693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EA0163"/>
    <w:multiLevelType w:val="hybridMultilevel"/>
    <w:tmpl w:val="C6789E1C"/>
    <w:lvl w:ilvl="0" w:tplc="D18A192E">
      <w:start w:val="1"/>
      <w:numFmt w:val="bullet"/>
      <w:lvlText w:val=""/>
      <w:lvlJc w:val="left"/>
      <w:pPr>
        <w:ind w:left="1440" w:hanging="360"/>
      </w:pPr>
      <w:rPr>
        <w:rFonts w:ascii="Wingdings" w:hAnsi="Wingdings" w:hint="default"/>
        <w:u w:color="4F81BD" w:themeColor="accen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8310BAD"/>
    <w:multiLevelType w:val="hybridMultilevel"/>
    <w:tmpl w:val="9E4C4D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000C1A"/>
    <w:multiLevelType w:val="hybridMultilevel"/>
    <w:tmpl w:val="BFC2FED6"/>
    <w:lvl w:ilvl="0" w:tplc="25D83FFC">
      <w:start w:val="1"/>
      <w:numFmt w:val="bullet"/>
      <w:lvlText w:val=""/>
      <w:lvlPicBulletId w:val="0"/>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904C1A"/>
    <w:multiLevelType w:val="hybridMultilevel"/>
    <w:tmpl w:val="85B27F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AD7123"/>
    <w:multiLevelType w:val="hybridMultilevel"/>
    <w:tmpl w:val="4F283676"/>
    <w:lvl w:ilvl="0" w:tplc="A156D88C">
      <w:start w:val="1"/>
      <w:numFmt w:val="bullet"/>
      <w:lvlText w:val=""/>
      <w:lvlPicBulletId w:val="0"/>
      <w:lvlJc w:val="left"/>
      <w:pPr>
        <w:ind w:left="720" w:hanging="360"/>
      </w:pPr>
      <w:rPr>
        <w:rFonts w:ascii="Symbol" w:hAnsi="Symbol" w:hint="default"/>
        <w:bCs w:val="0"/>
        <w:iCs w:val="0"/>
        <w:color w:val="auto"/>
        <w:sz w:val="24"/>
        <w:szCs w:val="24"/>
        <w:u w:color="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38F4515"/>
    <w:multiLevelType w:val="hybridMultilevel"/>
    <w:tmpl w:val="DED4FF10"/>
    <w:lvl w:ilvl="0" w:tplc="04090007">
      <w:start w:val="1"/>
      <w:numFmt w:val="bullet"/>
      <w:lvlText w:val=""/>
      <w:lvlPicBulletId w:val="0"/>
      <w:lvlJc w:val="left"/>
      <w:pPr>
        <w:ind w:left="720" w:hanging="360"/>
      </w:pPr>
      <w:rPr>
        <w:rFonts w:ascii="Symbol" w:hAnsi="Symbol" w:hint="default"/>
        <w:color w:val="4F81BD" w:themeColor="accent1"/>
        <w:u w:color="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7D299D"/>
    <w:multiLevelType w:val="hybridMultilevel"/>
    <w:tmpl w:val="AE9C3794"/>
    <w:lvl w:ilvl="0" w:tplc="A156D88C">
      <w:start w:val="1"/>
      <w:numFmt w:val="bullet"/>
      <w:lvlText w:val=""/>
      <w:lvlPicBulletId w:val="0"/>
      <w:lvlJc w:val="left"/>
      <w:pPr>
        <w:ind w:left="720" w:hanging="360"/>
      </w:pPr>
      <w:rPr>
        <w:rFonts w:ascii="Symbol" w:hAnsi="Symbol" w:hint="default"/>
        <w:bCs w:val="0"/>
        <w:iCs w:val="0"/>
        <w:color w:val="auto"/>
        <w:sz w:val="24"/>
        <w:szCs w:val="24"/>
        <w:u w:color="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A02ADF"/>
    <w:multiLevelType w:val="hybridMultilevel"/>
    <w:tmpl w:val="A4306356"/>
    <w:lvl w:ilvl="0" w:tplc="A156D88C">
      <w:start w:val="1"/>
      <w:numFmt w:val="bullet"/>
      <w:lvlText w:val=""/>
      <w:lvlPicBulletId w:val="0"/>
      <w:lvlJc w:val="left"/>
      <w:pPr>
        <w:ind w:left="720" w:hanging="360"/>
      </w:pPr>
      <w:rPr>
        <w:rFonts w:ascii="Symbol" w:hAnsi="Symbol" w:hint="default"/>
        <w:bCs w:val="0"/>
        <w:iCs w:val="0"/>
        <w:color w:val="auto"/>
        <w:sz w:val="24"/>
        <w:szCs w:val="24"/>
        <w:u w:color="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CD6099"/>
    <w:multiLevelType w:val="hybridMultilevel"/>
    <w:tmpl w:val="28FEF10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4E7489"/>
    <w:multiLevelType w:val="hybridMultilevel"/>
    <w:tmpl w:val="14E4BD0C"/>
    <w:lvl w:ilvl="0" w:tplc="D18A192E">
      <w:start w:val="1"/>
      <w:numFmt w:val="bullet"/>
      <w:lvlText w:val=""/>
      <w:lvlJc w:val="left"/>
      <w:pPr>
        <w:ind w:left="1440" w:hanging="360"/>
      </w:pPr>
      <w:rPr>
        <w:rFonts w:ascii="Wingdings" w:hAnsi="Wingdings" w:hint="default"/>
        <w:u w:color="4F81BD" w:themeColor="accen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EE80693"/>
    <w:multiLevelType w:val="hybridMultilevel"/>
    <w:tmpl w:val="195E8018"/>
    <w:lvl w:ilvl="0" w:tplc="77DE1490">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44E97213"/>
    <w:multiLevelType w:val="hybridMultilevel"/>
    <w:tmpl w:val="24FADA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BB49FE"/>
    <w:multiLevelType w:val="hybridMultilevel"/>
    <w:tmpl w:val="BEAA01A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8376D5"/>
    <w:multiLevelType w:val="hybridMultilevel"/>
    <w:tmpl w:val="5190905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A2368FE"/>
    <w:multiLevelType w:val="hybridMultilevel"/>
    <w:tmpl w:val="8A1CE32A"/>
    <w:lvl w:ilvl="0" w:tplc="A156D88C">
      <w:start w:val="1"/>
      <w:numFmt w:val="bullet"/>
      <w:lvlText w:val=""/>
      <w:lvlPicBulletId w:val="0"/>
      <w:lvlJc w:val="left"/>
      <w:pPr>
        <w:ind w:left="720" w:hanging="360"/>
      </w:pPr>
      <w:rPr>
        <w:rFonts w:ascii="Symbol" w:hAnsi="Symbol" w:hint="default"/>
        <w:sz w:val="24"/>
        <w:szCs w:val="24"/>
        <w:u w:color="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C8131C8"/>
    <w:multiLevelType w:val="hybridMultilevel"/>
    <w:tmpl w:val="0D5CCA3A"/>
    <w:lvl w:ilvl="0" w:tplc="D18A192E">
      <w:start w:val="1"/>
      <w:numFmt w:val="bullet"/>
      <w:lvlText w:val=""/>
      <w:lvlJc w:val="left"/>
      <w:pPr>
        <w:ind w:left="2160" w:hanging="360"/>
      </w:pPr>
      <w:rPr>
        <w:rFonts w:ascii="Wingdings" w:hAnsi="Wingdings" w:hint="default"/>
        <w:u w:color="4F81BD" w:themeColor="accent1"/>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4DFF02C0"/>
    <w:multiLevelType w:val="hybridMultilevel"/>
    <w:tmpl w:val="BC1E6A6A"/>
    <w:lvl w:ilvl="0" w:tplc="D53C2012">
      <w:start w:val="1"/>
      <w:numFmt w:val="bullet"/>
      <w:lvlText w:val=""/>
      <w:lvlJc w:val="left"/>
      <w:pPr>
        <w:ind w:left="720" w:hanging="360"/>
      </w:pPr>
      <w:rPr>
        <w:rFonts w:ascii="Symbol" w:hAnsi="Symbo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E79416A"/>
    <w:multiLevelType w:val="hybridMultilevel"/>
    <w:tmpl w:val="A312715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0AC10EC"/>
    <w:multiLevelType w:val="hybridMultilevel"/>
    <w:tmpl w:val="A22274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1B97130"/>
    <w:multiLevelType w:val="hybridMultilevel"/>
    <w:tmpl w:val="27A6527C"/>
    <w:lvl w:ilvl="0" w:tplc="D5B04E20">
      <w:start w:val="1"/>
      <w:numFmt w:val="bullet"/>
      <w:lvlText w:val=""/>
      <w:lvlPicBulletId w:val="0"/>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2F1F87"/>
    <w:multiLevelType w:val="hybridMultilevel"/>
    <w:tmpl w:val="2592B9F2"/>
    <w:lvl w:ilvl="0" w:tplc="29E805FC">
      <w:start w:val="1"/>
      <w:numFmt w:val="bullet"/>
      <w:lvlText w:val=""/>
      <w:lvlJc w:val="left"/>
      <w:pPr>
        <w:ind w:left="720" w:hanging="360"/>
      </w:pPr>
      <w:rPr>
        <w:rFonts w:ascii="Symbol" w:hAnsi="Symbol" w:hint="default"/>
        <w:sz w:val="20"/>
        <w:szCs w:val="20"/>
      </w:rPr>
    </w:lvl>
    <w:lvl w:ilvl="1" w:tplc="ABA0C49C">
      <w:start w:val="1"/>
      <w:numFmt w:val="upp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AF14D7"/>
    <w:multiLevelType w:val="hybridMultilevel"/>
    <w:tmpl w:val="69A8D1F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1B2FA9"/>
    <w:multiLevelType w:val="hybridMultilevel"/>
    <w:tmpl w:val="4FB2C57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4B254CF"/>
    <w:multiLevelType w:val="hybridMultilevel"/>
    <w:tmpl w:val="BF1E540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65A5A03"/>
    <w:multiLevelType w:val="hybridMultilevel"/>
    <w:tmpl w:val="EA78A93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686788E"/>
    <w:multiLevelType w:val="hybridMultilevel"/>
    <w:tmpl w:val="FC922FBC"/>
    <w:lvl w:ilvl="0" w:tplc="A156D88C">
      <w:start w:val="1"/>
      <w:numFmt w:val="bullet"/>
      <w:lvlText w:val=""/>
      <w:lvlPicBulletId w:val="0"/>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79E5972"/>
    <w:multiLevelType w:val="hybridMultilevel"/>
    <w:tmpl w:val="88D24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02451E"/>
    <w:multiLevelType w:val="hybridMultilevel"/>
    <w:tmpl w:val="3580B82C"/>
    <w:lvl w:ilvl="0" w:tplc="A156D88C">
      <w:start w:val="1"/>
      <w:numFmt w:val="bullet"/>
      <w:lvlText w:val=""/>
      <w:lvlPicBulletId w:val="0"/>
      <w:lvlJc w:val="left"/>
      <w:pPr>
        <w:ind w:left="1276" w:hanging="360"/>
      </w:pPr>
      <w:rPr>
        <w:rFonts w:ascii="Symbol" w:hAnsi="Symbol" w:hint="default"/>
        <w:color w:val="auto"/>
        <w:sz w:val="24"/>
        <w:szCs w:val="24"/>
        <w:u w:color="4F81BD" w:themeColor="accent1"/>
      </w:rPr>
    </w:lvl>
    <w:lvl w:ilvl="1" w:tplc="04090003" w:tentative="1">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40">
    <w:nsid w:val="7038624A"/>
    <w:multiLevelType w:val="hybridMultilevel"/>
    <w:tmpl w:val="79BCA07E"/>
    <w:lvl w:ilvl="0" w:tplc="A156D88C">
      <w:start w:val="1"/>
      <w:numFmt w:val="bullet"/>
      <w:lvlText w:val=""/>
      <w:lvlPicBulletId w:val="0"/>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0D436FF"/>
    <w:multiLevelType w:val="hybridMultilevel"/>
    <w:tmpl w:val="A8A0ABB0"/>
    <w:lvl w:ilvl="0" w:tplc="A156D88C">
      <w:start w:val="1"/>
      <w:numFmt w:val="bullet"/>
      <w:lvlText w:val=""/>
      <w:lvlPicBulletId w:val="0"/>
      <w:lvlJc w:val="left"/>
      <w:pPr>
        <w:ind w:left="720" w:hanging="360"/>
      </w:pPr>
      <w:rPr>
        <w:rFonts w:ascii="Symbol" w:hAnsi="Symbol" w:hint="default"/>
        <w:bCs w:val="0"/>
        <w:iCs w:val="0"/>
        <w:color w:val="auto"/>
        <w:sz w:val="24"/>
        <w:szCs w:val="24"/>
        <w:u w:color="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7831D0F"/>
    <w:multiLevelType w:val="hybridMultilevel"/>
    <w:tmpl w:val="0E7AAD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A2D72E8"/>
    <w:multiLevelType w:val="hybridMultilevel"/>
    <w:tmpl w:val="034CE16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C5113D6"/>
    <w:multiLevelType w:val="hybridMultilevel"/>
    <w:tmpl w:val="157EC26A"/>
    <w:lvl w:ilvl="0" w:tplc="A156D88C">
      <w:start w:val="1"/>
      <w:numFmt w:val="bullet"/>
      <w:lvlText w:val=""/>
      <w:lvlPicBulletId w:val="0"/>
      <w:lvlJc w:val="left"/>
      <w:pPr>
        <w:ind w:left="1440" w:hanging="360"/>
      </w:pPr>
      <w:rPr>
        <w:rFonts w:ascii="Symbol" w:hAnsi="Symbol" w:hint="default"/>
        <w:sz w:val="24"/>
        <w:szCs w:val="24"/>
        <w:u w:color="4F81BD" w:themeColor="accen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7D173689"/>
    <w:multiLevelType w:val="hybridMultilevel"/>
    <w:tmpl w:val="4B66FB92"/>
    <w:lvl w:ilvl="0" w:tplc="A156D88C">
      <w:start w:val="1"/>
      <w:numFmt w:val="bullet"/>
      <w:lvlText w:val=""/>
      <w:lvlPicBulletId w:val="0"/>
      <w:lvlJc w:val="left"/>
      <w:pPr>
        <w:ind w:left="720" w:hanging="360"/>
      </w:pPr>
      <w:rPr>
        <w:rFonts w:ascii="Symbol" w:hAnsi="Symbol" w:hint="default"/>
        <w:bCs w:val="0"/>
        <w:iCs w:val="0"/>
        <w:color w:val="auto"/>
        <w:sz w:val="24"/>
        <w:szCs w:val="24"/>
        <w:u w:color="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8"/>
  </w:num>
  <w:num w:numId="3">
    <w:abstractNumId w:val="41"/>
  </w:num>
  <w:num w:numId="4">
    <w:abstractNumId w:val="15"/>
  </w:num>
  <w:num w:numId="5">
    <w:abstractNumId w:val="19"/>
  </w:num>
  <w:num w:numId="6">
    <w:abstractNumId w:val="16"/>
  </w:num>
  <w:num w:numId="7">
    <w:abstractNumId w:val="45"/>
  </w:num>
  <w:num w:numId="8">
    <w:abstractNumId w:val="37"/>
  </w:num>
  <w:num w:numId="9">
    <w:abstractNumId w:val="31"/>
  </w:num>
  <w:num w:numId="10">
    <w:abstractNumId w:val="32"/>
  </w:num>
  <w:num w:numId="11">
    <w:abstractNumId w:val="28"/>
  </w:num>
  <w:num w:numId="12">
    <w:abstractNumId w:val="13"/>
  </w:num>
  <w:num w:numId="13">
    <w:abstractNumId w:val="23"/>
  </w:num>
  <w:num w:numId="14">
    <w:abstractNumId w:val="30"/>
  </w:num>
  <w:num w:numId="15">
    <w:abstractNumId w:val="1"/>
  </w:num>
  <w:num w:numId="16">
    <w:abstractNumId w:val="26"/>
  </w:num>
  <w:num w:numId="17">
    <w:abstractNumId w:val="40"/>
  </w:num>
  <w:num w:numId="18">
    <w:abstractNumId w:val="38"/>
  </w:num>
  <w:num w:numId="19">
    <w:abstractNumId w:val="39"/>
  </w:num>
  <w:num w:numId="20">
    <w:abstractNumId w:val="44"/>
  </w:num>
  <w:num w:numId="21">
    <w:abstractNumId w:val="29"/>
  </w:num>
  <w:num w:numId="22">
    <w:abstractNumId w:val="36"/>
  </w:num>
  <w:num w:numId="23">
    <w:abstractNumId w:val="5"/>
  </w:num>
  <w:num w:numId="24">
    <w:abstractNumId w:val="8"/>
  </w:num>
  <w:num w:numId="25">
    <w:abstractNumId w:val="24"/>
  </w:num>
  <w:num w:numId="26">
    <w:abstractNumId w:val="20"/>
  </w:num>
  <w:num w:numId="27">
    <w:abstractNumId w:val="2"/>
  </w:num>
  <w:num w:numId="28">
    <w:abstractNumId w:val="34"/>
  </w:num>
  <w:num w:numId="29">
    <w:abstractNumId w:val="9"/>
  </w:num>
  <w:num w:numId="30">
    <w:abstractNumId w:val="17"/>
  </w:num>
  <w:num w:numId="31">
    <w:abstractNumId w:val="33"/>
  </w:num>
  <w:num w:numId="32">
    <w:abstractNumId w:val="43"/>
  </w:num>
  <w:num w:numId="33">
    <w:abstractNumId w:val="7"/>
  </w:num>
  <w:num w:numId="34">
    <w:abstractNumId w:val="10"/>
  </w:num>
  <w:num w:numId="35">
    <w:abstractNumId w:val="14"/>
  </w:num>
  <w:num w:numId="36">
    <w:abstractNumId w:val="11"/>
  </w:num>
  <w:num w:numId="37">
    <w:abstractNumId w:val="27"/>
  </w:num>
  <w:num w:numId="38">
    <w:abstractNumId w:val="12"/>
  </w:num>
  <w:num w:numId="39">
    <w:abstractNumId w:val="22"/>
  </w:num>
  <w:num w:numId="40">
    <w:abstractNumId w:val="6"/>
  </w:num>
  <w:num w:numId="41">
    <w:abstractNumId w:val="21"/>
  </w:num>
  <w:num w:numId="42">
    <w:abstractNumId w:val="0"/>
  </w:num>
  <w:num w:numId="43">
    <w:abstractNumId w:val="25"/>
  </w:num>
  <w:num w:numId="44">
    <w:abstractNumId w:val="35"/>
  </w:num>
  <w:num w:numId="45">
    <w:abstractNumId w:val="42"/>
  </w:num>
  <w:num w:numId="46">
    <w:abstractNumId w:val="3"/>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drawingGridHorizontalSpacing w:val="110"/>
  <w:displayHorizontalDrawingGridEvery w:val="2"/>
  <w:characterSpacingControl w:val="doNotCompress"/>
  <w:savePreviewPicture/>
  <w:hdrShapeDefaults>
    <o:shapedefaults v:ext="edit" spidmax="4098"/>
  </w:hdrShapeDefaults>
  <w:footnotePr>
    <w:footnote w:id="-1"/>
    <w:footnote w:id="0"/>
  </w:footnotePr>
  <w:endnotePr>
    <w:endnote w:id="-1"/>
    <w:endnote w:id="0"/>
  </w:endnotePr>
  <w:compat/>
  <w:rsids>
    <w:rsidRoot w:val="00447031"/>
    <w:rsid w:val="00002112"/>
    <w:rsid w:val="00031C1D"/>
    <w:rsid w:val="00031FF8"/>
    <w:rsid w:val="0004539C"/>
    <w:rsid w:val="00073E1C"/>
    <w:rsid w:val="00075FF1"/>
    <w:rsid w:val="00082B6E"/>
    <w:rsid w:val="000C7782"/>
    <w:rsid w:val="000E523F"/>
    <w:rsid w:val="000F7F3E"/>
    <w:rsid w:val="001273CD"/>
    <w:rsid w:val="00136A95"/>
    <w:rsid w:val="001411C6"/>
    <w:rsid w:val="0014343A"/>
    <w:rsid w:val="0014790D"/>
    <w:rsid w:val="0016744B"/>
    <w:rsid w:val="00192011"/>
    <w:rsid w:val="001B0E2C"/>
    <w:rsid w:val="001B43A8"/>
    <w:rsid w:val="001C0BC8"/>
    <w:rsid w:val="001E6FAF"/>
    <w:rsid w:val="00227135"/>
    <w:rsid w:val="002324C7"/>
    <w:rsid w:val="002605C1"/>
    <w:rsid w:val="00264F70"/>
    <w:rsid w:val="00274714"/>
    <w:rsid w:val="00276A72"/>
    <w:rsid w:val="002831B7"/>
    <w:rsid w:val="00284296"/>
    <w:rsid w:val="0029002D"/>
    <w:rsid w:val="002943E2"/>
    <w:rsid w:val="002C2222"/>
    <w:rsid w:val="002D4330"/>
    <w:rsid w:val="002D7AE6"/>
    <w:rsid w:val="002E3C3B"/>
    <w:rsid w:val="002F4C2E"/>
    <w:rsid w:val="00300C17"/>
    <w:rsid w:val="003252E3"/>
    <w:rsid w:val="00333681"/>
    <w:rsid w:val="00334A02"/>
    <w:rsid w:val="00337945"/>
    <w:rsid w:val="003527D5"/>
    <w:rsid w:val="00360EED"/>
    <w:rsid w:val="0036516F"/>
    <w:rsid w:val="00390004"/>
    <w:rsid w:val="003D7549"/>
    <w:rsid w:val="003E0D66"/>
    <w:rsid w:val="003E5752"/>
    <w:rsid w:val="003E5C70"/>
    <w:rsid w:val="003F0C14"/>
    <w:rsid w:val="003F76C0"/>
    <w:rsid w:val="004118C2"/>
    <w:rsid w:val="00437590"/>
    <w:rsid w:val="00441056"/>
    <w:rsid w:val="00447031"/>
    <w:rsid w:val="00450B5A"/>
    <w:rsid w:val="00452319"/>
    <w:rsid w:val="00457DB3"/>
    <w:rsid w:val="00462DB4"/>
    <w:rsid w:val="00472062"/>
    <w:rsid w:val="00475394"/>
    <w:rsid w:val="00477F18"/>
    <w:rsid w:val="00480E65"/>
    <w:rsid w:val="004838D2"/>
    <w:rsid w:val="00497643"/>
    <w:rsid w:val="004D32A5"/>
    <w:rsid w:val="004D4716"/>
    <w:rsid w:val="004E3065"/>
    <w:rsid w:val="00501971"/>
    <w:rsid w:val="00527602"/>
    <w:rsid w:val="00531CFD"/>
    <w:rsid w:val="00533614"/>
    <w:rsid w:val="00554260"/>
    <w:rsid w:val="00582ACF"/>
    <w:rsid w:val="00590D01"/>
    <w:rsid w:val="005937AB"/>
    <w:rsid w:val="005A546D"/>
    <w:rsid w:val="005B2E30"/>
    <w:rsid w:val="005C572B"/>
    <w:rsid w:val="005D4AF5"/>
    <w:rsid w:val="005D5603"/>
    <w:rsid w:val="005E3AAB"/>
    <w:rsid w:val="005F3B50"/>
    <w:rsid w:val="005F75B2"/>
    <w:rsid w:val="00607048"/>
    <w:rsid w:val="00626A29"/>
    <w:rsid w:val="006322B0"/>
    <w:rsid w:val="00641888"/>
    <w:rsid w:val="006604EC"/>
    <w:rsid w:val="00686A96"/>
    <w:rsid w:val="006A7DA3"/>
    <w:rsid w:val="006B5077"/>
    <w:rsid w:val="006B77F6"/>
    <w:rsid w:val="006D38BC"/>
    <w:rsid w:val="006D5F32"/>
    <w:rsid w:val="006E02DC"/>
    <w:rsid w:val="006E3B88"/>
    <w:rsid w:val="00700AEF"/>
    <w:rsid w:val="00746C91"/>
    <w:rsid w:val="00754351"/>
    <w:rsid w:val="00762BF4"/>
    <w:rsid w:val="007B4EB7"/>
    <w:rsid w:val="007B7A5C"/>
    <w:rsid w:val="007C3B0D"/>
    <w:rsid w:val="007D3986"/>
    <w:rsid w:val="007D76D3"/>
    <w:rsid w:val="007F2AE2"/>
    <w:rsid w:val="007F6540"/>
    <w:rsid w:val="007F7DCB"/>
    <w:rsid w:val="00816604"/>
    <w:rsid w:val="008379F7"/>
    <w:rsid w:val="00852204"/>
    <w:rsid w:val="00873053"/>
    <w:rsid w:val="00876EED"/>
    <w:rsid w:val="00894E99"/>
    <w:rsid w:val="008A42C1"/>
    <w:rsid w:val="008B754F"/>
    <w:rsid w:val="008E252E"/>
    <w:rsid w:val="00905B29"/>
    <w:rsid w:val="00910E38"/>
    <w:rsid w:val="00924F28"/>
    <w:rsid w:val="00925B97"/>
    <w:rsid w:val="00945FF8"/>
    <w:rsid w:val="00947E82"/>
    <w:rsid w:val="009508CB"/>
    <w:rsid w:val="009640D0"/>
    <w:rsid w:val="009673F0"/>
    <w:rsid w:val="00970AAE"/>
    <w:rsid w:val="009768F4"/>
    <w:rsid w:val="00977C43"/>
    <w:rsid w:val="009927E4"/>
    <w:rsid w:val="009B7C5C"/>
    <w:rsid w:val="009E04E4"/>
    <w:rsid w:val="00A04A59"/>
    <w:rsid w:val="00A04F7D"/>
    <w:rsid w:val="00A10806"/>
    <w:rsid w:val="00A2215D"/>
    <w:rsid w:val="00A37C90"/>
    <w:rsid w:val="00A71BFA"/>
    <w:rsid w:val="00A76DEB"/>
    <w:rsid w:val="00A851CA"/>
    <w:rsid w:val="00A8564C"/>
    <w:rsid w:val="00A90021"/>
    <w:rsid w:val="00A96049"/>
    <w:rsid w:val="00AB4A07"/>
    <w:rsid w:val="00AE11D2"/>
    <w:rsid w:val="00AE6F1D"/>
    <w:rsid w:val="00B27DAA"/>
    <w:rsid w:val="00B3369E"/>
    <w:rsid w:val="00B57599"/>
    <w:rsid w:val="00B578BB"/>
    <w:rsid w:val="00B65573"/>
    <w:rsid w:val="00B83FF9"/>
    <w:rsid w:val="00BA6A1B"/>
    <w:rsid w:val="00BB428F"/>
    <w:rsid w:val="00BC27E9"/>
    <w:rsid w:val="00BD01DA"/>
    <w:rsid w:val="00BD3344"/>
    <w:rsid w:val="00BD414D"/>
    <w:rsid w:val="00BE5B9E"/>
    <w:rsid w:val="00C022D1"/>
    <w:rsid w:val="00C07E7B"/>
    <w:rsid w:val="00C23858"/>
    <w:rsid w:val="00C2765F"/>
    <w:rsid w:val="00C51A1D"/>
    <w:rsid w:val="00C577D8"/>
    <w:rsid w:val="00C623BE"/>
    <w:rsid w:val="00CA683F"/>
    <w:rsid w:val="00CB1A34"/>
    <w:rsid w:val="00CC6AD2"/>
    <w:rsid w:val="00CD4EC2"/>
    <w:rsid w:val="00CE7965"/>
    <w:rsid w:val="00CF2BA1"/>
    <w:rsid w:val="00CF2C0B"/>
    <w:rsid w:val="00CF497A"/>
    <w:rsid w:val="00CF6083"/>
    <w:rsid w:val="00D01BB5"/>
    <w:rsid w:val="00D05831"/>
    <w:rsid w:val="00D23878"/>
    <w:rsid w:val="00D5175F"/>
    <w:rsid w:val="00DB1124"/>
    <w:rsid w:val="00DC4A68"/>
    <w:rsid w:val="00DD42B5"/>
    <w:rsid w:val="00DE4F93"/>
    <w:rsid w:val="00E00D79"/>
    <w:rsid w:val="00E22EBE"/>
    <w:rsid w:val="00E2572A"/>
    <w:rsid w:val="00E5038F"/>
    <w:rsid w:val="00E5133D"/>
    <w:rsid w:val="00E666F2"/>
    <w:rsid w:val="00E679FE"/>
    <w:rsid w:val="00E7252E"/>
    <w:rsid w:val="00E73ED7"/>
    <w:rsid w:val="00E83532"/>
    <w:rsid w:val="00E86C9A"/>
    <w:rsid w:val="00E94E72"/>
    <w:rsid w:val="00EA54BD"/>
    <w:rsid w:val="00EB44C9"/>
    <w:rsid w:val="00EC10F2"/>
    <w:rsid w:val="00EC5665"/>
    <w:rsid w:val="00ED1FCB"/>
    <w:rsid w:val="00ED4467"/>
    <w:rsid w:val="00ED7156"/>
    <w:rsid w:val="00EE33DA"/>
    <w:rsid w:val="00EE59B3"/>
    <w:rsid w:val="00EF1D4F"/>
    <w:rsid w:val="00EF5842"/>
    <w:rsid w:val="00F0228C"/>
    <w:rsid w:val="00F13E76"/>
    <w:rsid w:val="00F21CD5"/>
    <w:rsid w:val="00F61934"/>
    <w:rsid w:val="00F711C3"/>
    <w:rsid w:val="00F94502"/>
    <w:rsid w:val="00FA1F5C"/>
    <w:rsid w:val="00FC2F53"/>
    <w:rsid w:val="00FD389D"/>
    <w:rsid w:val="00FF2333"/>
  </w:rsids>
  <m:mathPr>
    <m:mathFont m:val="Cambria Math"/>
    <m:brkBin m:val="before"/>
    <m:brkBinSub m:val="--"/>
    <m:smallFrac m:val="off"/>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716"/>
  </w:style>
  <w:style w:type="paragraph" w:styleId="Heading1">
    <w:name w:val="heading 1"/>
    <w:basedOn w:val="Normal"/>
    <w:next w:val="Normal"/>
    <w:link w:val="Heading1Char"/>
    <w:uiPriority w:val="9"/>
    <w:qFormat/>
    <w:rsid w:val="005D5603"/>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next w:val="Normal"/>
    <w:link w:val="Heading2Char"/>
    <w:uiPriority w:val="9"/>
    <w:unhideWhenUsed/>
    <w:qFormat/>
    <w:rsid w:val="005D5603"/>
    <w:pPr>
      <w:keepNext/>
      <w:keepLines/>
      <w:spacing w:before="200" w:after="0"/>
      <w:outlineLvl w:val="1"/>
    </w:pPr>
    <w:rPr>
      <w:rFonts w:asciiTheme="majorHAnsi" w:eastAsiaTheme="majorEastAsia" w:hAnsiTheme="majorHAnsi" w:cstheme="majorBidi"/>
      <w:b/>
      <w:bCs/>
      <w:color w:val="4F81BD" w:themeColor="accent1"/>
      <w:sz w:val="26"/>
      <w:szCs w:val="33"/>
    </w:rPr>
  </w:style>
  <w:style w:type="paragraph" w:styleId="Heading3">
    <w:name w:val="heading 3"/>
    <w:basedOn w:val="Normal"/>
    <w:next w:val="Normal"/>
    <w:link w:val="Heading3Char"/>
    <w:uiPriority w:val="9"/>
    <w:unhideWhenUsed/>
    <w:qFormat/>
    <w:rsid w:val="005D560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3369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3369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B3369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B3369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3369E"/>
    <w:pPr>
      <w:keepNext/>
      <w:keepLines/>
      <w:spacing w:before="200" w:after="0"/>
      <w:outlineLvl w:val="7"/>
    </w:pPr>
    <w:rPr>
      <w:rFonts w:asciiTheme="majorHAnsi" w:eastAsiaTheme="majorEastAsia" w:hAnsiTheme="majorHAnsi" w:cstheme="majorBidi"/>
      <w:color w:val="404040" w:themeColor="text1" w:themeTint="BF"/>
      <w:sz w:val="20"/>
      <w:szCs w:val="25"/>
    </w:rPr>
  </w:style>
  <w:style w:type="paragraph" w:styleId="Heading9">
    <w:name w:val="heading 9"/>
    <w:basedOn w:val="Normal"/>
    <w:next w:val="Normal"/>
    <w:link w:val="Heading9Char"/>
    <w:uiPriority w:val="9"/>
    <w:unhideWhenUsed/>
    <w:qFormat/>
    <w:rsid w:val="00B3369E"/>
    <w:pPr>
      <w:keepNext/>
      <w:keepLines/>
      <w:spacing w:before="200" w:after="0"/>
      <w:outlineLvl w:val="8"/>
    </w:pPr>
    <w:rPr>
      <w:rFonts w:asciiTheme="majorHAnsi" w:eastAsiaTheme="majorEastAsia" w:hAnsiTheme="majorHAnsi" w:cstheme="majorBidi"/>
      <w:i/>
      <w:iCs/>
      <w:color w:val="404040" w:themeColor="text1" w:themeTint="BF"/>
      <w:sz w:val="20"/>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031"/>
  </w:style>
  <w:style w:type="paragraph" w:styleId="Footer">
    <w:name w:val="footer"/>
    <w:basedOn w:val="Normal"/>
    <w:link w:val="FooterChar"/>
    <w:uiPriority w:val="99"/>
    <w:unhideWhenUsed/>
    <w:rsid w:val="00447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031"/>
  </w:style>
  <w:style w:type="paragraph" w:styleId="HTMLPreformatted">
    <w:name w:val="HTML Preformatted"/>
    <w:basedOn w:val="Normal"/>
    <w:link w:val="HTMLPreformattedChar"/>
    <w:uiPriority w:val="99"/>
    <w:unhideWhenUsed/>
    <w:rsid w:val="000E5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E523F"/>
    <w:rPr>
      <w:rFonts w:ascii="Courier New" w:eastAsia="Times New Roman" w:hAnsi="Courier New" w:cs="Courier New"/>
      <w:sz w:val="20"/>
      <w:szCs w:val="20"/>
    </w:rPr>
  </w:style>
  <w:style w:type="table" w:styleId="TableGrid">
    <w:name w:val="Table Grid"/>
    <w:basedOn w:val="TableNormal"/>
    <w:uiPriority w:val="59"/>
    <w:rsid w:val="00686A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252E3"/>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3252E3"/>
    <w:rPr>
      <w:rFonts w:ascii="Tahoma" w:hAnsi="Tahoma" w:cs="Tahoma"/>
      <w:sz w:val="16"/>
      <w:szCs w:val="20"/>
    </w:rPr>
  </w:style>
  <w:style w:type="character" w:customStyle="1" w:styleId="Heading1Char">
    <w:name w:val="Heading 1 Char"/>
    <w:basedOn w:val="DefaultParagraphFont"/>
    <w:link w:val="Heading1"/>
    <w:uiPriority w:val="9"/>
    <w:rsid w:val="005D5603"/>
    <w:rPr>
      <w:rFonts w:asciiTheme="majorHAnsi" w:eastAsiaTheme="majorEastAsia" w:hAnsiTheme="majorHAnsi" w:cstheme="majorBidi"/>
      <w:b/>
      <w:bCs/>
      <w:color w:val="365F91" w:themeColor="accent1" w:themeShade="BF"/>
      <w:sz w:val="28"/>
      <w:szCs w:val="35"/>
    </w:rPr>
  </w:style>
  <w:style w:type="character" w:customStyle="1" w:styleId="Heading2Char">
    <w:name w:val="Heading 2 Char"/>
    <w:basedOn w:val="DefaultParagraphFont"/>
    <w:link w:val="Heading2"/>
    <w:uiPriority w:val="9"/>
    <w:rsid w:val="005D5603"/>
    <w:rPr>
      <w:rFonts w:asciiTheme="majorHAnsi" w:eastAsiaTheme="majorEastAsia" w:hAnsiTheme="majorHAnsi" w:cstheme="majorBidi"/>
      <w:b/>
      <w:bCs/>
      <w:color w:val="4F81BD" w:themeColor="accent1"/>
      <w:sz w:val="26"/>
      <w:szCs w:val="33"/>
    </w:rPr>
  </w:style>
  <w:style w:type="character" w:customStyle="1" w:styleId="Heading3Char">
    <w:name w:val="Heading 3 Char"/>
    <w:basedOn w:val="DefaultParagraphFont"/>
    <w:link w:val="Heading3"/>
    <w:uiPriority w:val="9"/>
    <w:rsid w:val="005D5603"/>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qFormat/>
    <w:rsid w:val="00D5175F"/>
    <w:pPr>
      <w:spacing w:before="120" w:after="120"/>
    </w:pPr>
    <w:rPr>
      <w:rFonts w:cs="Vrinda"/>
      <w:b/>
      <w:bCs/>
      <w:caps/>
      <w:sz w:val="20"/>
      <w:szCs w:val="20"/>
    </w:rPr>
  </w:style>
  <w:style w:type="paragraph" w:styleId="TOC2">
    <w:name w:val="toc 2"/>
    <w:basedOn w:val="Normal"/>
    <w:next w:val="Normal"/>
    <w:autoRedefine/>
    <w:uiPriority w:val="39"/>
    <w:unhideWhenUsed/>
    <w:qFormat/>
    <w:rsid w:val="00D5175F"/>
    <w:pPr>
      <w:spacing w:after="0"/>
      <w:ind w:left="220"/>
    </w:pPr>
    <w:rPr>
      <w:rFonts w:cs="Vrinda"/>
      <w:smallCaps/>
      <w:sz w:val="20"/>
      <w:szCs w:val="20"/>
    </w:rPr>
  </w:style>
  <w:style w:type="character" w:styleId="Hyperlink">
    <w:name w:val="Hyperlink"/>
    <w:basedOn w:val="DefaultParagraphFont"/>
    <w:uiPriority w:val="99"/>
    <w:unhideWhenUsed/>
    <w:rsid w:val="00D5175F"/>
    <w:rPr>
      <w:color w:val="0000FF" w:themeColor="hyperlink"/>
      <w:u w:val="single"/>
    </w:rPr>
  </w:style>
  <w:style w:type="paragraph" w:styleId="TOC3">
    <w:name w:val="toc 3"/>
    <w:basedOn w:val="Normal"/>
    <w:next w:val="Normal"/>
    <w:autoRedefine/>
    <w:uiPriority w:val="39"/>
    <w:unhideWhenUsed/>
    <w:qFormat/>
    <w:rsid w:val="00D5175F"/>
    <w:pPr>
      <w:spacing w:after="0"/>
      <w:ind w:left="440"/>
    </w:pPr>
    <w:rPr>
      <w:rFonts w:cs="Vrinda"/>
      <w:i/>
      <w:iCs/>
      <w:sz w:val="20"/>
      <w:szCs w:val="20"/>
    </w:rPr>
  </w:style>
  <w:style w:type="paragraph" w:styleId="TableofFigures">
    <w:name w:val="table of figures"/>
    <w:basedOn w:val="Normal"/>
    <w:next w:val="Normal"/>
    <w:uiPriority w:val="99"/>
    <w:unhideWhenUsed/>
    <w:rsid w:val="00A04A59"/>
    <w:pPr>
      <w:spacing w:after="0"/>
    </w:pPr>
  </w:style>
  <w:style w:type="character" w:customStyle="1" w:styleId="Heading4Char">
    <w:name w:val="Heading 4 Char"/>
    <w:basedOn w:val="DefaultParagraphFont"/>
    <w:link w:val="Heading4"/>
    <w:uiPriority w:val="9"/>
    <w:rsid w:val="00B3369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B3369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B3369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B3369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3369E"/>
    <w:rPr>
      <w:rFonts w:asciiTheme="majorHAnsi" w:eastAsiaTheme="majorEastAsia" w:hAnsiTheme="majorHAnsi" w:cstheme="majorBidi"/>
      <w:color w:val="404040" w:themeColor="text1" w:themeTint="BF"/>
      <w:sz w:val="20"/>
      <w:szCs w:val="25"/>
    </w:rPr>
  </w:style>
  <w:style w:type="character" w:customStyle="1" w:styleId="Heading9Char">
    <w:name w:val="Heading 9 Char"/>
    <w:basedOn w:val="DefaultParagraphFont"/>
    <w:link w:val="Heading9"/>
    <w:uiPriority w:val="9"/>
    <w:rsid w:val="00B3369E"/>
    <w:rPr>
      <w:rFonts w:asciiTheme="majorHAnsi" w:eastAsiaTheme="majorEastAsia" w:hAnsiTheme="majorHAnsi" w:cstheme="majorBidi"/>
      <w:i/>
      <w:iCs/>
      <w:color w:val="404040" w:themeColor="text1" w:themeTint="BF"/>
      <w:sz w:val="20"/>
      <w:szCs w:val="25"/>
    </w:rPr>
  </w:style>
  <w:style w:type="paragraph" w:styleId="TOCHeading">
    <w:name w:val="TOC Heading"/>
    <w:basedOn w:val="Heading1"/>
    <w:next w:val="Normal"/>
    <w:uiPriority w:val="39"/>
    <w:unhideWhenUsed/>
    <w:qFormat/>
    <w:rsid w:val="00B3369E"/>
    <w:pPr>
      <w:outlineLvl w:val="9"/>
    </w:pPr>
    <w:rPr>
      <w:szCs w:val="28"/>
      <w:lang w:bidi="ar-SA"/>
    </w:rPr>
  </w:style>
  <w:style w:type="paragraph" w:customStyle="1" w:styleId="Default">
    <w:name w:val="Default"/>
    <w:rsid w:val="00B3369E"/>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link w:val="CaptionChar"/>
    <w:uiPriority w:val="35"/>
    <w:unhideWhenUsed/>
    <w:qFormat/>
    <w:rsid w:val="00B3369E"/>
    <w:pPr>
      <w:spacing w:line="240" w:lineRule="auto"/>
    </w:pPr>
    <w:rPr>
      <w:b/>
      <w:bCs/>
      <w:color w:val="4F81BD" w:themeColor="accent1"/>
      <w:sz w:val="18"/>
      <w:szCs w:val="22"/>
    </w:rPr>
  </w:style>
  <w:style w:type="paragraph" w:styleId="NoSpacing">
    <w:name w:val="No Spacing"/>
    <w:uiPriority w:val="1"/>
    <w:qFormat/>
    <w:rsid w:val="00B3369E"/>
    <w:pPr>
      <w:spacing w:after="0" w:line="240" w:lineRule="auto"/>
    </w:pPr>
  </w:style>
  <w:style w:type="paragraph" w:styleId="ListParagraph">
    <w:name w:val="List Paragraph"/>
    <w:basedOn w:val="Normal"/>
    <w:uiPriority w:val="34"/>
    <w:qFormat/>
    <w:rsid w:val="00B3369E"/>
    <w:pPr>
      <w:ind w:left="720"/>
      <w:contextualSpacing/>
    </w:pPr>
  </w:style>
  <w:style w:type="character" w:styleId="PlaceholderText">
    <w:name w:val="Placeholder Text"/>
    <w:basedOn w:val="DefaultParagraphFont"/>
    <w:uiPriority w:val="99"/>
    <w:semiHidden/>
    <w:rsid w:val="00B3369E"/>
    <w:rPr>
      <w:color w:val="808080"/>
    </w:rPr>
  </w:style>
  <w:style w:type="paragraph" w:styleId="TOC4">
    <w:name w:val="toc 4"/>
    <w:basedOn w:val="Normal"/>
    <w:next w:val="Normal"/>
    <w:autoRedefine/>
    <w:uiPriority w:val="39"/>
    <w:unhideWhenUsed/>
    <w:rsid w:val="00B3369E"/>
    <w:pPr>
      <w:spacing w:after="0"/>
      <w:ind w:left="660"/>
    </w:pPr>
    <w:rPr>
      <w:rFonts w:cs="Vrinda"/>
      <w:sz w:val="18"/>
      <w:szCs w:val="18"/>
    </w:rPr>
  </w:style>
  <w:style w:type="paragraph" w:styleId="TOC5">
    <w:name w:val="toc 5"/>
    <w:basedOn w:val="Normal"/>
    <w:next w:val="Normal"/>
    <w:autoRedefine/>
    <w:uiPriority w:val="39"/>
    <w:unhideWhenUsed/>
    <w:rsid w:val="00B3369E"/>
    <w:pPr>
      <w:spacing w:after="0"/>
      <w:ind w:left="880"/>
    </w:pPr>
    <w:rPr>
      <w:rFonts w:cs="Vrinda"/>
      <w:sz w:val="18"/>
      <w:szCs w:val="18"/>
    </w:rPr>
  </w:style>
  <w:style w:type="paragraph" w:styleId="TOC6">
    <w:name w:val="toc 6"/>
    <w:basedOn w:val="Normal"/>
    <w:next w:val="Normal"/>
    <w:autoRedefine/>
    <w:uiPriority w:val="39"/>
    <w:unhideWhenUsed/>
    <w:rsid w:val="00B3369E"/>
    <w:pPr>
      <w:spacing w:after="0"/>
      <w:ind w:left="1100"/>
    </w:pPr>
    <w:rPr>
      <w:rFonts w:cs="Vrinda"/>
      <w:sz w:val="18"/>
      <w:szCs w:val="18"/>
    </w:rPr>
  </w:style>
  <w:style w:type="paragraph" w:styleId="TOC7">
    <w:name w:val="toc 7"/>
    <w:basedOn w:val="Normal"/>
    <w:next w:val="Normal"/>
    <w:autoRedefine/>
    <w:uiPriority w:val="39"/>
    <w:unhideWhenUsed/>
    <w:rsid w:val="00B3369E"/>
    <w:pPr>
      <w:spacing w:after="0"/>
      <w:ind w:left="1320"/>
    </w:pPr>
    <w:rPr>
      <w:rFonts w:cs="Vrinda"/>
      <w:sz w:val="18"/>
      <w:szCs w:val="18"/>
    </w:rPr>
  </w:style>
  <w:style w:type="paragraph" w:styleId="TOC8">
    <w:name w:val="toc 8"/>
    <w:basedOn w:val="Normal"/>
    <w:next w:val="Normal"/>
    <w:autoRedefine/>
    <w:uiPriority w:val="39"/>
    <w:unhideWhenUsed/>
    <w:rsid w:val="00B3369E"/>
    <w:pPr>
      <w:spacing w:after="0"/>
      <w:ind w:left="1540"/>
    </w:pPr>
    <w:rPr>
      <w:rFonts w:cs="Vrinda"/>
      <w:sz w:val="18"/>
      <w:szCs w:val="18"/>
    </w:rPr>
  </w:style>
  <w:style w:type="paragraph" w:styleId="TOC9">
    <w:name w:val="toc 9"/>
    <w:basedOn w:val="Normal"/>
    <w:next w:val="Normal"/>
    <w:autoRedefine/>
    <w:uiPriority w:val="39"/>
    <w:unhideWhenUsed/>
    <w:rsid w:val="00B3369E"/>
    <w:pPr>
      <w:spacing w:after="0"/>
      <w:ind w:left="1760"/>
    </w:pPr>
    <w:rPr>
      <w:rFonts w:cs="Vrinda"/>
      <w:sz w:val="18"/>
      <w:szCs w:val="18"/>
    </w:rPr>
  </w:style>
  <w:style w:type="paragraph" w:customStyle="1" w:styleId="Tables">
    <w:name w:val="Tables"/>
    <w:basedOn w:val="Normal"/>
    <w:link w:val="TablesChar"/>
    <w:autoRedefine/>
    <w:qFormat/>
    <w:rsid w:val="00B3369E"/>
    <w:pPr>
      <w:spacing w:after="0"/>
    </w:pPr>
    <w:rPr>
      <w:rFonts w:ascii="Times New Roman" w:hAnsi="Times New Roman" w:cs="Times New Roman"/>
      <w:b/>
      <w:bCs/>
      <w:sz w:val="20"/>
      <w:szCs w:val="20"/>
    </w:rPr>
  </w:style>
  <w:style w:type="paragraph" w:customStyle="1" w:styleId="Figures">
    <w:name w:val="Figures"/>
    <w:basedOn w:val="Caption"/>
    <w:next w:val="Normal"/>
    <w:link w:val="FiguresChar"/>
    <w:autoRedefine/>
    <w:qFormat/>
    <w:rsid w:val="00B3369E"/>
    <w:pPr>
      <w:spacing w:after="0"/>
      <w:jc w:val="center"/>
    </w:pPr>
    <w:rPr>
      <w:rFonts w:ascii="Times New Roman" w:hAnsi="Times New Roman" w:cs="Times New Roman"/>
      <w:color w:val="auto"/>
      <w:sz w:val="20"/>
      <w:szCs w:val="20"/>
    </w:rPr>
  </w:style>
  <w:style w:type="character" w:customStyle="1" w:styleId="TablesChar">
    <w:name w:val="Tables Char"/>
    <w:basedOn w:val="DefaultParagraphFont"/>
    <w:link w:val="Tables"/>
    <w:rsid w:val="00B3369E"/>
    <w:rPr>
      <w:rFonts w:ascii="Times New Roman" w:hAnsi="Times New Roman" w:cs="Times New Roman"/>
      <w:b/>
      <w:bCs/>
      <w:sz w:val="20"/>
      <w:szCs w:val="20"/>
    </w:rPr>
  </w:style>
  <w:style w:type="character" w:customStyle="1" w:styleId="CaptionChar">
    <w:name w:val="Caption Char"/>
    <w:basedOn w:val="DefaultParagraphFont"/>
    <w:link w:val="Caption"/>
    <w:uiPriority w:val="35"/>
    <w:rsid w:val="00B3369E"/>
    <w:rPr>
      <w:b/>
      <w:bCs/>
      <w:color w:val="4F81BD" w:themeColor="accent1"/>
      <w:sz w:val="18"/>
      <w:szCs w:val="22"/>
    </w:rPr>
  </w:style>
  <w:style w:type="character" w:customStyle="1" w:styleId="FiguresChar">
    <w:name w:val="Figures Char"/>
    <w:basedOn w:val="CaptionChar"/>
    <w:link w:val="Figures"/>
    <w:rsid w:val="00B3369E"/>
    <w:rPr>
      <w:rFonts w:ascii="Times New Roman" w:hAnsi="Times New Roman" w:cs="Times New Roman"/>
      <w:b/>
      <w:bCs/>
      <w:color w:val="4F81BD" w:themeColor="accent1"/>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7653921">
      <w:bodyDiv w:val="1"/>
      <w:marLeft w:val="0"/>
      <w:marRight w:val="0"/>
      <w:marTop w:val="0"/>
      <w:marBottom w:val="0"/>
      <w:divBdr>
        <w:top w:val="none" w:sz="0" w:space="0" w:color="auto"/>
        <w:left w:val="none" w:sz="0" w:space="0" w:color="auto"/>
        <w:bottom w:val="none" w:sz="0" w:space="0" w:color="auto"/>
        <w:right w:val="none" w:sz="0" w:space="0" w:color="auto"/>
      </w:divBdr>
    </w:div>
    <w:div w:id="87965582">
      <w:bodyDiv w:val="1"/>
      <w:marLeft w:val="0"/>
      <w:marRight w:val="0"/>
      <w:marTop w:val="0"/>
      <w:marBottom w:val="0"/>
      <w:divBdr>
        <w:top w:val="none" w:sz="0" w:space="0" w:color="auto"/>
        <w:left w:val="none" w:sz="0" w:space="0" w:color="auto"/>
        <w:bottom w:val="none" w:sz="0" w:space="0" w:color="auto"/>
        <w:right w:val="none" w:sz="0" w:space="0" w:color="auto"/>
      </w:divBdr>
    </w:div>
    <w:div w:id="128745254">
      <w:bodyDiv w:val="1"/>
      <w:marLeft w:val="0"/>
      <w:marRight w:val="0"/>
      <w:marTop w:val="0"/>
      <w:marBottom w:val="0"/>
      <w:divBdr>
        <w:top w:val="none" w:sz="0" w:space="0" w:color="auto"/>
        <w:left w:val="none" w:sz="0" w:space="0" w:color="auto"/>
        <w:bottom w:val="none" w:sz="0" w:space="0" w:color="auto"/>
        <w:right w:val="none" w:sz="0" w:space="0" w:color="auto"/>
      </w:divBdr>
    </w:div>
    <w:div w:id="132254081">
      <w:bodyDiv w:val="1"/>
      <w:marLeft w:val="0"/>
      <w:marRight w:val="0"/>
      <w:marTop w:val="0"/>
      <w:marBottom w:val="0"/>
      <w:divBdr>
        <w:top w:val="none" w:sz="0" w:space="0" w:color="auto"/>
        <w:left w:val="none" w:sz="0" w:space="0" w:color="auto"/>
        <w:bottom w:val="none" w:sz="0" w:space="0" w:color="auto"/>
        <w:right w:val="none" w:sz="0" w:space="0" w:color="auto"/>
      </w:divBdr>
    </w:div>
    <w:div w:id="163206277">
      <w:bodyDiv w:val="1"/>
      <w:marLeft w:val="0"/>
      <w:marRight w:val="0"/>
      <w:marTop w:val="0"/>
      <w:marBottom w:val="0"/>
      <w:divBdr>
        <w:top w:val="none" w:sz="0" w:space="0" w:color="auto"/>
        <w:left w:val="none" w:sz="0" w:space="0" w:color="auto"/>
        <w:bottom w:val="none" w:sz="0" w:space="0" w:color="auto"/>
        <w:right w:val="none" w:sz="0" w:space="0" w:color="auto"/>
      </w:divBdr>
    </w:div>
    <w:div w:id="184638411">
      <w:bodyDiv w:val="1"/>
      <w:marLeft w:val="0"/>
      <w:marRight w:val="0"/>
      <w:marTop w:val="0"/>
      <w:marBottom w:val="0"/>
      <w:divBdr>
        <w:top w:val="none" w:sz="0" w:space="0" w:color="auto"/>
        <w:left w:val="none" w:sz="0" w:space="0" w:color="auto"/>
        <w:bottom w:val="none" w:sz="0" w:space="0" w:color="auto"/>
        <w:right w:val="none" w:sz="0" w:space="0" w:color="auto"/>
      </w:divBdr>
    </w:div>
    <w:div w:id="204416304">
      <w:bodyDiv w:val="1"/>
      <w:marLeft w:val="0"/>
      <w:marRight w:val="0"/>
      <w:marTop w:val="0"/>
      <w:marBottom w:val="0"/>
      <w:divBdr>
        <w:top w:val="none" w:sz="0" w:space="0" w:color="auto"/>
        <w:left w:val="none" w:sz="0" w:space="0" w:color="auto"/>
        <w:bottom w:val="none" w:sz="0" w:space="0" w:color="auto"/>
        <w:right w:val="none" w:sz="0" w:space="0" w:color="auto"/>
      </w:divBdr>
    </w:div>
    <w:div w:id="213467517">
      <w:bodyDiv w:val="1"/>
      <w:marLeft w:val="0"/>
      <w:marRight w:val="0"/>
      <w:marTop w:val="0"/>
      <w:marBottom w:val="0"/>
      <w:divBdr>
        <w:top w:val="none" w:sz="0" w:space="0" w:color="auto"/>
        <w:left w:val="none" w:sz="0" w:space="0" w:color="auto"/>
        <w:bottom w:val="none" w:sz="0" w:space="0" w:color="auto"/>
        <w:right w:val="none" w:sz="0" w:space="0" w:color="auto"/>
      </w:divBdr>
    </w:div>
    <w:div w:id="228656251">
      <w:bodyDiv w:val="1"/>
      <w:marLeft w:val="0"/>
      <w:marRight w:val="0"/>
      <w:marTop w:val="0"/>
      <w:marBottom w:val="0"/>
      <w:divBdr>
        <w:top w:val="none" w:sz="0" w:space="0" w:color="auto"/>
        <w:left w:val="none" w:sz="0" w:space="0" w:color="auto"/>
        <w:bottom w:val="none" w:sz="0" w:space="0" w:color="auto"/>
        <w:right w:val="none" w:sz="0" w:space="0" w:color="auto"/>
      </w:divBdr>
    </w:div>
    <w:div w:id="340160002">
      <w:bodyDiv w:val="1"/>
      <w:marLeft w:val="0"/>
      <w:marRight w:val="0"/>
      <w:marTop w:val="0"/>
      <w:marBottom w:val="0"/>
      <w:divBdr>
        <w:top w:val="none" w:sz="0" w:space="0" w:color="auto"/>
        <w:left w:val="none" w:sz="0" w:space="0" w:color="auto"/>
        <w:bottom w:val="none" w:sz="0" w:space="0" w:color="auto"/>
        <w:right w:val="none" w:sz="0" w:space="0" w:color="auto"/>
      </w:divBdr>
    </w:div>
    <w:div w:id="477914538">
      <w:bodyDiv w:val="1"/>
      <w:marLeft w:val="0"/>
      <w:marRight w:val="0"/>
      <w:marTop w:val="0"/>
      <w:marBottom w:val="0"/>
      <w:divBdr>
        <w:top w:val="none" w:sz="0" w:space="0" w:color="auto"/>
        <w:left w:val="none" w:sz="0" w:space="0" w:color="auto"/>
        <w:bottom w:val="none" w:sz="0" w:space="0" w:color="auto"/>
        <w:right w:val="none" w:sz="0" w:space="0" w:color="auto"/>
      </w:divBdr>
    </w:div>
    <w:div w:id="496188875">
      <w:bodyDiv w:val="1"/>
      <w:marLeft w:val="0"/>
      <w:marRight w:val="0"/>
      <w:marTop w:val="0"/>
      <w:marBottom w:val="0"/>
      <w:divBdr>
        <w:top w:val="none" w:sz="0" w:space="0" w:color="auto"/>
        <w:left w:val="none" w:sz="0" w:space="0" w:color="auto"/>
        <w:bottom w:val="none" w:sz="0" w:space="0" w:color="auto"/>
        <w:right w:val="none" w:sz="0" w:space="0" w:color="auto"/>
      </w:divBdr>
    </w:div>
    <w:div w:id="503210585">
      <w:bodyDiv w:val="1"/>
      <w:marLeft w:val="0"/>
      <w:marRight w:val="0"/>
      <w:marTop w:val="0"/>
      <w:marBottom w:val="0"/>
      <w:divBdr>
        <w:top w:val="none" w:sz="0" w:space="0" w:color="auto"/>
        <w:left w:val="none" w:sz="0" w:space="0" w:color="auto"/>
        <w:bottom w:val="none" w:sz="0" w:space="0" w:color="auto"/>
        <w:right w:val="none" w:sz="0" w:space="0" w:color="auto"/>
      </w:divBdr>
    </w:div>
    <w:div w:id="504395422">
      <w:bodyDiv w:val="1"/>
      <w:marLeft w:val="0"/>
      <w:marRight w:val="0"/>
      <w:marTop w:val="0"/>
      <w:marBottom w:val="0"/>
      <w:divBdr>
        <w:top w:val="none" w:sz="0" w:space="0" w:color="auto"/>
        <w:left w:val="none" w:sz="0" w:space="0" w:color="auto"/>
        <w:bottom w:val="none" w:sz="0" w:space="0" w:color="auto"/>
        <w:right w:val="none" w:sz="0" w:space="0" w:color="auto"/>
      </w:divBdr>
    </w:div>
    <w:div w:id="520241164">
      <w:bodyDiv w:val="1"/>
      <w:marLeft w:val="0"/>
      <w:marRight w:val="0"/>
      <w:marTop w:val="0"/>
      <w:marBottom w:val="0"/>
      <w:divBdr>
        <w:top w:val="none" w:sz="0" w:space="0" w:color="auto"/>
        <w:left w:val="none" w:sz="0" w:space="0" w:color="auto"/>
        <w:bottom w:val="none" w:sz="0" w:space="0" w:color="auto"/>
        <w:right w:val="none" w:sz="0" w:space="0" w:color="auto"/>
      </w:divBdr>
    </w:div>
    <w:div w:id="542523415">
      <w:bodyDiv w:val="1"/>
      <w:marLeft w:val="0"/>
      <w:marRight w:val="0"/>
      <w:marTop w:val="0"/>
      <w:marBottom w:val="0"/>
      <w:divBdr>
        <w:top w:val="none" w:sz="0" w:space="0" w:color="auto"/>
        <w:left w:val="none" w:sz="0" w:space="0" w:color="auto"/>
        <w:bottom w:val="none" w:sz="0" w:space="0" w:color="auto"/>
        <w:right w:val="none" w:sz="0" w:space="0" w:color="auto"/>
      </w:divBdr>
    </w:div>
    <w:div w:id="547642792">
      <w:bodyDiv w:val="1"/>
      <w:marLeft w:val="0"/>
      <w:marRight w:val="0"/>
      <w:marTop w:val="0"/>
      <w:marBottom w:val="0"/>
      <w:divBdr>
        <w:top w:val="none" w:sz="0" w:space="0" w:color="auto"/>
        <w:left w:val="none" w:sz="0" w:space="0" w:color="auto"/>
        <w:bottom w:val="none" w:sz="0" w:space="0" w:color="auto"/>
        <w:right w:val="none" w:sz="0" w:space="0" w:color="auto"/>
      </w:divBdr>
    </w:div>
    <w:div w:id="548227640">
      <w:bodyDiv w:val="1"/>
      <w:marLeft w:val="0"/>
      <w:marRight w:val="0"/>
      <w:marTop w:val="0"/>
      <w:marBottom w:val="0"/>
      <w:divBdr>
        <w:top w:val="none" w:sz="0" w:space="0" w:color="auto"/>
        <w:left w:val="none" w:sz="0" w:space="0" w:color="auto"/>
        <w:bottom w:val="none" w:sz="0" w:space="0" w:color="auto"/>
        <w:right w:val="none" w:sz="0" w:space="0" w:color="auto"/>
      </w:divBdr>
    </w:div>
    <w:div w:id="592319541">
      <w:bodyDiv w:val="1"/>
      <w:marLeft w:val="0"/>
      <w:marRight w:val="0"/>
      <w:marTop w:val="0"/>
      <w:marBottom w:val="0"/>
      <w:divBdr>
        <w:top w:val="none" w:sz="0" w:space="0" w:color="auto"/>
        <w:left w:val="none" w:sz="0" w:space="0" w:color="auto"/>
        <w:bottom w:val="none" w:sz="0" w:space="0" w:color="auto"/>
        <w:right w:val="none" w:sz="0" w:space="0" w:color="auto"/>
      </w:divBdr>
    </w:div>
    <w:div w:id="619070505">
      <w:bodyDiv w:val="1"/>
      <w:marLeft w:val="0"/>
      <w:marRight w:val="0"/>
      <w:marTop w:val="0"/>
      <w:marBottom w:val="0"/>
      <w:divBdr>
        <w:top w:val="none" w:sz="0" w:space="0" w:color="auto"/>
        <w:left w:val="none" w:sz="0" w:space="0" w:color="auto"/>
        <w:bottom w:val="none" w:sz="0" w:space="0" w:color="auto"/>
        <w:right w:val="none" w:sz="0" w:space="0" w:color="auto"/>
      </w:divBdr>
      <w:divsChild>
        <w:div w:id="824392543">
          <w:marLeft w:val="0"/>
          <w:marRight w:val="0"/>
          <w:marTop w:val="0"/>
          <w:marBottom w:val="0"/>
          <w:divBdr>
            <w:top w:val="none" w:sz="0" w:space="0" w:color="auto"/>
            <w:left w:val="none" w:sz="0" w:space="0" w:color="auto"/>
            <w:bottom w:val="none" w:sz="0" w:space="0" w:color="auto"/>
            <w:right w:val="none" w:sz="0" w:space="0" w:color="auto"/>
          </w:divBdr>
          <w:divsChild>
            <w:div w:id="597981110">
              <w:marLeft w:val="2250"/>
              <w:marRight w:val="3960"/>
              <w:marTop w:val="0"/>
              <w:marBottom w:val="0"/>
              <w:divBdr>
                <w:top w:val="none" w:sz="0" w:space="0" w:color="auto"/>
                <w:left w:val="none" w:sz="0" w:space="0" w:color="auto"/>
                <w:bottom w:val="none" w:sz="0" w:space="0" w:color="auto"/>
                <w:right w:val="none" w:sz="0" w:space="0" w:color="auto"/>
              </w:divBdr>
              <w:divsChild>
                <w:div w:id="166557141">
                  <w:marLeft w:val="0"/>
                  <w:marRight w:val="0"/>
                  <w:marTop w:val="0"/>
                  <w:marBottom w:val="0"/>
                  <w:divBdr>
                    <w:top w:val="none" w:sz="0" w:space="0" w:color="auto"/>
                    <w:left w:val="none" w:sz="0" w:space="0" w:color="auto"/>
                    <w:bottom w:val="none" w:sz="0" w:space="0" w:color="auto"/>
                    <w:right w:val="none" w:sz="0" w:space="0" w:color="auto"/>
                  </w:divBdr>
                  <w:divsChild>
                    <w:div w:id="1152257088">
                      <w:marLeft w:val="0"/>
                      <w:marRight w:val="0"/>
                      <w:marTop w:val="0"/>
                      <w:marBottom w:val="0"/>
                      <w:divBdr>
                        <w:top w:val="none" w:sz="0" w:space="0" w:color="auto"/>
                        <w:left w:val="none" w:sz="0" w:space="0" w:color="auto"/>
                        <w:bottom w:val="none" w:sz="0" w:space="0" w:color="auto"/>
                        <w:right w:val="none" w:sz="0" w:space="0" w:color="auto"/>
                      </w:divBdr>
                      <w:divsChild>
                        <w:div w:id="1890409510">
                          <w:marLeft w:val="0"/>
                          <w:marRight w:val="0"/>
                          <w:marTop w:val="0"/>
                          <w:marBottom w:val="0"/>
                          <w:divBdr>
                            <w:top w:val="none" w:sz="0" w:space="0" w:color="auto"/>
                            <w:left w:val="none" w:sz="0" w:space="0" w:color="auto"/>
                            <w:bottom w:val="none" w:sz="0" w:space="0" w:color="auto"/>
                            <w:right w:val="none" w:sz="0" w:space="0" w:color="auto"/>
                          </w:divBdr>
                          <w:divsChild>
                            <w:div w:id="1658605583">
                              <w:marLeft w:val="0"/>
                              <w:marRight w:val="0"/>
                              <w:marTop w:val="90"/>
                              <w:marBottom w:val="0"/>
                              <w:divBdr>
                                <w:top w:val="none" w:sz="0" w:space="0" w:color="auto"/>
                                <w:left w:val="none" w:sz="0" w:space="0" w:color="auto"/>
                                <w:bottom w:val="none" w:sz="0" w:space="0" w:color="auto"/>
                                <w:right w:val="none" w:sz="0" w:space="0" w:color="auto"/>
                              </w:divBdr>
                              <w:divsChild>
                                <w:div w:id="745762209">
                                  <w:marLeft w:val="0"/>
                                  <w:marRight w:val="0"/>
                                  <w:marTop w:val="0"/>
                                  <w:marBottom w:val="0"/>
                                  <w:divBdr>
                                    <w:top w:val="none" w:sz="0" w:space="0" w:color="auto"/>
                                    <w:left w:val="none" w:sz="0" w:space="0" w:color="auto"/>
                                    <w:bottom w:val="none" w:sz="0" w:space="0" w:color="auto"/>
                                    <w:right w:val="none" w:sz="0" w:space="0" w:color="auto"/>
                                  </w:divBdr>
                                  <w:divsChild>
                                    <w:div w:id="1507751366">
                                      <w:marLeft w:val="0"/>
                                      <w:marRight w:val="0"/>
                                      <w:marTop w:val="0"/>
                                      <w:marBottom w:val="0"/>
                                      <w:divBdr>
                                        <w:top w:val="none" w:sz="0" w:space="0" w:color="auto"/>
                                        <w:left w:val="none" w:sz="0" w:space="0" w:color="auto"/>
                                        <w:bottom w:val="none" w:sz="0" w:space="0" w:color="auto"/>
                                        <w:right w:val="none" w:sz="0" w:space="0" w:color="auto"/>
                                      </w:divBdr>
                                      <w:divsChild>
                                        <w:div w:id="1983728831">
                                          <w:marLeft w:val="0"/>
                                          <w:marRight w:val="0"/>
                                          <w:marTop w:val="0"/>
                                          <w:marBottom w:val="450"/>
                                          <w:divBdr>
                                            <w:top w:val="none" w:sz="0" w:space="0" w:color="auto"/>
                                            <w:left w:val="none" w:sz="0" w:space="0" w:color="auto"/>
                                            <w:bottom w:val="none" w:sz="0" w:space="0" w:color="auto"/>
                                            <w:right w:val="none" w:sz="0" w:space="0" w:color="auto"/>
                                          </w:divBdr>
                                          <w:divsChild>
                                            <w:div w:id="1295913141">
                                              <w:marLeft w:val="0"/>
                                              <w:marRight w:val="0"/>
                                              <w:marTop w:val="0"/>
                                              <w:marBottom w:val="0"/>
                                              <w:divBdr>
                                                <w:top w:val="none" w:sz="0" w:space="0" w:color="auto"/>
                                                <w:left w:val="none" w:sz="0" w:space="0" w:color="auto"/>
                                                <w:bottom w:val="none" w:sz="0" w:space="0" w:color="auto"/>
                                                <w:right w:val="none" w:sz="0" w:space="0" w:color="auto"/>
                                              </w:divBdr>
                                              <w:divsChild>
                                                <w:div w:id="1963993891">
                                                  <w:marLeft w:val="-300"/>
                                                  <w:marRight w:val="-300"/>
                                                  <w:marTop w:val="0"/>
                                                  <w:marBottom w:val="0"/>
                                                  <w:divBdr>
                                                    <w:top w:val="single" w:sz="6" w:space="8" w:color="DFE1E5"/>
                                                    <w:left w:val="single" w:sz="6" w:space="15" w:color="DFE1E5"/>
                                                    <w:bottom w:val="single" w:sz="6" w:space="8" w:color="DFE1E5"/>
                                                    <w:right w:val="single" w:sz="6" w:space="15" w:color="DFE1E5"/>
                                                  </w:divBdr>
                                                  <w:divsChild>
                                                    <w:div w:id="725488014">
                                                      <w:marLeft w:val="0"/>
                                                      <w:marRight w:val="0"/>
                                                      <w:marTop w:val="0"/>
                                                      <w:marBottom w:val="0"/>
                                                      <w:divBdr>
                                                        <w:top w:val="none" w:sz="0" w:space="0" w:color="auto"/>
                                                        <w:left w:val="none" w:sz="0" w:space="0" w:color="auto"/>
                                                        <w:bottom w:val="none" w:sz="0" w:space="0" w:color="auto"/>
                                                        <w:right w:val="none" w:sz="0" w:space="0" w:color="auto"/>
                                                      </w:divBdr>
                                                      <w:divsChild>
                                                        <w:div w:id="559485864">
                                                          <w:marLeft w:val="0"/>
                                                          <w:marRight w:val="0"/>
                                                          <w:marTop w:val="0"/>
                                                          <w:marBottom w:val="0"/>
                                                          <w:divBdr>
                                                            <w:top w:val="none" w:sz="0" w:space="0" w:color="auto"/>
                                                            <w:left w:val="none" w:sz="0" w:space="0" w:color="auto"/>
                                                            <w:bottom w:val="none" w:sz="0" w:space="0" w:color="auto"/>
                                                            <w:right w:val="none" w:sz="0" w:space="0" w:color="auto"/>
                                                          </w:divBdr>
                                                          <w:divsChild>
                                                            <w:div w:id="214583479">
                                                              <w:marLeft w:val="0"/>
                                                              <w:marRight w:val="0"/>
                                                              <w:marTop w:val="0"/>
                                                              <w:marBottom w:val="0"/>
                                                              <w:divBdr>
                                                                <w:top w:val="none" w:sz="0" w:space="0" w:color="auto"/>
                                                                <w:left w:val="none" w:sz="0" w:space="0" w:color="auto"/>
                                                                <w:bottom w:val="none" w:sz="0" w:space="0" w:color="auto"/>
                                                                <w:right w:val="none" w:sz="0" w:space="0" w:color="auto"/>
                                                              </w:divBdr>
                                                              <w:divsChild>
                                                                <w:div w:id="392310804">
                                                                  <w:marLeft w:val="0"/>
                                                                  <w:marRight w:val="0"/>
                                                                  <w:marTop w:val="0"/>
                                                                  <w:marBottom w:val="0"/>
                                                                  <w:divBdr>
                                                                    <w:top w:val="none" w:sz="0" w:space="0" w:color="auto"/>
                                                                    <w:left w:val="none" w:sz="0" w:space="0" w:color="auto"/>
                                                                    <w:bottom w:val="none" w:sz="0" w:space="0" w:color="auto"/>
                                                                    <w:right w:val="none" w:sz="0" w:space="0" w:color="auto"/>
                                                                  </w:divBdr>
                                                                  <w:divsChild>
                                                                    <w:div w:id="609122366">
                                                                      <w:marLeft w:val="0"/>
                                                                      <w:marRight w:val="0"/>
                                                                      <w:marTop w:val="0"/>
                                                                      <w:marBottom w:val="0"/>
                                                                      <w:divBdr>
                                                                        <w:top w:val="none" w:sz="0" w:space="0" w:color="auto"/>
                                                                        <w:left w:val="none" w:sz="0" w:space="0" w:color="auto"/>
                                                                        <w:bottom w:val="none" w:sz="0" w:space="0" w:color="auto"/>
                                                                        <w:right w:val="none" w:sz="0" w:space="0" w:color="auto"/>
                                                                      </w:divBdr>
                                                                    </w:div>
                                                                    <w:div w:id="2586516">
                                                                      <w:marLeft w:val="-45"/>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Child>
                                                    </w:div>
                                                  </w:divsChild>
                                                </w:div>
                                                <w:div w:id="20756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939715">
                                      <w:marLeft w:val="0"/>
                                      <w:marRight w:val="0"/>
                                      <w:marTop w:val="0"/>
                                      <w:marBottom w:val="0"/>
                                      <w:divBdr>
                                        <w:top w:val="none" w:sz="0" w:space="0" w:color="auto"/>
                                        <w:left w:val="none" w:sz="0" w:space="0" w:color="auto"/>
                                        <w:bottom w:val="none" w:sz="0" w:space="0" w:color="auto"/>
                                        <w:right w:val="none" w:sz="0" w:space="0" w:color="auto"/>
                                      </w:divBdr>
                                      <w:divsChild>
                                        <w:div w:id="902566064">
                                          <w:marLeft w:val="0"/>
                                          <w:marRight w:val="0"/>
                                          <w:marTop w:val="0"/>
                                          <w:marBottom w:val="0"/>
                                          <w:divBdr>
                                            <w:top w:val="none" w:sz="0" w:space="0" w:color="auto"/>
                                            <w:left w:val="none" w:sz="0" w:space="0" w:color="auto"/>
                                            <w:bottom w:val="none" w:sz="0" w:space="0" w:color="auto"/>
                                            <w:right w:val="none" w:sz="0" w:space="0" w:color="auto"/>
                                          </w:divBdr>
                                          <w:divsChild>
                                            <w:div w:id="1673989007">
                                              <w:marLeft w:val="0"/>
                                              <w:marRight w:val="0"/>
                                              <w:marTop w:val="0"/>
                                              <w:marBottom w:val="450"/>
                                              <w:divBdr>
                                                <w:top w:val="none" w:sz="0" w:space="0" w:color="auto"/>
                                                <w:left w:val="none" w:sz="0" w:space="0" w:color="auto"/>
                                                <w:bottom w:val="none" w:sz="0" w:space="0" w:color="auto"/>
                                                <w:right w:val="none" w:sz="0" w:space="0" w:color="auto"/>
                                              </w:divBdr>
                                              <w:divsChild>
                                                <w:div w:id="654262372">
                                                  <w:marLeft w:val="0"/>
                                                  <w:marRight w:val="0"/>
                                                  <w:marTop w:val="0"/>
                                                  <w:marBottom w:val="0"/>
                                                  <w:divBdr>
                                                    <w:top w:val="none" w:sz="0" w:space="0" w:color="auto"/>
                                                    <w:left w:val="none" w:sz="0" w:space="0" w:color="auto"/>
                                                    <w:bottom w:val="none" w:sz="0" w:space="0" w:color="auto"/>
                                                    <w:right w:val="none" w:sz="0" w:space="0" w:color="auto"/>
                                                  </w:divBdr>
                                                  <w:divsChild>
                                                    <w:div w:id="1743869806">
                                                      <w:marLeft w:val="0"/>
                                                      <w:marRight w:val="0"/>
                                                      <w:marTop w:val="0"/>
                                                      <w:marBottom w:val="0"/>
                                                      <w:divBdr>
                                                        <w:top w:val="none" w:sz="0" w:space="0" w:color="auto"/>
                                                        <w:left w:val="none" w:sz="0" w:space="0" w:color="auto"/>
                                                        <w:bottom w:val="none" w:sz="0" w:space="0" w:color="auto"/>
                                                        <w:right w:val="none" w:sz="0" w:space="0" w:color="auto"/>
                                                      </w:divBdr>
                                                      <w:divsChild>
                                                        <w:div w:id="450629058">
                                                          <w:marLeft w:val="0"/>
                                                          <w:marRight w:val="0"/>
                                                          <w:marTop w:val="0"/>
                                                          <w:marBottom w:val="0"/>
                                                          <w:divBdr>
                                                            <w:top w:val="none" w:sz="0" w:space="0" w:color="auto"/>
                                                            <w:left w:val="none" w:sz="0" w:space="0" w:color="auto"/>
                                                            <w:bottom w:val="none" w:sz="0" w:space="0" w:color="auto"/>
                                                            <w:right w:val="none" w:sz="0" w:space="0" w:color="auto"/>
                                                          </w:divBdr>
                                                          <w:divsChild>
                                                            <w:div w:id="1375696278">
                                                              <w:marLeft w:val="0"/>
                                                              <w:marRight w:val="0"/>
                                                              <w:marTop w:val="0"/>
                                                              <w:marBottom w:val="0"/>
                                                              <w:divBdr>
                                                                <w:top w:val="none" w:sz="0" w:space="0" w:color="auto"/>
                                                                <w:left w:val="none" w:sz="0" w:space="0" w:color="auto"/>
                                                                <w:bottom w:val="none" w:sz="0" w:space="0" w:color="auto"/>
                                                                <w:right w:val="none" w:sz="0" w:space="0" w:color="auto"/>
                                                              </w:divBdr>
                                                            </w:div>
                                                            <w:div w:id="371467554">
                                                              <w:marLeft w:val="45"/>
                                                              <w:marRight w:val="45"/>
                                                              <w:marTop w:val="15"/>
                                                              <w:marBottom w:val="0"/>
                                                              <w:divBdr>
                                                                <w:top w:val="none" w:sz="0" w:space="0" w:color="auto"/>
                                                                <w:left w:val="none" w:sz="0" w:space="0" w:color="auto"/>
                                                                <w:bottom w:val="none" w:sz="0" w:space="0" w:color="auto"/>
                                                                <w:right w:val="none" w:sz="0" w:space="0" w:color="auto"/>
                                                              </w:divBdr>
                                                              <w:divsChild>
                                                                <w:div w:id="15092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77554">
                                                          <w:marLeft w:val="0"/>
                                                          <w:marRight w:val="0"/>
                                                          <w:marTop w:val="0"/>
                                                          <w:marBottom w:val="0"/>
                                                          <w:divBdr>
                                                            <w:top w:val="none" w:sz="0" w:space="0" w:color="auto"/>
                                                            <w:left w:val="none" w:sz="0" w:space="0" w:color="auto"/>
                                                            <w:bottom w:val="none" w:sz="0" w:space="0" w:color="auto"/>
                                                            <w:right w:val="none" w:sz="0" w:space="0" w:color="auto"/>
                                                          </w:divBdr>
                                                          <w:divsChild>
                                                            <w:div w:id="1920869964">
                                                              <w:marLeft w:val="0"/>
                                                              <w:marRight w:val="0"/>
                                                              <w:marTop w:val="0"/>
                                                              <w:marBottom w:val="0"/>
                                                              <w:divBdr>
                                                                <w:top w:val="none" w:sz="0" w:space="0" w:color="auto"/>
                                                                <w:left w:val="none" w:sz="0" w:space="0" w:color="auto"/>
                                                                <w:bottom w:val="none" w:sz="0" w:space="0" w:color="auto"/>
                                                                <w:right w:val="none" w:sz="0" w:space="0" w:color="auto"/>
                                                              </w:divBdr>
                                                              <w:divsChild>
                                                                <w:div w:id="152648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8798985">
                                              <w:marLeft w:val="0"/>
                                              <w:marRight w:val="0"/>
                                              <w:marTop w:val="0"/>
                                              <w:marBottom w:val="450"/>
                                              <w:divBdr>
                                                <w:top w:val="none" w:sz="0" w:space="0" w:color="auto"/>
                                                <w:left w:val="none" w:sz="0" w:space="0" w:color="auto"/>
                                                <w:bottom w:val="none" w:sz="0" w:space="0" w:color="auto"/>
                                                <w:right w:val="none" w:sz="0" w:space="0" w:color="auto"/>
                                              </w:divBdr>
                                              <w:divsChild>
                                                <w:div w:id="414666699">
                                                  <w:marLeft w:val="0"/>
                                                  <w:marRight w:val="0"/>
                                                  <w:marTop w:val="0"/>
                                                  <w:marBottom w:val="0"/>
                                                  <w:divBdr>
                                                    <w:top w:val="none" w:sz="0" w:space="0" w:color="auto"/>
                                                    <w:left w:val="none" w:sz="0" w:space="0" w:color="auto"/>
                                                    <w:bottom w:val="none" w:sz="0" w:space="0" w:color="auto"/>
                                                    <w:right w:val="none" w:sz="0" w:space="0" w:color="auto"/>
                                                  </w:divBdr>
                                                  <w:divsChild>
                                                    <w:div w:id="862665693">
                                                      <w:marLeft w:val="0"/>
                                                      <w:marRight w:val="0"/>
                                                      <w:marTop w:val="0"/>
                                                      <w:marBottom w:val="0"/>
                                                      <w:divBdr>
                                                        <w:top w:val="none" w:sz="0" w:space="0" w:color="auto"/>
                                                        <w:left w:val="none" w:sz="0" w:space="0" w:color="auto"/>
                                                        <w:bottom w:val="none" w:sz="0" w:space="0" w:color="auto"/>
                                                        <w:right w:val="none" w:sz="0" w:space="0" w:color="auto"/>
                                                      </w:divBdr>
                                                      <w:divsChild>
                                                        <w:div w:id="367072985">
                                                          <w:marLeft w:val="0"/>
                                                          <w:marRight w:val="0"/>
                                                          <w:marTop w:val="0"/>
                                                          <w:marBottom w:val="0"/>
                                                          <w:divBdr>
                                                            <w:top w:val="none" w:sz="0" w:space="0" w:color="auto"/>
                                                            <w:left w:val="none" w:sz="0" w:space="0" w:color="auto"/>
                                                            <w:bottom w:val="none" w:sz="0" w:space="0" w:color="auto"/>
                                                            <w:right w:val="none" w:sz="0" w:space="0" w:color="auto"/>
                                                          </w:divBdr>
                                                          <w:divsChild>
                                                            <w:div w:id="1743914230">
                                                              <w:marLeft w:val="0"/>
                                                              <w:marRight w:val="0"/>
                                                              <w:marTop w:val="0"/>
                                                              <w:marBottom w:val="0"/>
                                                              <w:divBdr>
                                                                <w:top w:val="none" w:sz="0" w:space="0" w:color="auto"/>
                                                                <w:left w:val="none" w:sz="0" w:space="0" w:color="auto"/>
                                                                <w:bottom w:val="none" w:sz="0" w:space="0" w:color="auto"/>
                                                                <w:right w:val="none" w:sz="0" w:space="0" w:color="auto"/>
                                                              </w:divBdr>
                                                            </w:div>
                                                            <w:div w:id="740062557">
                                                              <w:marLeft w:val="45"/>
                                                              <w:marRight w:val="45"/>
                                                              <w:marTop w:val="15"/>
                                                              <w:marBottom w:val="0"/>
                                                              <w:divBdr>
                                                                <w:top w:val="none" w:sz="0" w:space="0" w:color="auto"/>
                                                                <w:left w:val="none" w:sz="0" w:space="0" w:color="auto"/>
                                                                <w:bottom w:val="none" w:sz="0" w:space="0" w:color="auto"/>
                                                                <w:right w:val="none" w:sz="0" w:space="0" w:color="auto"/>
                                                              </w:divBdr>
                                                              <w:divsChild>
                                                                <w:div w:id="70336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867018">
                                                          <w:marLeft w:val="0"/>
                                                          <w:marRight w:val="0"/>
                                                          <w:marTop w:val="0"/>
                                                          <w:marBottom w:val="0"/>
                                                          <w:divBdr>
                                                            <w:top w:val="none" w:sz="0" w:space="0" w:color="auto"/>
                                                            <w:left w:val="none" w:sz="0" w:space="0" w:color="auto"/>
                                                            <w:bottom w:val="none" w:sz="0" w:space="0" w:color="auto"/>
                                                            <w:right w:val="none" w:sz="0" w:space="0" w:color="auto"/>
                                                          </w:divBdr>
                                                          <w:divsChild>
                                                            <w:div w:id="1370718151">
                                                              <w:marLeft w:val="0"/>
                                                              <w:marRight w:val="0"/>
                                                              <w:marTop w:val="0"/>
                                                              <w:marBottom w:val="0"/>
                                                              <w:divBdr>
                                                                <w:top w:val="none" w:sz="0" w:space="0" w:color="auto"/>
                                                                <w:left w:val="none" w:sz="0" w:space="0" w:color="auto"/>
                                                                <w:bottom w:val="none" w:sz="0" w:space="0" w:color="auto"/>
                                                                <w:right w:val="none" w:sz="0" w:space="0" w:color="auto"/>
                                                              </w:divBdr>
                                                              <w:divsChild>
                                                                <w:div w:id="26145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183401">
                                              <w:marLeft w:val="0"/>
                                              <w:marRight w:val="0"/>
                                              <w:marTop w:val="0"/>
                                              <w:marBottom w:val="450"/>
                                              <w:divBdr>
                                                <w:top w:val="none" w:sz="0" w:space="0" w:color="auto"/>
                                                <w:left w:val="none" w:sz="0" w:space="0" w:color="auto"/>
                                                <w:bottom w:val="none" w:sz="0" w:space="0" w:color="auto"/>
                                                <w:right w:val="none" w:sz="0" w:space="0" w:color="auto"/>
                                              </w:divBdr>
                                              <w:divsChild>
                                                <w:div w:id="1612588275">
                                                  <w:marLeft w:val="0"/>
                                                  <w:marRight w:val="0"/>
                                                  <w:marTop w:val="0"/>
                                                  <w:marBottom w:val="0"/>
                                                  <w:divBdr>
                                                    <w:top w:val="none" w:sz="0" w:space="0" w:color="auto"/>
                                                    <w:left w:val="none" w:sz="0" w:space="0" w:color="auto"/>
                                                    <w:bottom w:val="none" w:sz="0" w:space="0" w:color="auto"/>
                                                    <w:right w:val="none" w:sz="0" w:space="0" w:color="auto"/>
                                                  </w:divBdr>
                                                  <w:divsChild>
                                                    <w:div w:id="1588075998">
                                                      <w:marLeft w:val="0"/>
                                                      <w:marRight w:val="0"/>
                                                      <w:marTop w:val="0"/>
                                                      <w:marBottom w:val="0"/>
                                                      <w:divBdr>
                                                        <w:top w:val="none" w:sz="0" w:space="0" w:color="auto"/>
                                                        <w:left w:val="none" w:sz="0" w:space="0" w:color="auto"/>
                                                        <w:bottom w:val="none" w:sz="0" w:space="0" w:color="auto"/>
                                                        <w:right w:val="none" w:sz="0" w:space="0" w:color="auto"/>
                                                      </w:divBdr>
                                                      <w:divsChild>
                                                        <w:div w:id="1734809051">
                                                          <w:marLeft w:val="0"/>
                                                          <w:marRight w:val="0"/>
                                                          <w:marTop w:val="0"/>
                                                          <w:marBottom w:val="0"/>
                                                          <w:divBdr>
                                                            <w:top w:val="none" w:sz="0" w:space="0" w:color="auto"/>
                                                            <w:left w:val="none" w:sz="0" w:space="0" w:color="auto"/>
                                                            <w:bottom w:val="none" w:sz="0" w:space="0" w:color="auto"/>
                                                            <w:right w:val="none" w:sz="0" w:space="0" w:color="auto"/>
                                                          </w:divBdr>
                                                          <w:divsChild>
                                                            <w:div w:id="431823823">
                                                              <w:marLeft w:val="0"/>
                                                              <w:marRight w:val="0"/>
                                                              <w:marTop w:val="0"/>
                                                              <w:marBottom w:val="0"/>
                                                              <w:divBdr>
                                                                <w:top w:val="none" w:sz="0" w:space="0" w:color="auto"/>
                                                                <w:left w:val="none" w:sz="0" w:space="0" w:color="auto"/>
                                                                <w:bottom w:val="none" w:sz="0" w:space="0" w:color="auto"/>
                                                                <w:right w:val="none" w:sz="0" w:space="0" w:color="auto"/>
                                                              </w:divBdr>
                                                            </w:div>
                                                            <w:div w:id="85656919">
                                                              <w:marLeft w:val="45"/>
                                                              <w:marRight w:val="45"/>
                                                              <w:marTop w:val="15"/>
                                                              <w:marBottom w:val="0"/>
                                                              <w:divBdr>
                                                                <w:top w:val="none" w:sz="0" w:space="0" w:color="auto"/>
                                                                <w:left w:val="none" w:sz="0" w:space="0" w:color="auto"/>
                                                                <w:bottom w:val="none" w:sz="0" w:space="0" w:color="auto"/>
                                                                <w:right w:val="none" w:sz="0" w:space="0" w:color="auto"/>
                                                              </w:divBdr>
                                                              <w:divsChild>
                                                                <w:div w:id="166366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045">
                                                          <w:marLeft w:val="0"/>
                                                          <w:marRight w:val="0"/>
                                                          <w:marTop w:val="0"/>
                                                          <w:marBottom w:val="0"/>
                                                          <w:divBdr>
                                                            <w:top w:val="none" w:sz="0" w:space="0" w:color="auto"/>
                                                            <w:left w:val="none" w:sz="0" w:space="0" w:color="auto"/>
                                                            <w:bottom w:val="none" w:sz="0" w:space="0" w:color="auto"/>
                                                            <w:right w:val="none" w:sz="0" w:space="0" w:color="auto"/>
                                                          </w:divBdr>
                                                          <w:divsChild>
                                                            <w:div w:id="18822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625617">
                                              <w:marLeft w:val="0"/>
                                              <w:marRight w:val="0"/>
                                              <w:marTop w:val="0"/>
                                              <w:marBottom w:val="450"/>
                                              <w:divBdr>
                                                <w:top w:val="none" w:sz="0" w:space="0" w:color="auto"/>
                                                <w:left w:val="none" w:sz="0" w:space="0" w:color="auto"/>
                                                <w:bottom w:val="none" w:sz="0" w:space="0" w:color="auto"/>
                                                <w:right w:val="none" w:sz="0" w:space="0" w:color="auto"/>
                                              </w:divBdr>
                                              <w:divsChild>
                                                <w:div w:id="304436017">
                                                  <w:marLeft w:val="0"/>
                                                  <w:marRight w:val="0"/>
                                                  <w:marTop w:val="0"/>
                                                  <w:marBottom w:val="0"/>
                                                  <w:divBdr>
                                                    <w:top w:val="none" w:sz="0" w:space="0" w:color="auto"/>
                                                    <w:left w:val="none" w:sz="0" w:space="0" w:color="auto"/>
                                                    <w:bottom w:val="none" w:sz="0" w:space="0" w:color="auto"/>
                                                    <w:right w:val="none" w:sz="0" w:space="0" w:color="auto"/>
                                                  </w:divBdr>
                                                  <w:divsChild>
                                                    <w:div w:id="1985229821">
                                                      <w:marLeft w:val="0"/>
                                                      <w:marRight w:val="0"/>
                                                      <w:marTop w:val="0"/>
                                                      <w:marBottom w:val="0"/>
                                                      <w:divBdr>
                                                        <w:top w:val="none" w:sz="0" w:space="0" w:color="auto"/>
                                                        <w:left w:val="none" w:sz="0" w:space="0" w:color="auto"/>
                                                        <w:bottom w:val="none" w:sz="0" w:space="0" w:color="auto"/>
                                                        <w:right w:val="none" w:sz="0" w:space="0" w:color="auto"/>
                                                      </w:divBdr>
                                                      <w:divsChild>
                                                        <w:div w:id="1589727733">
                                                          <w:marLeft w:val="0"/>
                                                          <w:marRight w:val="0"/>
                                                          <w:marTop w:val="0"/>
                                                          <w:marBottom w:val="0"/>
                                                          <w:divBdr>
                                                            <w:top w:val="none" w:sz="0" w:space="0" w:color="auto"/>
                                                            <w:left w:val="none" w:sz="0" w:space="0" w:color="auto"/>
                                                            <w:bottom w:val="none" w:sz="0" w:space="0" w:color="auto"/>
                                                            <w:right w:val="none" w:sz="0" w:space="0" w:color="auto"/>
                                                          </w:divBdr>
                                                          <w:divsChild>
                                                            <w:div w:id="1165820981">
                                                              <w:marLeft w:val="0"/>
                                                              <w:marRight w:val="0"/>
                                                              <w:marTop w:val="0"/>
                                                              <w:marBottom w:val="0"/>
                                                              <w:divBdr>
                                                                <w:top w:val="none" w:sz="0" w:space="0" w:color="auto"/>
                                                                <w:left w:val="none" w:sz="0" w:space="0" w:color="auto"/>
                                                                <w:bottom w:val="none" w:sz="0" w:space="0" w:color="auto"/>
                                                                <w:right w:val="none" w:sz="0" w:space="0" w:color="auto"/>
                                                              </w:divBdr>
                                                            </w:div>
                                                            <w:div w:id="2140226567">
                                                              <w:marLeft w:val="45"/>
                                                              <w:marRight w:val="45"/>
                                                              <w:marTop w:val="15"/>
                                                              <w:marBottom w:val="0"/>
                                                              <w:divBdr>
                                                                <w:top w:val="none" w:sz="0" w:space="0" w:color="auto"/>
                                                                <w:left w:val="none" w:sz="0" w:space="0" w:color="auto"/>
                                                                <w:bottom w:val="none" w:sz="0" w:space="0" w:color="auto"/>
                                                                <w:right w:val="none" w:sz="0" w:space="0" w:color="auto"/>
                                                              </w:divBdr>
                                                              <w:divsChild>
                                                                <w:div w:id="156618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07918">
                                                          <w:marLeft w:val="0"/>
                                                          <w:marRight w:val="0"/>
                                                          <w:marTop w:val="0"/>
                                                          <w:marBottom w:val="0"/>
                                                          <w:divBdr>
                                                            <w:top w:val="none" w:sz="0" w:space="0" w:color="auto"/>
                                                            <w:left w:val="none" w:sz="0" w:space="0" w:color="auto"/>
                                                            <w:bottom w:val="none" w:sz="0" w:space="0" w:color="auto"/>
                                                            <w:right w:val="none" w:sz="0" w:space="0" w:color="auto"/>
                                                          </w:divBdr>
                                                          <w:divsChild>
                                                            <w:div w:id="146153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154731">
                                              <w:marLeft w:val="0"/>
                                              <w:marRight w:val="0"/>
                                              <w:marTop w:val="0"/>
                                              <w:marBottom w:val="450"/>
                                              <w:divBdr>
                                                <w:top w:val="none" w:sz="0" w:space="0" w:color="auto"/>
                                                <w:left w:val="none" w:sz="0" w:space="0" w:color="auto"/>
                                                <w:bottom w:val="none" w:sz="0" w:space="0" w:color="auto"/>
                                                <w:right w:val="none" w:sz="0" w:space="0" w:color="auto"/>
                                              </w:divBdr>
                                              <w:divsChild>
                                                <w:div w:id="804782205">
                                                  <w:marLeft w:val="0"/>
                                                  <w:marRight w:val="0"/>
                                                  <w:marTop w:val="0"/>
                                                  <w:marBottom w:val="0"/>
                                                  <w:divBdr>
                                                    <w:top w:val="none" w:sz="0" w:space="0" w:color="auto"/>
                                                    <w:left w:val="none" w:sz="0" w:space="0" w:color="auto"/>
                                                    <w:bottom w:val="none" w:sz="0" w:space="0" w:color="auto"/>
                                                    <w:right w:val="none" w:sz="0" w:space="0" w:color="auto"/>
                                                  </w:divBdr>
                                                  <w:divsChild>
                                                    <w:div w:id="1920678297">
                                                      <w:marLeft w:val="0"/>
                                                      <w:marRight w:val="0"/>
                                                      <w:marTop w:val="0"/>
                                                      <w:marBottom w:val="0"/>
                                                      <w:divBdr>
                                                        <w:top w:val="none" w:sz="0" w:space="0" w:color="auto"/>
                                                        <w:left w:val="none" w:sz="0" w:space="0" w:color="auto"/>
                                                        <w:bottom w:val="none" w:sz="0" w:space="0" w:color="auto"/>
                                                        <w:right w:val="none" w:sz="0" w:space="0" w:color="auto"/>
                                                      </w:divBdr>
                                                      <w:divsChild>
                                                        <w:div w:id="1587301745">
                                                          <w:marLeft w:val="0"/>
                                                          <w:marRight w:val="0"/>
                                                          <w:marTop w:val="0"/>
                                                          <w:marBottom w:val="0"/>
                                                          <w:divBdr>
                                                            <w:top w:val="none" w:sz="0" w:space="0" w:color="auto"/>
                                                            <w:left w:val="none" w:sz="0" w:space="0" w:color="auto"/>
                                                            <w:bottom w:val="none" w:sz="0" w:space="0" w:color="auto"/>
                                                            <w:right w:val="none" w:sz="0" w:space="0" w:color="auto"/>
                                                          </w:divBdr>
                                                          <w:divsChild>
                                                            <w:div w:id="1063026470">
                                                              <w:marLeft w:val="0"/>
                                                              <w:marRight w:val="0"/>
                                                              <w:marTop w:val="0"/>
                                                              <w:marBottom w:val="0"/>
                                                              <w:divBdr>
                                                                <w:top w:val="none" w:sz="0" w:space="0" w:color="auto"/>
                                                                <w:left w:val="none" w:sz="0" w:space="0" w:color="auto"/>
                                                                <w:bottom w:val="none" w:sz="0" w:space="0" w:color="auto"/>
                                                                <w:right w:val="none" w:sz="0" w:space="0" w:color="auto"/>
                                                              </w:divBdr>
                                                            </w:div>
                                                            <w:div w:id="917522860">
                                                              <w:marLeft w:val="45"/>
                                                              <w:marRight w:val="45"/>
                                                              <w:marTop w:val="15"/>
                                                              <w:marBottom w:val="0"/>
                                                              <w:divBdr>
                                                                <w:top w:val="none" w:sz="0" w:space="0" w:color="auto"/>
                                                                <w:left w:val="none" w:sz="0" w:space="0" w:color="auto"/>
                                                                <w:bottom w:val="none" w:sz="0" w:space="0" w:color="auto"/>
                                                                <w:right w:val="none" w:sz="0" w:space="0" w:color="auto"/>
                                                              </w:divBdr>
                                                              <w:divsChild>
                                                                <w:div w:id="137404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58495">
                                                          <w:marLeft w:val="0"/>
                                                          <w:marRight w:val="0"/>
                                                          <w:marTop w:val="0"/>
                                                          <w:marBottom w:val="0"/>
                                                          <w:divBdr>
                                                            <w:top w:val="none" w:sz="0" w:space="0" w:color="auto"/>
                                                            <w:left w:val="none" w:sz="0" w:space="0" w:color="auto"/>
                                                            <w:bottom w:val="none" w:sz="0" w:space="0" w:color="auto"/>
                                                            <w:right w:val="none" w:sz="0" w:space="0" w:color="auto"/>
                                                          </w:divBdr>
                                                          <w:divsChild>
                                                            <w:div w:id="41590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74925">
                                              <w:marLeft w:val="0"/>
                                              <w:marRight w:val="0"/>
                                              <w:marTop w:val="0"/>
                                              <w:marBottom w:val="450"/>
                                              <w:divBdr>
                                                <w:top w:val="none" w:sz="0" w:space="0" w:color="auto"/>
                                                <w:left w:val="none" w:sz="0" w:space="0" w:color="auto"/>
                                                <w:bottom w:val="none" w:sz="0" w:space="0" w:color="auto"/>
                                                <w:right w:val="none" w:sz="0" w:space="0" w:color="auto"/>
                                              </w:divBdr>
                                              <w:divsChild>
                                                <w:div w:id="784927101">
                                                  <w:marLeft w:val="0"/>
                                                  <w:marRight w:val="0"/>
                                                  <w:marTop w:val="0"/>
                                                  <w:marBottom w:val="0"/>
                                                  <w:divBdr>
                                                    <w:top w:val="none" w:sz="0" w:space="0" w:color="auto"/>
                                                    <w:left w:val="none" w:sz="0" w:space="0" w:color="auto"/>
                                                    <w:bottom w:val="none" w:sz="0" w:space="0" w:color="auto"/>
                                                    <w:right w:val="none" w:sz="0" w:space="0" w:color="auto"/>
                                                  </w:divBdr>
                                                  <w:divsChild>
                                                    <w:div w:id="1608733303">
                                                      <w:marLeft w:val="0"/>
                                                      <w:marRight w:val="0"/>
                                                      <w:marTop w:val="0"/>
                                                      <w:marBottom w:val="0"/>
                                                      <w:divBdr>
                                                        <w:top w:val="none" w:sz="0" w:space="0" w:color="auto"/>
                                                        <w:left w:val="none" w:sz="0" w:space="0" w:color="auto"/>
                                                        <w:bottom w:val="none" w:sz="0" w:space="0" w:color="auto"/>
                                                        <w:right w:val="none" w:sz="0" w:space="0" w:color="auto"/>
                                                      </w:divBdr>
                                                      <w:divsChild>
                                                        <w:div w:id="784731221">
                                                          <w:marLeft w:val="0"/>
                                                          <w:marRight w:val="0"/>
                                                          <w:marTop w:val="0"/>
                                                          <w:marBottom w:val="0"/>
                                                          <w:divBdr>
                                                            <w:top w:val="none" w:sz="0" w:space="0" w:color="auto"/>
                                                            <w:left w:val="none" w:sz="0" w:space="0" w:color="auto"/>
                                                            <w:bottom w:val="none" w:sz="0" w:space="0" w:color="auto"/>
                                                            <w:right w:val="none" w:sz="0" w:space="0" w:color="auto"/>
                                                          </w:divBdr>
                                                          <w:divsChild>
                                                            <w:div w:id="1780372757">
                                                              <w:marLeft w:val="0"/>
                                                              <w:marRight w:val="0"/>
                                                              <w:marTop w:val="0"/>
                                                              <w:marBottom w:val="0"/>
                                                              <w:divBdr>
                                                                <w:top w:val="none" w:sz="0" w:space="0" w:color="auto"/>
                                                                <w:left w:val="none" w:sz="0" w:space="0" w:color="auto"/>
                                                                <w:bottom w:val="none" w:sz="0" w:space="0" w:color="auto"/>
                                                                <w:right w:val="none" w:sz="0" w:space="0" w:color="auto"/>
                                                              </w:divBdr>
                                                            </w:div>
                                                            <w:div w:id="310135798">
                                                              <w:marLeft w:val="45"/>
                                                              <w:marRight w:val="45"/>
                                                              <w:marTop w:val="15"/>
                                                              <w:marBottom w:val="0"/>
                                                              <w:divBdr>
                                                                <w:top w:val="none" w:sz="0" w:space="0" w:color="auto"/>
                                                                <w:left w:val="none" w:sz="0" w:space="0" w:color="auto"/>
                                                                <w:bottom w:val="none" w:sz="0" w:space="0" w:color="auto"/>
                                                                <w:right w:val="none" w:sz="0" w:space="0" w:color="auto"/>
                                                              </w:divBdr>
                                                              <w:divsChild>
                                                                <w:div w:id="14031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34987">
                                                          <w:marLeft w:val="0"/>
                                                          <w:marRight w:val="0"/>
                                                          <w:marTop w:val="0"/>
                                                          <w:marBottom w:val="0"/>
                                                          <w:divBdr>
                                                            <w:top w:val="none" w:sz="0" w:space="0" w:color="auto"/>
                                                            <w:left w:val="none" w:sz="0" w:space="0" w:color="auto"/>
                                                            <w:bottom w:val="none" w:sz="0" w:space="0" w:color="auto"/>
                                                            <w:right w:val="none" w:sz="0" w:space="0" w:color="auto"/>
                                                          </w:divBdr>
                                                          <w:divsChild>
                                                            <w:div w:id="90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11839">
                                              <w:marLeft w:val="0"/>
                                              <w:marRight w:val="0"/>
                                              <w:marTop w:val="0"/>
                                              <w:marBottom w:val="450"/>
                                              <w:divBdr>
                                                <w:top w:val="none" w:sz="0" w:space="0" w:color="auto"/>
                                                <w:left w:val="none" w:sz="0" w:space="0" w:color="auto"/>
                                                <w:bottom w:val="none" w:sz="0" w:space="0" w:color="auto"/>
                                                <w:right w:val="none" w:sz="0" w:space="0" w:color="auto"/>
                                              </w:divBdr>
                                              <w:divsChild>
                                                <w:div w:id="1029837645">
                                                  <w:marLeft w:val="0"/>
                                                  <w:marRight w:val="0"/>
                                                  <w:marTop w:val="0"/>
                                                  <w:marBottom w:val="0"/>
                                                  <w:divBdr>
                                                    <w:top w:val="none" w:sz="0" w:space="0" w:color="auto"/>
                                                    <w:left w:val="none" w:sz="0" w:space="0" w:color="auto"/>
                                                    <w:bottom w:val="none" w:sz="0" w:space="0" w:color="auto"/>
                                                    <w:right w:val="none" w:sz="0" w:space="0" w:color="auto"/>
                                                  </w:divBdr>
                                                  <w:divsChild>
                                                    <w:div w:id="1227885500">
                                                      <w:marLeft w:val="0"/>
                                                      <w:marRight w:val="0"/>
                                                      <w:marTop w:val="0"/>
                                                      <w:marBottom w:val="0"/>
                                                      <w:divBdr>
                                                        <w:top w:val="none" w:sz="0" w:space="0" w:color="auto"/>
                                                        <w:left w:val="none" w:sz="0" w:space="0" w:color="auto"/>
                                                        <w:bottom w:val="none" w:sz="0" w:space="0" w:color="auto"/>
                                                        <w:right w:val="none" w:sz="0" w:space="0" w:color="auto"/>
                                                      </w:divBdr>
                                                      <w:divsChild>
                                                        <w:div w:id="1925142918">
                                                          <w:marLeft w:val="0"/>
                                                          <w:marRight w:val="0"/>
                                                          <w:marTop w:val="0"/>
                                                          <w:marBottom w:val="0"/>
                                                          <w:divBdr>
                                                            <w:top w:val="none" w:sz="0" w:space="0" w:color="auto"/>
                                                            <w:left w:val="none" w:sz="0" w:space="0" w:color="auto"/>
                                                            <w:bottom w:val="none" w:sz="0" w:space="0" w:color="auto"/>
                                                            <w:right w:val="none" w:sz="0" w:space="0" w:color="auto"/>
                                                          </w:divBdr>
                                                          <w:divsChild>
                                                            <w:div w:id="1363017828">
                                                              <w:marLeft w:val="0"/>
                                                              <w:marRight w:val="0"/>
                                                              <w:marTop w:val="0"/>
                                                              <w:marBottom w:val="0"/>
                                                              <w:divBdr>
                                                                <w:top w:val="none" w:sz="0" w:space="0" w:color="auto"/>
                                                                <w:left w:val="none" w:sz="0" w:space="0" w:color="auto"/>
                                                                <w:bottom w:val="none" w:sz="0" w:space="0" w:color="auto"/>
                                                                <w:right w:val="none" w:sz="0" w:space="0" w:color="auto"/>
                                                              </w:divBdr>
                                                            </w:div>
                                                            <w:div w:id="16198502">
                                                              <w:marLeft w:val="45"/>
                                                              <w:marRight w:val="45"/>
                                                              <w:marTop w:val="15"/>
                                                              <w:marBottom w:val="0"/>
                                                              <w:divBdr>
                                                                <w:top w:val="none" w:sz="0" w:space="0" w:color="auto"/>
                                                                <w:left w:val="none" w:sz="0" w:space="0" w:color="auto"/>
                                                                <w:bottom w:val="none" w:sz="0" w:space="0" w:color="auto"/>
                                                                <w:right w:val="none" w:sz="0" w:space="0" w:color="auto"/>
                                                              </w:divBdr>
                                                              <w:divsChild>
                                                                <w:div w:id="94361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345746">
                                                          <w:marLeft w:val="0"/>
                                                          <w:marRight w:val="0"/>
                                                          <w:marTop w:val="0"/>
                                                          <w:marBottom w:val="0"/>
                                                          <w:divBdr>
                                                            <w:top w:val="none" w:sz="0" w:space="0" w:color="auto"/>
                                                            <w:left w:val="none" w:sz="0" w:space="0" w:color="auto"/>
                                                            <w:bottom w:val="none" w:sz="0" w:space="0" w:color="auto"/>
                                                            <w:right w:val="none" w:sz="0" w:space="0" w:color="auto"/>
                                                          </w:divBdr>
                                                          <w:divsChild>
                                                            <w:div w:id="31283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260187">
                                              <w:marLeft w:val="0"/>
                                              <w:marRight w:val="0"/>
                                              <w:marTop w:val="0"/>
                                              <w:marBottom w:val="450"/>
                                              <w:divBdr>
                                                <w:top w:val="none" w:sz="0" w:space="0" w:color="auto"/>
                                                <w:left w:val="none" w:sz="0" w:space="0" w:color="auto"/>
                                                <w:bottom w:val="none" w:sz="0" w:space="0" w:color="auto"/>
                                                <w:right w:val="none" w:sz="0" w:space="0" w:color="auto"/>
                                              </w:divBdr>
                                              <w:divsChild>
                                                <w:div w:id="579604745">
                                                  <w:marLeft w:val="0"/>
                                                  <w:marRight w:val="0"/>
                                                  <w:marTop w:val="0"/>
                                                  <w:marBottom w:val="0"/>
                                                  <w:divBdr>
                                                    <w:top w:val="none" w:sz="0" w:space="0" w:color="auto"/>
                                                    <w:left w:val="none" w:sz="0" w:space="0" w:color="auto"/>
                                                    <w:bottom w:val="none" w:sz="0" w:space="0" w:color="auto"/>
                                                    <w:right w:val="none" w:sz="0" w:space="0" w:color="auto"/>
                                                  </w:divBdr>
                                                  <w:divsChild>
                                                    <w:div w:id="1311252863">
                                                      <w:marLeft w:val="0"/>
                                                      <w:marRight w:val="0"/>
                                                      <w:marTop w:val="0"/>
                                                      <w:marBottom w:val="0"/>
                                                      <w:divBdr>
                                                        <w:top w:val="none" w:sz="0" w:space="0" w:color="auto"/>
                                                        <w:left w:val="none" w:sz="0" w:space="0" w:color="auto"/>
                                                        <w:bottom w:val="none" w:sz="0" w:space="0" w:color="auto"/>
                                                        <w:right w:val="none" w:sz="0" w:space="0" w:color="auto"/>
                                                      </w:divBdr>
                                                      <w:divsChild>
                                                        <w:div w:id="135533152">
                                                          <w:marLeft w:val="0"/>
                                                          <w:marRight w:val="0"/>
                                                          <w:marTop w:val="0"/>
                                                          <w:marBottom w:val="0"/>
                                                          <w:divBdr>
                                                            <w:top w:val="none" w:sz="0" w:space="0" w:color="auto"/>
                                                            <w:left w:val="none" w:sz="0" w:space="0" w:color="auto"/>
                                                            <w:bottom w:val="none" w:sz="0" w:space="0" w:color="auto"/>
                                                            <w:right w:val="none" w:sz="0" w:space="0" w:color="auto"/>
                                                          </w:divBdr>
                                                          <w:divsChild>
                                                            <w:div w:id="362554777">
                                                              <w:marLeft w:val="0"/>
                                                              <w:marRight w:val="0"/>
                                                              <w:marTop w:val="0"/>
                                                              <w:marBottom w:val="0"/>
                                                              <w:divBdr>
                                                                <w:top w:val="none" w:sz="0" w:space="0" w:color="auto"/>
                                                                <w:left w:val="none" w:sz="0" w:space="0" w:color="auto"/>
                                                                <w:bottom w:val="none" w:sz="0" w:space="0" w:color="auto"/>
                                                                <w:right w:val="none" w:sz="0" w:space="0" w:color="auto"/>
                                                              </w:divBdr>
                                                            </w:div>
                                                            <w:div w:id="1985550264">
                                                              <w:marLeft w:val="45"/>
                                                              <w:marRight w:val="45"/>
                                                              <w:marTop w:val="15"/>
                                                              <w:marBottom w:val="0"/>
                                                              <w:divBdr>
                                                                <w:top w:val="none" w:sz="0" w:space="0" w:color="auto"/>
                                                                <w:left w:val="none" w:sz="0" w:space="0" w:color="auto"/>
                                                                <w:bottom w:val="none" w:sz="0" w:space="0" w:color="auto"/>
                                                                <w:right w:val="none" w:sz="0" w:space="0" w:color="auto"/>
                                                              </w:divBdr>
                                                              <w:divsChild>
                                                                <w:div w:id="153095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04420">
                                                          <w:marLeft w:val="0"/>
                                                          <w:marRight w:val="0"/>
                                                          <w:marTop w:val="0"/>
                                                          <w:marBottom w:val="0"/>
                                                          <w:divBdr>
                                                            <w:top w:val="none" w:sz="0" w:space="0" w:color="auto"/>
                                                            <w:left w:val="none" w:sz="0" w:space="0" w:color="auto"/>
                                                            <w:bottom w:val="none" w:sz="0" w:space="0" w:color="auto"/>
                                                            <w:right w:val="none" w:sz="0" w:space="0" w:color="auto"/>
                                                          </w:divBdr>
                                                          <w:divsChild>
                                                            <w:div w:id="5153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998172">
                                              <w:marLeft w:val="0"/>
                                              <w:marRight w:val="0"/>
                                              <w:marTop w:val="0"/>
                                              <w:marBottom w:val="450"/>
                                              <w:divBdr>
                                                <w:top w:val="none" w:sz="0" w:space="0" w:color="auto"/>
                                                <w:left w:val="none" w:sz="0" w:space="0" w:color="auto"/>
                                                <w:bottom w:val="none" w:sz="0" w:space="0" w:color="auto"/>
                                                <w:right w:val="none" w:sz="0" w:space="0" w:color="auto"/>
                                              </w:divBdr>
                                              <w:divsChild>
                                                <w:div w:id="1717390929">
                                                  <w:marLeft w:val="0"/>
                                                  <w:marRight w:val="0"/>
                                                  <w:marTop w:val="0"/>
                                                  <w:marBottom w:val="0"/>
                                                  <w:divBdr>
                                                    <w:top w:val="none" w:sz="0" w:space="0" w:color="auto"/>
                                                    <w:left w:val="none" w:sz="0" w:space="0" w:color="auto"/>
                                                    <w:bottom w:val="none" w:sz="0" w:space="0" w:color="auto"/>
                                                    <w:right w:val="none" w:sz="0" w:space="0" w:color="auto"/>
                                                  </w:divBdr>
                                                  <w:divsChild>
                                                    <w:div w:id="2114666430">
                                                      <w:marLeft w:val="0"/>
                                                      <w:marRight w:val="0"/>
                                                      <w:marTop w:val="0"/>
                                                      <w:marBottom w:val="0"/>
                                                      <w:divBdr>
                                                        <w:top w:val="none" w:sz="0" w:space="0" w:color="auto"/>
                                                        <w:left w:val="none" w:sz="0" w:space="0" w:color="auto"/>
                                                        <w:bottom w:val="none" w:sz="0" w:space="0" w:color="auto"/>
                                                        <w:right w:val="none" w:sz="0" w:space="0" w:color="auto"/>
                                                      </w:divBdr>
                                                      <w:divsChild>
                                                        <w:div w:id="2120180689">
                                                          <w:marLeft w:val="0"/>
                                                          <w:marRight w:val="0"/>
                                                          <w:marTop w:val="0"/>
                                                          <w:marBottom w:val="0"/>
                                                          <w:divBdr>
                                                            <w:top w:val="none" w:sz="0" w:space="0" w:color="auto"/>
                                                            <w:left w:val="none" w:sz="0" w:space="0" w:color="auto"/>
                                                            <w:bottom w:val="none" w:sz="0" w:space="0" w:color="auto"/>
                                                            <w:right w:val="none" w:sz="0" w:space="0" w:color="auto"/>
                                                          </w:divBdr>
                                                          <w:divsChild>
                                                            <w:div w:id="1814714280">
                                                              <w:marLeft w:val="0"/>
                                                              <w:marRight w:val="0"/>
                                                              <w:marTop w:val="0"/>
                                                              <w:marBottom w:val="0"/>
                                                              <w:divBdr>
                                                                <w:top w:val="none" w:sz="0" w:space="0" w:color="auto"/>
                                                                <w:left w:val="none" w:sz="0" w:space="0" w:color="auto"/>
                                                                <w:bottom w:val="none" w:sz="0" w:space="0" w:color="auto"/>
                                                                <w:right w:val="none" w:sz="0" w:space="0" w:color="auto"/>
                                                              </w:divBdr>
                                                            </w:div>
                                                            <w:div w:id="1127578526">
                                                              <w:marLeft w:val="45"/>
                                                              <w:marRight w:val="45"/>
                                                              <w:marTop w:val="15"/>
                                                              <w:marBottom w:val="0"/>
                                                              <w:divBdr>
                                                                <w:top w:val="none" w:sz="0" w:space="0" w:color="auto"/>
                                                                <w:left w:val="none" w:sz="0" w:space="0" w:color="auto"/>
                                                                <w:bottom w:val="none" w:sz="0" w:space="0" w:color="auto"/>
                                                                <w:right w:val="none" w:sz="0" w:space="0" w:color="auto"/>
                                                              </w:divBdr>
                                                              <w:divsChild>
                                                                <w:div w:id="35064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605622">
                                                          <w:marLeft w:val="0"/>
                                                          <w:marRight w:val="0"/>
                                                          <w:marTop w:val="0"/>
                                                          <w:marBottom w:val="0"/>
                                                          <w:divBdr>
                                                            <w:top w:val="none" w:sz="0" w:space="0" w:color="auto"/>
                                                            <w:left w:val="none" w:sz="0" w:space="0" w:color="auto"/>
                                                            <w:bottom w:val="none" w:sz="0" w:space="0" w:color="auto"/>
                                                            <w:right w:val="none" w:sz="0" w:space="0" w:color="auto"/>
                                                          </w:divBdr>
                                                          <w:divsChild>
                                                            <w:div w:id="183089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731392">
                                              <w:marLeft w:val="0"/>
                                              <w:marRight w:val="0"/>
                                              <w:marTop w:val="0"/>
                                              <w:marBottom w:val="420"/>
                                              <w:divBdr>
                                                <w:top w:val="none" w:sz="0" w:space="0" w:color="auto"/>
                                                <w:left w:val="none" w:sz="0" w:space="0" w:color="auto"/>
                                                <w:bottom w:val="none" w:sz="0" w:space="0" w:color="auto"/>
                                                <w:right w:val="none" w:sz="0" w:space="0" w:color="auto"/>
                                              </w:divBdr>
                                              <w:divsChild>
                                                <w:div w:id="351683985">
                                                  <w:marLeft w:val="0"/>
                                                  <w:marRight w:val="0"/>
                                                  <w:marTop w:val="0"/>
                                                  <w:marBottom w:val="0"/>
                                                  <w:divBdr>
                                                    <w:top w:val="none" w:sz="0" w:space="0" w:color="auto"/>
                                                    <w:left w:val="none" w:sz="0" w:space="0" w:color="auto"/>
                                                    <w:bottom w:val="none" w:sz="0" w:space="0" w:color="auto"/>
                                                    <w:right w:val="none" w:sz="0" w:space="0" w:color="auto"/>
                                                  </w:divBdr>
                                                  <w:divsChild>
                                                    <w:div w:id="1086807734">
                                                      <w:marLeft w:val="0"/>
                                                      <w:marRight w:val="0"/>
                                                      <w:marTop w:val="0"/>
                                                      <w:marBottom w:val="0"/>
                                                      <w:divBdr>
                                                        <w:top w:val="none" w:sz="0" w:space="0" w:color="auto"/>
                                                        <w:left w:val="none" w:sz="0" w:space="0" w:color="auto"/>
                                                        <w:bottom w:val="none" w:sz="0" w:space="0" w:color="auto"/>
                                                        <w:right w:val="none" w:sz="0" w:space="0" w:color="auto"/>
                                                      </w:divBdr>
                                                      <w:divsChild>
                                                        <w:div w:id="754975184">
                                                          <w:marLeft w:val="0"/>
                                                          <w:marRight w:val="0"/>
                                                          <w:marTop w:val="0"/>
                                                          <w:marBottom w:val="0"/>
                                                          <w:divBdr>
                                                            <w:top w:val="none" w:sz="0" w:space="0" w:color="auto"/>
                                                            <w:left w:val="none" w:sz="0" w:space="0" w:color="auto"/>
                                                            <w:bottom w:val="none" w:sz="0" w:space="0" w:color="auto"/>
                                                            <w:right w:val="none" w:sz="0" w:space="0" w:color="auto"/>
                                                          </w:divBdr>
                                                          <w:divsChild>
                                                            <w:div w:id="1798989937">
                                                              <w:marLeft w:val="0"/>
                                                              <w:marRight w:val="0"/>
                                                              <w:marTop w:val="0"/>
                                                              <w:marBottom w:val="0"/>
                                                              <w:divBdr>
                                                                <w:top w:val="none" w:sz="0" w:space="0" w:color="auto"/>
                                                                <w:left w:val="none" w:sz="0" w:space="0" w:color="auto"/>
                                                                <w:bottom w:val="none" w:sz="0" w:space="0" w:color="auto"/>
                                                                <w:right w:val="none" w:sz="0" w:space="0" w:color="auto"/>
                                                              </w:divBdr>
                                                            </w:div>
                                                            <w:div w:id="62460360">
                                                              <w:marLeft w:val="45"/>
                                                              <w:marRight w:val="45"/>
                                                              <w:marTop w:val="15"/>
                                                              <w:marBottom w:val="0"/>
                                                              <w:divBdr>
                                                                <w:top w:val="none" w:sz="0" w:space="0" w:color="auto"/>
                                                                <w:left w:val="none" w:sz="0" w:space="0" w:color="auto"/>
                                                                <w:bottom w:val="none" w:sz="0" w:space="0" w:color="auto"/>
                                                                <w:right w:val="none" w:sz="0" w:space="0" w:color="auto"/>
                                                              </w:divBdr>
                                                              <w:divsChild>
                                                                <w:div w:id="195540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169894">
                                                          <w:marLeft w:val="0"/>
                                                          <w:marRight w:val="0"/>
                                                          <w:marTop w:val="0"/>
                                                          <w:marBottom w:val="0"/>
                                                          <w:divBdr>
                                                            <w:top w:val="none" w:sz="0" w:space="0" w:color="auto"/>
                                                            <w:left w:val="none" w:sz="0" w:space="0" w:color="auto"/>
                                                            <w:bottom w:val="none" w:sz="0" w:space="0" w:color="auto"/>
                                                            <w:right w:val="none" w:sz="0" w:space="0" w:color="auto"/>
                                                          </w:divBdr>
                                                          <w:divsChild>
                                                            <w:div w:id="2002079752">
                                                              <w:marLeft w:val="0"/>
                                                              <w:marRight w:val="0"/>
                                                              <w:marTop w:val="0"/>
                                                              <w:marBottom w:val="0"/>
                                                              <w:divBdr>
                                                                <w:top w:val="none" w:sz="0" w:space="0" w:color="auto"/>
                                                                <w:left w:val="none" w:sz="0" w:space="0" w:color="auto"/>
                                                                <w:bottom w:val="none" w:sz="0" w:space="0" w:color="auto"/>
                                                                <w:right w:val="none" w:sz="0" w:space="0" w:color="auto"/>
                                                              </w:divBdr>
                                                              <w:divsChild>
                                                                <w:div w:id="20502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4356095">
                  <w:marLeft w:val="0"/>
                  <w:marRight w:val="0"/>
                  <w:marTop w:val="0"/>
                  <w:marBottom w:val="0"/>
                  <w:divBdr>
                    <w:top w:val="none" w:sz="0" w:space="0" w:color="auto"/>
                    <w:left w:val="none" w:sz="0" w:space="0" w:color="auto"/>
                    <w:bottom w:val="none" w:sz="0" w:space="0" w:color="auto"/>
                    <w:right w:val="none" w:sz="0" w:space="0" w:color="auto"/>
                  </w:divBdr>
                  <w:divsChild>
                    <w:div w:id="244654544">
                      <w:marLeft w:val="0"/>
                      <w:marRight w:val="0"/>
                      <w:marTop w:val="0"/>
                      <w:marBottom w:val="0"/>
                      <w:divBdr>
                        <w:top w:val="none" w:sz="0" w:space="0" w:color="auto"/>
                        <w:left w:val="none" w:sz="0" w:space="0" w:color="auto"/>
                        <w:bottom w:val="none" w:sz="0" w:space="0" w:color="auto"/>
                        <w:right w:val="none" w:sz="0" w:space="0" w:color="auto"/>
                      </w:divBdr>
                      <w:divsChild>
                        <w:div w:id="486939450">
                          <w:marLeft w:val="0"/>
                          <w:marRight w:val="0"/>
                          <w:marTop w:val="0"/>
                          <w:marBottom w:val="0"/>
                          <w:divBdr>
                            <w:top w:val="none" w:sz="0" w:space="0" w:color="auto"/>
                            <w:left w:val="none" w:sz="0" w:space="0" w:color="auto"/>
                            <w:bottom w:val="none" w:sz="0" w:space="0" w:color="auto"/>
                            <w:right w:val="none" w:sz="0" w:space="0" w:color="auto"/>
                          </w:divBdr>
                          <w:divsChild>
                            <w:div w:id="118426976">
                              <w:marLeft w:val="0"/>
                              <w:marRight w:val="0"/>
                              <w:marTop w:val="0"/>
                              <w:marBottom w:val="420"/>
                              <w:divBdr>
                                <w:top w:val="none" w:sz="0" w:space="0" w:color="auto"/>
                                <w:left w:val="none" w:sz="0" w:space="0" w:color="auto"/>
                                <w:bottom w:val="none" w:sz="0" w:space="0" w:color="auto"/>
                                <w:right w:val="none" w:sz="0" w:space="0" w:color="auto"/>
                              </w:divBdr>
                              <w:divsChild>
                                <w:div w:id="402678486">
                                  <w:marLeft w:val="0"/>
                                  <w:marRight w:val="0"/>
                                  <w:marTop w:val="0"/>
                                  <w:marBottom w:val="0"/>
                                  <w:divBdr>
                                    <w:top w:val="none" w:sz="0" w:space="0" w:color="auto"/>
                                    <w:left w:val="none" w:sz="0" w:space="0" w:color="auto"/>
                                    <w:bottom w:val="none" w:sz="0" w:space="0" w:color="auto"/>
                                    <w:right w:val="none" w:sz="0" w:space="0" w:color="auto"/>
                                  </w:divBdr>
                                </w:div>
                                <w:div w:id="1851526872">
                                  <w:marLeft w:val="0"/>
                                  <w:marRight w:val="0"/>
                                  <w:marTop w:val="0"/>
                                  <w:marBottom w:val="0"/>
                                  <w:divBdr>
                                    <w:top w:val="none" w:sz="0" w:space="0" w:color="auto"/>
                                    <w:left w:val="none" w:sz="0" w:space="0" w:color="auto"/>
                                    <w:bottom w:val="none" w:sz="0" w:space="0" w:color="auto"/>
                                    <w:right w:val="none" w:sz="0" w:space="0" w:color="auto"/>
                                  </w:divBdr>
                                  <w:divsChild>
                                    <w:div w:id="1497107457">
                                      <w:marLeft w:val="0"/>
                                      <w:marRight w:val="0"/>
                                      <w:marTop w:val="0"/>
                                      <w:marBottom w:val="0"/>
                                      <w:divBdr>
                                        <w:top w:val="none" w:sz="0" w:space="0" w:color="auto"/>
                                        <w:left w:val="none" w:sz="0" w:space="0" w:color="auto"/>
                                        <w:bottom w:val="none" w:sz="0" w:space="0" w:color="auto"/>
                                        <w:right w:val="none" w:sz="0" w:space="0" w:color="auto"/>
                                      </w:divBdr>
                                    </w:div>
                                    <w:div w:id="21307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766304">
                  <w:marLeft w:val="0"/>
                  <w:marRight w:val="0"/>
                  <w:marTop w:val="0"/>
                  <w:marBottom w:val="0"/>
                  <w:divBdr>
                    <w:top w:val="none" w:sz="0" w:space="0" w:color="auto"/>
                    <w:left w:val="none" w:sz="0" w:space="0" w:color="auto"/>
                    <w:bottom w:val="none" w:sz="0" w:space="0" w:color="auto"/>
                    <w:right w:val="none" w:sz="0" w:space="0" w:color="auto"/>
                  </w:divBdr>
                  <w:divsChild>
                    <w:div w:id="1604141511">
                      <w:marLeft w:val="0"/>
                      <w:marRight w:val="0"/>
                      <w:marTop w:val="0"/>
                      <w:marBottom w:val="0"/>
                      <w:divBdr>
                        <w:top w:val="none" w:sz="0" w:space="0" w:color="auto"/>
                        <w:left w:val="none" w:sz="0" w:space="0" w:color="auto"/>
                        <w:bottom w:val="none" w:sz="0" w:space="0" w:color="auto"/>
                        <w:right w:val="none" w:sz="0" w:space="0" w:color="auto"/>
                      </w:divBdr>
                      <w:divsChild>
                        <w:div w:id="4399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8435631">
      <w:bodyDiv w:val="1"/>
      <w:marLeft w:val="0"/>
      <w:marRight w:val="0"/>
      <w:marTop w:val="0"/>
      <w:marBottom w:val="0"/>
      <w:divBdr>
        <w:top w:val="none" w:sz="0" w:space="0" w:color="auto"/>
        <w:left w:val="none" w:sz="0" w:space="0" w:color="auto"/>
        <w:bottom w:val="none" w:sz="0" w:space="0" w:color="auto"/>
        <w:right w:val="none" w:sz="0" w:space="0" w:color="auto"/>
      </w:divBdr>
    </w:div>
    <w:div w:id="709496493">
      <w:bodyDiv w:val="1"/>
      <w:marLeft w:val="0"/>
      <w:marRight w:val="0"/>
      <w:marTop w:val="0"/>
      <w:marBottom w:val="0"/>
      <w:divBdr>
        <w:top w:val="none" w:sz="0" w:space="0" w:color="auto"/>
        <w:left w:val="none" w:sz="0" w:space="0" w:color="auto"/>
        <w:bottom w:val="none" w:sz="0" w:space="0" w:color="auto"/>
        <w:right w:val="none" w:sz="0" w:space="0" w:color="auto"/>
      </w:divBdr>
    </w:div>
    <w:div w:id="709841316">
      <w:bodyDiv w:val="1"/>
      <w:marLeft w:val="0"/>
      <w:marRight w:val="0"/>
      <w:marTop w:val="0"/>
      <w:marBottom w:val="0"/>
      <w:divBdr>
        <w:top w:val="none" w:sz="0" w:space="0" w:color="auto"/>
        <w:left w:val="none" w:sz="0" w:space="0" w:color="auto"/>
        <w:bottom w:val="none" w:sz="0" w:space="0" w:color="auto"/>
        <w:right w:val="none" w:sz="0" w:space="0" w:color="auto"/>
      </w:divBdr>
    </w:div>
    <w:div w:id="780494907">
      <w:bodyDiv w:val="1"/>
      <w:marLeft w:val="0"/>
      <w:marRight w:val="0"/>
      <w:marTop w:val="0"/>
      <w:marBottom w:val="0"/>
      <w:divBdr>
        <w:top w:val="none" w:sz="0" w:space="0" w:color="auto"/>
        <w:left w:val="none" w:sz="0" w:space="0" w:color="auto"/>
        <w:bottom w:val="none" w:sz="0" w:space="0" w:color="auto"/>
        <w:right w:val="none" w:sz="0" w:space="0" w:color="auto"/>
      </w:divBdr>
    </w:div>
    <w:div w:id="782848893">
      <w:bodyDiv w:val="1"/>
      <w:marLeft w:val="0"/>
      <w:marRight w:val="0"/>
      <w:marTop w:val="0"/>
      <w:marBottom w:val="0"/>
      <w:divBdr>
        <w:top w:val="none" w:sz="0" w:space="0" w:color="auto"/>
        <w:left w:val="none" w:sz="0" w:space="0" w:color="auto"/>
        <w:bottom w:val="none" w:sz="0" w:space="0" w:color="auto"/>
        <w:right w:val="none" w:sz="0" w:space="0" w:color="auto"/>
      </w:divBdr>
    </w:div>
    <w:div w:id="824590582">
      <w:bodyDiv w:val="1"/>
      <w:marLeft w:val="0"/>
      <w:marRight w:val="0"/>
      <w:marTop w:val="0"/>
      <w:marBottom w:val="0"/>
      <w:divBdr>
        <w:top w:val="none" w:sz="0" w:space="0" w:color="auto"/>
        <w:left w:val="none" w:sz="0" w:space="0" w:color="auto"/>
        <w:bottom w:val="none" w:sz="0" w:space="0" w:color="auto"/>
        <w:right w:val="none" w:sz="0" w:space="0" w:color="auto"/>
      </w:divBdr>
    </w:div>
    <w:div w:id="833763725">
      <w:bodyDiv w:val="1"/>
      <w:marLeft w:val="0"/>
      <w:marRight w:val="0"/>
      <w:marTop w:val="0"/>
      <w:marBottom w:val="0"/>
      <w:divBdr>
        <w:top w:val="none" w:sz="0" w:space="0" w:color="auto"/>
        <w:left w:val="none" w:sz="0" w:space="0" w:color="auto"/>
        <w:bottom w:val="none" w:sz="0" w:space="0" w:color="auto"/>
        <w:right w:val="none" w:sz="0" w:space="0" w:color="auto"/>
      </w:divBdr>
    </w:div>
    <w:div w:id="916397907">
      <w:bodyDiv w:val="1"/>
      <w:marLeft w:val="0"/>
      <w:marRight w:val="0"/>
      <w:marTop w:val="0"/>
      <w:marBottom w:val="0"/>
      <w:divBdr>
        <w:top w:val="none" w:sz="0" w:space="0" w:color="auto"/>
        <w:left w:val="none" w:sz="0" w:space="0" w:color="auto"/>
        <w:bottom w:val="none" w:sz="0" w:space="0" w:color="auto"/>
        <w:right w:val="none" w:sz="0" w:space="0" w:color="auto"/>
      </w:divBdr>
    </w:div>
    <w:div w:id="983392787">
      <w:bodyDiv w:val="1"/>
      <w:marLeft w:val="0"/>
      <w:marRight w:val="0"/>
      <w:marTop w:val="0"/>
      <w:marBottom w:val="0"/>
      <w:divBdr>
        <w:top w:val="none" w:sz="0" w:space="0" w:color="auto"/>
        <w:left w:val="none" w:sz="0" w:space="0" w:color="auto"/>
        <w:bottom w:val="none" w:sz="0" w:space="0" w:color="auto"/>
        <w:right w:val="none" w:sz="0" w:space="0" w:color="auto"/>
      </w:divBdr>
    </w:div>
    <w:div w:id="1037973793">
      <w:bodyDiv w:val="1"/>
      <w:marLeft w:val="0"/>
      <w:marRight w:val="0"/>
      <w:marTop w:val="0"/>
      <w:marBottom w:val="0"/>
      <w:divBdr>
        <w:top w:val="none" w:sz="0" w:space="0" w:color="auto"/>
        <w:left w:val="none" w:sz="0" w:space="0" w:color="auto"/>
        <w:bottom w:val="none" w:sz="0" w:space="0" w:color="auto"/>
        <w:right w:val="none" w:sz="0" w:space="0" w:color="auto"/>
      </w:divBdr>
    </w:div>
    <w:div w:id="1053041487">
      <w:bodyDiv w:val="1"/>
      <w:marLeft w:val="0"/>
      <w:marRight w:val="0"/>
      <w:marTop w:val="0"/>
      <w:marBottom w:val="0"/>
      <w:divBdr>
        <w:top w:val="none" w:sz="0" w:space="0" w:color="auto"/>
        <w:left w:val="none" w:sz="0" w:space="0" w:color="auto"/>
        <w:bottom w:val="none" w:sz="0" w:space="0" w:color="auto"/>
        <w:right w:val="none" w:sz="0" w:space="0" w:color="auto"/>
      </w:divBdr>
    </w:div>
    <w:div w:id="1102259439">
      <w:bodyDiv w:val="1"/>
      <w:marLeft w:val="0"/>
      <w:marRight w:val="0"/>
      <w:marTop w:val="0"/>
      <w:marBottom w:val="0"/>
      <w:divBdr>
        <w:top w:val="none" w:sz="0" w:space="0" w:color="auto"/>
        <w:left w:val="none" w:sz="0" w:space="0" w:color="auto"/>
        <w:bottom w:val="none" w:sz="0" w:space="0" w:color="auto"/>
        <w:right w:val="none" w:sz="0" w:space="0" w:color="auto"/>
      </w:divBdr>
    </w:div>
    <w:div w:id="1125737357">
      <w:bodyDiv w:val="1"/>
      <w:marLeft w:val="0"/>
      <w:marRight w:val="0"/>
      <w:marTop w:val="0"/>
      <w:marBottom w:val="0"/>
      <w:divBdr>
        <w:top w:val="none" w:sz="0" w:space="0" w:color="auto"/>
        <w:left w:val="none" w:sz="0" w:space="0" w:color="auto"/>
        <w:bottom w:val="none" w:sz="0" w:space="0" w:color="auto"/>
        <w:right w:val="none" w:sz="0" w:space="0" w:color="auto"/>
      </w:divBdr>
    </w:div>
    <w:div w:id="1128013132">
      <w:bodyDiv w:val="1"/>
      <w:marLeft w:val="0"/>
      <w:marRight w:val="0"/>
      <w:marTop w:val="0"/>
      <w:marBottom w:val="0"/>
      <w:divBdr>
        <w:top w:val="none" w:sz="0" w:space="0" w:color="auto"/>
        <w:left w:val="none" w:sz="0" w:space="0" w:color="auto"/>
        <w:bottom w:val="none" w:sz="0" w:space="0" w:color="auto"/>
        <w:right w:val="none" w:sz="0" w:space="0" w:color="auto"/>
      </w:divBdr>
    </w:div>
    <w:div w:id="1292129074">
      <w:bodyDiv w:val="1"/>
      <w:marLeft w:val="0"/>
      <w:marRight w:val="0"/>
      <w:marTop w:val="0"/>
      <w:marBottom w:val="0"/>
      <w:divBdr>
        <w:top w:val="none" w:sz="0" w:space="0" w:color="auto"/>
        <w:left w:val="none" w:sz="0" w:space="0" w:color="auto"/>
        <w:bottom w:val="none" w:sz="0" w:space="0" w:color="auto"/>
        <w:right w:val="none" w:sz="0" w:space="0" w:color="auto"/>
      </w:divBdr>
    </w:div>
    <w:div w:id="1292790061">
      <w:bodyDiv w:val="1"/>
      <w:marLeft w:val="0"/>
      <w:marRight w:val="0"/>
      <w:marTop w:val="0"/>
      <w:marBottom w:val="0"/>
      <w:divBdr>
        <w:top w:val="none" w:sz="0" w:space="0" w:color="auto"/>
        <w:left w:val="none" w:sz="0" w:space="0" w:color="auto"/>
        <w:bottom w:val="none" w:sz="0" w:space="0" w:color="auto"/>
        <w:right w:val="none" w:sz="0" w:space="0" w:color="auto"/>
      </w:divBdr>
    </w:div>
    <w:div w:id="1301498533">
      <w:bodyDiv w:val="1"/>
      <w:marLeft w:val="0"/>
      <w:marRight w:val="0"/>
      <w:marTop w:val="0"/>
      <w:marBottom w:val="0"/>
      <w:divBdr>
        <w:top w:val="none" w:sz="0" w:space="0" w:color="auto"/>
        <w:left w:val="none" w:sz="0" w:space="0" w:color="auto"/>
        <w:bottom w:val="none" w:sz="0" w:space="0" w:color="auto"/>
        <w:right w:val="none" w:sz="0" w:space="0" w:color="auto"/>
      </w:divBdr>
    </w:div>
    <w:div w:id="1366753453">
      <w:bodyDiv w:val="1"/>
      <w:marLeft w:val="0"/>
      <w:marRight w:val="0"/>
      <w:marTop w:val="0"/>
      <w:marBottom w:val="0"/>
      <w:divBdr>
        <w:top w:val="none" w:sz="0" w:space="0" w:color="auto"/>
        <w:left w:val="none" w:sz="0" w:space="0" w:color="auto"/>
        <w:bottom w:val="none" w:sz="0" w:space="0" w:color="auto"/>
        <w:right w:val="none" w:sz="0" w:space="0" w:color="auto"/>
      </w:divBdr>
    </w:div>
    <w:div w:id="1384210141">
      <w:bodyDiv w:val="1"/>
      <w:marLeft w:val="0"/>
      <w:marRight w:val="0"/>
      <w:marTop w:val="0"/>
      <w:marBottom w:val="0"/>
      <w:divBdr>
        <w:top w:val="none" w:sz="0" w:space="0" w:color="auto"/>
        <w:left w:val="none" w:sz="0" w:space="0" w:color="auto"/>
        <w:bottom w:val="none" w:sz="0" w:space="0" w:color="auto"/>
        <w:right w:val="none" w:sz="0" w:space="0" w:color="auto"/>
      </w:divBdr>
    </w:div>
    <w:div w:id="1426536212">
      <w:bodyDiv w:val="1"/>
      <w:marLeft w:val="0"/>
      <w:marRight w:val="0"/>
      <w:marTop w:val="0"/>
      <w:marBottom w:val="0"/>
      <w:divBdr>
        <w:top w:val="none" w:sz="0" w:space="0" w:color="auto"/>
        <w:left w:val="none" w:sz="0" w:space="0" w:color="auto"/>
        <w:bottom w:val="none" w:sz="0" w:space="0" w:color="auto"/>
        <w:right w:val="none" w:sz="0" w:space="0" w:color="auto"/>
      </w:divBdr>
    </w:div>
    <w:div w:id="1473062497">
      <w:bodyDiv w:val="1"/>
      <w:marLeft w:val="0"/>
      <w:marRight w:val="0"/>
      <w:marTop w:val="0"/>
      <w:marBottom w:val="0"/>
      <w:divBdr>
        <w:top w:val="none" w:sz="0" w:space="0" w:color="auto"/>
        <w:left w:val="none" w:sz="0" w:space="0" w:color="auto"/>
        <w:bottom w:val="none" w:sz="0" w:space="0" w:color="auto"/>
        <w:right w:val="none" w:sz="0" w:space="0" w:color="auto"/>
      </w:divBdr>
    </w:div>
    <w:div w:id="1486429394">
      <w:bodyDiv w:val="1"/>
      <w:marLeft w:val="0"/>
      <w:marRight w:val="0"/>
      <w:marTop w:val="0"/>
      <w:marBottom w:val="0"/>
      <w:divBdr>
        <w:top w:val="none" w:sz="0" w:space="0" w:color="auto"/>
        <w:left w:val="none" w:sz="0" w:space="0" w:color="auto"/>
        <w:bottom w:val="none" w:sz="0" w:space="0" w:color="auto"/>
        <w:right w:val="none" w:sz="0" w:space="0" w:color="auto"/>
      </w:divBdr>
    </w:div>
    <w:div w:id="1520385796">
      <w:bodyDiv w:val="1"/>
      <w:marLeft w:val="0"/>
      <w:marRight w:val="0"/>
      <w:marTop w:val="0"/>
      <w:marBottom w:val="0"/>
      <w:divBdr>
        <w:top w:val="none" w:sz="0" w:space="0" w:color="auto"/>
        <w:left w:val="none" w:sz="0" w:space="0" w:color="auto"/>
        <w:bottom w:val="none" w:sz="0" w:space="0" w:color="auto"/>
        <w:right w:val="none" w:sz="0" w:space="0" w:color="auto"/>
      </w:divBdr>
    </w:div>
    <w:div w:id="1600718066">
      <w:bodyDiv w:val="1"/>
      <w:marLeft w:val="0"/>
      <w:marRight w:val="0"/>
      <w:marTop w:val="0"/>
      <w:marBottom w:val="0"/>
      <w:divBdr>
        <w:top w:val="none" w:sz="0" w:space="0" w:color="auto"/>
        <w:left w:val="none" w:sz="0" w:space="0" w:color="auto"/>
        <w:bottom w:val="none" w:sz="0" w:space="0" w:color="auto"/>
        <w:right w:val="none" w:sz="0" w:space="0" w:color="auto"/>
      </w:divBdr>
    </w:div>
    <w:div w:id="1633437227">
      <w:bodyDiv w:val="1"/>
      <w:marLeft w:val="0"/>
      <w:marRight w:val="0"/>
      <w:marTop w:val="0"/>
      <w:marBottom w:val="0"/>
      <w:divBdr>
        <w:top w:val="none" w:sz="0" w:space="0" w:color="auto"/>
        <w:left w:val="none" w:sz="0" w:space="0" w:color="auto"/>
        <w:bottom w:val="none" w:sz="0" w:space="0" w:color="auto"/>
        <w:right w:val="none" w:sz="0" w:space="0" w:color="auto"/>
      </w:divBdr>
    </w:div>
    <w:div w:id="1722512987">
      <w:bodyDiv w:val="1"/>
      <w:marLeft w:val="0"/>
      <w:marRight w:val="0"/>
      <w:marTop w:val="0"/>
      <w:marBottom w:val="0"/>
      <w:divBdr>
        <w:top w:val="none" w:sz="0" w:space="0" w:color="auto"/>
        <w:left w:val="none" w:sz="0" w:space="0" w:color="auto"/>
        <w:bottom w:val="none" w:sz="0" w:space="0" w:color="auto"/>
        <w:right w:val="none" w:sz="0" w:space="0" w:color="auto"/>
      </w:divBdr>
    </w:div>
    <w:div w:id="1794666529">
      <w:bodyDiv w:val="1"/>
      <w:marLeft w:val="0"/>
      <w:marRight w:val="0"/>
      <w:marTop w:val="0"/>
      <w:marBottom w:val="0"/>
      <w:divBdr>
        <w:top w:val="none" w:sz="0" w:space="0" w:color="auto"/>
        <w:left w:val="none" w:sz="0" w:space="0" w:color="auto"/>
        <w:bottom w:val="none" w:sz="0" w:space="0" w:color="auto"/>
        <w:right w:val="none" w:sz="0" w:space="0" w:color="auto"/>
      </w:divBdr>
    </w:div>
    <w:div w:id="1824926532">
      <w:bodyDiv w:val="1"/>
      <w:marLeft w:val="0"/>
      <w:marRight w:val="0"/>
      <w:marTop w:val="0"/>
      <w:marBottom w:val="0"/>
      <w:divBdr>
        <w:top w:val="none" w:sz="0" w:space="0" w:color="auto"/>
        <w:left w:val="none" w:sz="0" w:space="0" w:color="auto"/>
        <w:bottom w:val="none" w:sz="0" w:space="0" w:color="auto"/>
        <w:right w:val="none" w:sz="0" w:space="0" w:color="auto"/>
      </w:divBdr>
    </w:div>
    <w:div w:id="1948002216">
      <w:bodyDiv w:val="1"/>
      <w:marLeft w:val="0"/>
      <w:marRight w:val="0"/>
      <w:marTop w:val="0"/>
      <w:marBottom w:val="0"/>
      <w:divBdr>
        <w:top w:val="none" w:sz="0" w:space="0" w:color="auto"/>
        <w:left w:val="none" w:sz="0" w:space="0" w:color="auto"/>
        <w:bottom w:val="none" w:sz="0" w:space="0" w:color="auto"/>
        <w:right w:val="none" w:sz="0" w:space="0" w:color="auto"/>
      </w:divBdr>
    </w:div>
    <w:div w:id="2035763285">
      <w:bodyDiv w:val="1"/>
      <w:marLeft w:val="0"/>
      <w:marRight w:val="0"/>
      <w:marTop w:val="0"/>
      <w:marBottom w:val="0"/>
      <w:divBdr>
        <w:top w:val="none" w:sz="0" w:space="0" w:color="auto"/>
        <w:left w:val="none" w:sz="0" w:space="0" w:color="auto"/>
        <w:bottom w:val="none" w:sz="0" w:space="0" w:color="auto"/>
        <w:right w:val="none" w:sz="0" w:space="0" w:color="auto"/>
      </w:divBdr>
    </w:div>
    <w:div w:id="2082559696">
      <w:bodyDiv w:val="1"/>
      <w:marLeft w:val="0"/>
      <w:marRight w:val="0"/>
      <w:marTop w:val="0"/>
      <w:marBottom w:val="0"/>
      <w:divBdr>
        <w:top w:val="none" w:sz="0" w:space="0" w:color="auto"/>
        <w:left w:val="none" w:sz="0" w:space="0" w:color="auto"/>
        <w:bottom w:val="none" w:sz="0" w:space="0" w:color="auto"/>
        <w:right w:val="none" w:sz="0" w:space="0" w:color="auto"/>
      </w:divBdr>
    </w:div>
    <w:div w:id="2121532107">
      <w:bodyDiv w:val="1"/>
      <w:marLeft w:val="0"/>
      <w:marRight w:val="0"/>
      <w:marTop w:val="0"/>
      <w:marBottom w:val="0"/>
      <w:divBdr>
        <w:top w:val="none" w:sz="0" w:space="0" w:color="auto"/>
        <w:left w:val="none" w:sz="0" w:space="0" w:color="auto"/>
        <w:bottom w:val="none" w:sz="0" w:space="0" w:color="auto"/>
        <w:right w:val="none" w:sz="0" w:space="0" w:color="auto"/>
      </w:divBdr>
    </w:div>
    <w:div w:id="213806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dutchbanglabank.com/sme-banking/cash-credit-lenden.html" TargetMode="External"/><Relationship Id="rId18" Type="http://schemas.openxmlformats.org/officeDocument/2006/relationships/hyperlink" Target="https://www.dutchbanglabank.com/sme-banking/women-loan-shofolota.html" TargetMode="External"/><Relationship Id="rId26" Type="http://schemas.openxmlformats.org/officeDocument/2006/relationships/chart" Target="charts/chart2.xml"/><Relationship Id="rId39" Type="http://schemas.openxmlformats.org/officeDocument/2006/relationships/hyperlink" Target="https://www.bis.org/bcbs/mesc.htm" TargetMode="External"/><Relationship Id="rId3" Type="http://schemas.openxmlformats.org/officeDocument/2006/relationships/styles" Target="styles.xml"/><Relationship Id="rId21" Type="http://schemas.openxmlformats.org/officeDocument/2006/relationships/diagramLayout" Target="diagrams/layout1.xml"/><Relationship Id="rId34" Type="http://schemas.openxmlformats.org/officeDocument/2006/relationships/hyperlink" Target="https://www.dutchbanglabank.com/investor-relations/Annual-Report-2015/Annual-Report-2015.pdf" TargetMode="External"/><Relationship Id="rId42" Type="http://schemas.openxmlformats.org/officeDocument/2006/relationships/hyperlink" Target="https://www.bis.org/publ/bcbs195.htm" TargetMode="External"/><Relationship Id="rId47" Type="http://schemas.openxmlformats.org/officeDocument/2006/relationships/hyperlink" Target="https://en.wikipedia.org/wiki/Basel_III" TargetMode="External"/><Relationship Id="rId50" Type="http://schemas.openxmlformats.org/officeDocument/2006/relationships/hyperlink" Target="https://ideas.repec.org/a/eee/jbfina/v24y2000i1-2p35-58.html"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dutchbanglabank.com/sme-banking/women-loan-uthsaho.html" TargetMode="External"/><Relationship Id="rId25" Type="http://schemas.openxmlformats.org/officeDocument/2006/relationships/chart" Target="charts/chart1.xml"/><Relationship Id="rId33" Type="http://schemas.openxmlformats.org/officeDocument/2006/relationships/hyperlink" Target="https://www.dutchbanglabank.com/investor-relations/Annual-Report-2016/Annual-Report-2016.pdf" TargetMode="External"/><Relationship Id="rId38" Type="http://schemas.openxmlformats.org/officeDocument/2006/relationships/hyperlink" Target="https://www.bis.org/publ/bcbs107.htm" TargetMode="External"/><Relationship Id="rId46" Type="http://schemas.openxmlformats.org/officeDocument/2006/relationships/hyperlink" Target="https://en.wikipedia.org/wiki/Basel_II" TargetMode="External"/><Relationship Id="rId2" Type="http://schemas.openxmlformats.org/officeDocument/2006/relationships/numbering" Target="numbering.xml"/><Relationship Id="rId16" Type="http://schemas.openxmlformats.org/officeDocument/2006/relationships/hyperlink" Target="https://www.dutchbanglabank.com/sme-banking/festival-loan-utshab.html" TargetMode="External"/><Relationship Id="rId20" Type="http://schemas.openxmlformats.org/officeDocument/2006/relationships/diagramData" Target="diagrams/data1.xml"/><Relationship Id="rId29" Type="http://schemas.openxmlformats.org/officeDocument/2006/relationships/chart" Target="charts/chart5.xml"/><Relationship Id="rId41" Type="http://schemas.openxmlformats.org/officeDocument/2006/relationships/hyperlink" Target="https://www.bis.org/bcbs/" TargetMode="External"/><Relationship Id="rId54"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07/relationships/diagramDrawing" Target="diagrams/drawing1.xml"/><Relationship Id="rId32" Type="http://schemas.openxmlformats.org/officeDocument/2006/relationships/hyperlink" Target="https://www.dutchbanglabank.com/investor-relations/Annual-Report-2017/Annual-%20Report-2017.pdf" TargetMode="External"/><Relationship Id="rId37" Type="http://schemas.openxmlformats.org/officeDocument/2006/relationships/hyperlink" Target="https://www.bis.org/bcbs/basel3.htm?m=3%7C14%7C572" TargetMode="External"/><Relationship Id="rId40" Type="http://schemas.openxmlformats.org/officeDocument/2006/relationships/hyperlink" Target="https://www.bis.org/list/bcbs_all/sdt_1/index.htm" TargetMode="External"/><Relationship Id="rId45" Type="http://schemas.openxmlformats.org/officeDocument/2006/relationships/hyperlink" Target="https://en.wikipedia.org/wiki/Basel_I"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utchbanglabank.com/sme-banking/property-loan-janala.html" TargetMode="External"/><Relationship Id="rId23" Type="http://schemas.openxmlformats.org/officeDocument/2006/relationships/diagramColors" Target="diagrams/colors1.xml"/><Relationship Id="rId28" Type="http://schemas.openxmlformats.org/officeDocument/2006/relationships/chart" Target="charts/chart4.xml"/><Relationship Id="rId36" Type="http://schemas.openxmlformats.org/officeDocument/2006/relationships/hyperlink" Target="https://www.bb.org.bd/" TargetMode="External"/><Relationship Id="rId49" Type="http://schemas.openxmlformats.org/officeDocument/2006/relationships/hyperlink" Target="https://apps.aima.in/ejournal_new/articlesPDF/Dr.BindyaKohli.pdf" TargetMode="External"/><Relationship Id="rId10" Type="http://schemas.openxmlformats.org/officeDocument/2006/relationships/header" Target="header1.xml"/><Relationship Id="rId19" Type="http://schemas.openxmlformats.org/officeDocument/2006/relationships/hyperlink" Target="https://www.dutchbanglabank.com/sme-banking/distributor-financing-prosher.html" TargetMode="External"/><Relationship Id="rId31" Type="http://schemas.openxmlformats.org/officeDocument/2006/relationships/chart" Target="charts/chart7.xml"/><Relationship Id="rId44" Type="http://schemas.openxmlformats.org/officeDocument/2006/relationships/hyperlink" Target="http://www.stephanygj.net/papers/Basel_II_and_Developing_CountriesDiversification_and_Portfolio_Effects.pdf"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dutchbanglabank.com/sme-banking/term-loan-somridhi.html" TargetMode="External"/><Relationship Id="rId22" Type="http://schemas.openxmlformats.org/officeDocument/2006/relationships/diagramQuickStyle" Target="diagrams/quickStyle1.xml"/><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hyperlink" Target="https://www.bb.org.bd/mediaroom/baselii/dec212014basel3_rbca.pdf" TargetMode="External"/><Relationship Id="rId43" Type="http://schemas.openxmlformats.org/officeDocument/2006/relationships/hyperlink" Target="https://www.bis.org/publ/bcbsca.htm" TargetMode="External"/><Relationship Id="rId48" Type="http://schemas.openxmlformats.org/officeDocument/2006/relationships/hyperlink" Target="https://en.wikipedia.org/wiki/Basel_Committee_on_Banking_Supervision" TargetMode="External"/><Relationship Id="rId8" Type="http://schemas.openxmlformats.org/officeDocument/2006/relationships/image" Target="media/image2.jpeg"/><Relationship Id="rId51" Type="http://schemas.openxmlformats.org/officeDocument/2006/relationships/hyperlink" Target="https://core.ac.uk/download/pdf/1491905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Public\Documents\Documents\Book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Public\Documents\Documents\Book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Public\Documents\Documents\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Public\Documents\Documents\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Public\Documents\Documen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
  <c:chart>
    <c:plotArea>
      <c:layout>
        <c:manualLayout>
          <c:layoutTarget val="inner"/>
          <c:xMode val="edge"/>
          <c:yMode val="edge"/>
          <c:x val="0.10139416983523462"/>
          <c:y val="0.19417126830299272"/>
          <c:w val="0.61067293394410294"/>
          <c:h val="0.63429331464454153"/>
        </c:manualLayout>
      </c:layout>
      <c:barChart>
        <c:barDir val="col"/>
        <c:grouping val="percentStacked"/>
        <c:ser>
          <c:idx val="0"/>
          <c:order val="0"/>
          <c:tx>
            <c:strRef>
              <c:f>Sheet1!$C$2</c:f>
              <c:strCache>
                <c:ptCount val="1"/>
                <c:pt idx="0">
                  <c:v>CET1/ Tier 1 Capital</c:v>
                </c:pt>
              </c:strCache>
            </c:strRef>
          </c:tx>
          <c:dLbls>
            <c:spPr>
              <a:gradFill>
                <a:gsLst>
                  <a:gs pos="0">
                    <a:srgbClr val="FBEAC7"/>
                  </a:gs>
                  <a:gs pos="17999">
                    <a:srgbClr val="FEE7F2"/>
                  </a:gs>
                  <a:gs pos="36000">
                    <a:srgbClr val="FAC77D"/>
                  </a:gs>
                  <a:gs pos="61000">
                    <a:srgbClr val="FBA97D"/>
                  </a:gs>
                  <a:gs pos="82001">
                    <a:srgbClr val="FBD49C"/>
                  </a:gs>
                  <a:gs pos="100000">
                    <a:srgbClr val="FEE7F2"/>
                  </a:gs>
                </a:gsLst>
                <a:lin ang="5400000" scaled="0"/>
              </a:gradFill>
            </c:spPr>
            <c:showVal val="1"/>
          </c:dLbls>
          <c:cat>
            <c:numRef>
              <c:f>Sheet1!$D$1:$F$1</c:f>
              <c:numCache>
                <c:formatCode>General</c:formatCode>
                <c:ptCount val="3"/>
                <c:pt idx="0">
                  <c:v>2017</c:v>
                </c:pt>
                <c:pt idx="1">
                  <c:v>2016</c:v>
                </c:pt>
                <c:pt idx="2">
                  <c:v>2015</c:v>
                </c:pt>
              </c:numCache>
            </c:numRef>
          </c:cat>
          <c:val>
            <c:numRef>
              <c:f>Sheet1!$D$2:$F$2</c:f>
              <c:numCache>
                <c:formatCode>General</c:formatCode>
                <c:ptCount val="3"/>
                <c:pt idx="0">
                  <c:v>16308.1</c:v>
                </c:pt>
                <c:pt idx="1">
                  <c:v>14747.5</c:v>
                </c:pt>
                <c:pt idx="2">
                  <c:v>14634.8</c:v>
                </c:pt>
              </c:numCache>
            </c:numRef>
          </c:val>
        </c:ser>
        <c:ser>
          <c:idx val="1"/>
          <c:order val="1"/>
          <c:tx>
            <c:strRef>
              <c:f>Sheet1!$C$3</c:f>
              <c:strCache>
                <c:ptCount val="1"/>
                <c:pt idx="0">
                  <c:v>Tier 2 Capital</c:v>
                </c:pt>
              </c:strCache>
            </c:strRef>
          </c:tx>
          <c:dLbls>
            <c:spPr>
              <a:gradFill>
                <a:gsLst>
                  <a:gs pos="0">
                    <a:srgbClr val="FBEAC7"/>
                  </a:gs>
                  <a:gs pos="17999">
                    <a:srgbClr val="FEE7F2"/>
                  </a:gs>
                  <a:gs pos="36000">
                    <a:srgbClr val="FAC77D"/>
                  </a:gs>
                  <a:gs pos="61000">
                    <a:srgbClr val="FBA97D"/>
                  </a:gs>
                  <a:gs pos="82001">
                    <a:srgbClr val="FBD49C"/>
                  </a:gs>
                  <a:gs pos="100000">
                    <a:srgbClr val="FEE7F2"/>
                  </a:gs>
                </a:gsLst>
                <a:lin ang="5400000" scaled="0"/>
              </a:gradFill>
            </c:spPr>
            <c:showVal val="1"/>
          </c:dLbls>
          <c:cat>
            <c:numRef>
              <c:f>Sheet1!$D$1:$F$1</c:f>
              <c:numCache>
                <c:formatCode>General</c:formatCode>
                <c:ptCount val="3"/>
                <c:pt idx="0">
                  <c:v>2017</c:v>
                </c:pt>
                <c:pt idx="1">
                  <c:v>2016</c:v>
                </c:pt>
                <c:pt idx="2">
                  <c:v>2015</c:v>
                </c:pt>
              </c:numCache>
            </c:numRef>
          </c:cat>
          <c:val>
            <c:numRef>
              <c:f>Sheet1!$D$3:$F$3</c:f>
              <c:numCache>
                <c:formatCode>General</c:formatCode>
                <c:ptCount val="3"/>
                <c:pt idx="0">
                  <c:v>9798.5</c:v>
                </c:pt>
                <c:pt idx="1">
                  <c:v>6501.9</c:v>
                </c:pt>
                <c:pt idx="2">
                  <c:v>6502.9</c:v>
                </c:pt>
              </c:numCache>
            </c:numRef>
          </c:val>
        </c:ser>
        <c:overlap val="100"/>
        <c:axId val="74636672"/>
        <c:axId val="74638464"/>
      </c:barChart>
      <c:catAx>
        <c:axId val="74636672"/>
        <c:scaling>
          <c:orientation val="minMax"/>
        </c:scaling>
        <c:axPos val="b"/>
        <c:numFmt formatCode="General" sourceLinked="1"/>
        <c:tickLblPos val="nextTo"/>
        <c:crossAx val="74638464"/>
        <c:crosses val="autoZero"/>
        <c:auto val="1"/>
        <c:lblAlgn val="ctr"/>
        <c:lblOffset val="100"/>
      </c:catAx>
      <c:valAx>
        <c:axId val="74638464"/>
        <c:scaling>
          <c:orientation val="minMax"/>
        </c:scaling>
        <c:delete val="1"/>
        <c:axPos val="l"/>
        <c:majorGridlines/>
        <c:numFmt formatCode="0%" sourceLinked="1"/>
        <c:tickLblPos val="none"/>
        <c:crossAx val="74636672"/>
        <c:crosses val="autoZero"/>
        <c:crossBetween val="between"/>
      </c:valAx>
    </c:plotArea>
    <c:legend>
      <c:legendPos val="r"/>
    </c:legend>
    <c:plotVisOnly val="1"/>
    <c:dispBlanksAs val="gap"/>
  </c:chart>
  <c:txPr>
    <a:bodyPr/>
    <a:lstStyle/>
    <a:p>
      <a:pPr>
        <a:defRPr sz="1200">
          <a:latin typeface="Times New Roman" pitchFamily="18" charset="0"/>
          <a:cs typeface="Times New Roman" pitchFamily="18" charset="0"/>
        </a:defRPr>
      </a:pPr>
      <a:endParaRPr lang="en-US"/>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percentStacked"/>
        <c:ser>
          <c:idx val="0"/>
          <c:order val="0"/>
          <c:tx>
            <c:strRef>
              <c:f>Sheet1!$C$3</c:f>
              <c:strCache>
                <c:ptCount val="1"/>
                <c:pt idx="0">
                  <c:v>CET1/Tier1 Capital Ratio</c:v>
                </c:pt>
              </c:strCache>
            </c:strRef>
          </c:tx>
          <c:dLbls>
            <c:spPr>
              <a:gradFill>
                <a:gsLst>
                  <a:gs pos="0">
                    <a:srgbClr val="EEECE1"/>
                  </a:gs>
                  <a:gs pos="50000">
                    <a:srgbClr val="4F81BD">
                      <a:tint val="44500"/>
                      <a:satMod val="160000"/>
                    </a:srgbClr>
                  </a:gs>
                  <a:gs pos="100000">
                    <a:srgbClr val="4F81BD">
                      <a:tint val="23500"/>
                      <a:satMod val="160000"/>
                    </a:srgbClr>
                  </a:gs>
                </a:gsLst>
                <a:lin ang="5400000" scaled="0"/>
              </a:gradFill>
            </c:spPr>
            <c:showVal val="1"/>
          </c:dLbls>
          <c:cat>
            <c:numRef>
              <c:f>Sheet1!$D$2:$F$2</c:f>
              <c:numCache>
                <c:formatCode>General</c:formatCode>
                <c:ptCount val="3"/>
                <c:pt idx="0">
                  <c:v>2015</c:v>
                </c:pt>
                <c:pt idx="1">
                  <c:v>2016</c:v>
                </c:pt>
                <c:pt idx="2">
                  <c:v>2017</c:v>
                </c:pt>
              </c:numCache>
            </c:numRef>
          </c:cat>
          <c:val>
            <c:numRef>
              <c:f>Sheet1!$D$3:$F$3</c:f>
              <c:numCache>
                <c:formatCode>0.00%</c:formatCode>
                <c:ptCount val="3"/>
                <c:pt idx="0">
                  <c:v>9.5000000000000043E-2</c:v>
                </c:pt>
                <c:pt idx="1">
                  <c:v>9.2000000000000026E-2</c:v>
                </c:pt>
                <c:pt idx="2">
                  <c:v>9.2000000000000026E-2</c:v>
                </c:pt>
              </c:numCache>
            </c:numRef>
          </c:val>
        </c:ser>
        <c:ser>
          <c:idx val="1"/>
          <c:order val="1"/>
          <c:tx>
            <c:strRef>
              <c:f>Sheet1!$C$4</c:f>
              <c:strCache>
                <c:ptCount val="1"/>
                <c:pt idx="0">
                  <c:v>Tier 2 Capital Ratio</c:v>
                </c:pt>
              </c:strCache>
            </c:strRef>
          </c:tx>
          <c:dLbls>
            <c:spPr>
              <a:gradFill>
                <a:gsLst>
                  <a:gs pos="0">
                    <a:schemeClr val="bg2"/>
                  </a:gs>
                  <a:gs pos="50000">
                    <a:srgbClr val="4F81BD">
                      <a:tint val="44500"/>
                      <a:satMod val="160000"/>
                    </a:srgbClr>
                  </a:gs>
                  <a:gs pos="100000">
                    <a:srgbClr val="4F81BD">
                      <a:tint val="23500"/>
                      <a:satMod val="160000"/>
                    </a:srgbClr>
                  </a:gs>
                </a:gsLst>
                <a:lin ang="5400000" scaled="0"/>
              </a:gradFill>
            </c:spPr>
            <c:showVal val="1"/>
          </c:dLbls>
          <c:cat>
            <c:numRef>
              <c:f>Sheet1!$D$2:$F$2</c:f>
              <c:numCache>
                <c:formatCode>General</c:formatCode>
                <c:ptCount val="3"/>
                <c:pt idx="0">
                  <c:v>2015</c:v>
                </c:pt>
                <c:pt idx="1">
                  <c:v>2016</c:v>
                </c:pt>
                <c:pt idx="2">
                  <c:v>2017</c:v>
                </c:pt>
              </c:numCache>
            </c:numRef>
          </c:cat>
          <c:val>
            <c:numRef>
              <c:f>Sheet1!$D$4:$F$4</c:f>
              <c:numCache>
                <c:formatCode>0.00%</c:formatCode>
                <c:ptCount val="3"/>
                <c:pt idx="0">
                  <c:v>4.2000000000000023E-2</c:v>
                </c:pt>
                <c:pt idx="1">
                  <c:v>3.9000000000000014E-2</c:v>
                </c:pt>
                <c:pt idx="2">
                  <c:v>5.3000000000000012E-2</c:v>
                </c:pt>
              </c:numCache>
            </c:numRef>
          </c:val>
        </c:ser>
        <c:shape val="box"/>
        <c:axId val="74656000"/>
        <c:axId val="74702848"/>
        <c:axId val="0"/>
      </c:bar3DChart>
      <c:catAx>
        <c:axId val="74656000"/>
        <c:scaling>
          <c:orientation val="minMax"/>
        </c:scaling>
        <c:axPos val="b"/>
        <c:numFmt formatCode="General" sourceLinked="1"/>
        <c:tickLblPos val="nextTo"/>
        <c:crossAx val="74702848"/>
        <c:crosses val="autoZero"/>
        <c:auto val="1"/>
        <c:lblAlgn val="ctr"/>
        <c:lblOffset val="100"/>
      </c:catAx>
      <c:valAx>
        <c:axId val="74702848"/>
        <c:scaling>
          <c:orientation val="minMax"/>
        </c:scaling>
        <c:axPos val="l"/>
        <c:majorGridlines/>
        <c:numFmt formatCode="0%" sourceLinked="1"/>
        <c:tickLblPos val="nextTo"/>
        <c:crossAx val="74656000"/>
        <c:crosses val="autoZero"/>
        <c:crossBetween val="between"/>
      </c:valAx>
    </c:plotArea>
    <c:legend>
      <c:legendPos val="r"/>
    </c:legend>
    <c:plotVisOnly val="1"/>
    <c:dispBlanksAs val="gap"/>
  </c:chart>
  <c:spPr>
    <a:gradFill>
      <a:gsLst>
        <a:gs pos="0">
          <a:schemeClr val="accent4">
            <a:lumMod val="75000"/>
          </a:schemeClr>
        </a:gs>
        <a:gs pos="50000">
          <a:srgbClr val="4F81BD">
            <a:tint val="44500"/>
            <a:satMod val="160000"/>
          </a:srgbClr>
        </a:gs>
        <a:gs pos="100000">
          <a:srgbClr val="4F81BD">
            <a:tint val="23500"/>
            <a:satMod val="160000"/>
          </a:srgbClr>
        </a:gs>
      </a:gsLst>
      <a:lin ang="5400000" scaled="0"/>
    </a:gradFill>
  </c:spPr>
  <c:txPr>
    <a:bodyPr/>
    <a:lstStyle/>
    <a:p>
      <a:pPr>
        <a:defRPr>
          <a:latin typeface="Times New Roman" pitchFamily="18" charset="0"/>
          <a:cs typeface="Times New Roman" pitchFamily="18" charset="0"/>
        </a:defRPr>
      </a:pPr>
      <a:endParaRPr lang="en-US"/>
    </a:p>
  </c:tx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DBBLYearly</a:t>
            </a:r>
            <a:r>
              <a:rPr lang="en-US" baseline="0"/>
              <a:t> Change Ratio</a:t>
            </a:r>
            <a:endParaRPr lang="en-US"/>
          </a:p>
        </c:rich>
      </c:tx>
    </c:title>
    <c:plotArea>
      <c:layout/>
      <c:lineChart>
        <c:grouping val="stacked"/>
        <c:ser>
          <c:idx val="0"/>
          <c:order val="0"/>
          <c:tx>
            <c:strRef>
              <c:f>Sheet2!$B$9</c:f>
              <c:strCache>
                <c:ptCount val="1"/>
                <c:pt idx="0">
                  <c:v>Total Capital to Risk-weighted Asset Ratio (CRAR)</c:v>
                </c:pt>
              </c:strCache>
            </c:strRef>
          </c:tx>
          <c:dLbls>
            <c:dLbl>
              <c:idx val="0"/>
              <c:layout>
                <c:manualLayout>
                  <c:x val="-4.1666666666666664E-2"/>
                  <c:y val="6.0185185185185147E-2"/>
                </c:manualLayout>
              </c:layout>
              <c:showVal val="1"/>
            </c:dLbl>
            <c:dLbl>
              <c:idx val="1"/>
              <c:layout>
                <c:manualLayout>
                  <c:x val="-3.0555555555555582E-2"/>
                  <c:y val="-3.2407407407407877E-2"/>
                </c:manualLayout>
              </c:layout>
              <c:showVal val="1"/>
            </c:dLbl>
            <c:dLbl>
              <c:idx val="2"/>
              <c:layout>
                <c:manualLayout>
                  <c:x val="-2.2222222222222251E-2"/>
                  <c:y val="4.1666666666666664E-2"/>
                </c:manualLayout>
              </c:layout>
              <c:showVal val="1"/>
            </c:dLbl>
            <c:dLbl>
              <c:idx val="3"/>
              <c:layout>
                <c:manualLayout>
                  <c:x val="-1.9444444444444403E-2"/>
                  <c:y val="-3.2407407407407877E-2"/>
                </c:manualLayout>
              </c:layout>
              <c:showVal val="1"/>
            </c:dLbl>
            <c:dLbl>
              <c:idx val="4"/>
              <c:layout>
                <c:manualLayout>
                  <c:x val="-1.3888888888889079E-2"/>
                  <c:y val="3.7037037037037056E-2"/>
                </c:manualLayout>
              </c:layout>
              <c:showVal val="1"/>
            </c:dLbl>
            <c:showVal val="1"/>
          </c:dLbls>
          <c:cat>
            <c:strRef>
              <c:f>Sheet2!$C$8:$H$8</c:f>
              <c:strCache>
                <c:ptCount val="6"/>
                <c:pt idx="0">
                  <c:v>BB 2015</c:v>
                </c:pt>
                <c:pt idx="1">
                  <c:v>BB 2016</c:v>
                </c:pt>
                <c:pt idx="2">
                  <c:v>BB 2017</c:v>
                </c:pt>
                <c:pt idx="3">
                  <c:v>DBBL 2015</c:v>
                </c:pt>
                <c:pt idx="4">
                  <c:v>DBBL 2016</c:v>
                </c:pt>
                <c:pt idx="5">
                  <c:v>DBBL 2017</c:v>
                </c:pt>
              </c:strCache>
            </c:strRef>
          </c:cat>
          <c:val>
            <c:numRef>
              <c:f>Sheet2!$C$9:$H$9</c:f>
              <c:numCache>
                <c:formatCode>0.00%</c:formatCode>
                <c:ptCount val="6"/>
                <c:pt idx="0">
                  <c:v>0.1</c:v>
                </c:pt>
                <c:pt idx="1">
                  <c:v>0.10625000000000002</c:v>
                </c:pt>
                <c:pt idx="2">
                  <c:v>0.1125</c:v>
                </c:pt>
                <c:pt idx="3">
                  <c:v>0.13700000000000001</c:v>
                </c:pt>
                <c:pt idx="4">
                  <c:v>0.13100000000000001</c:v>
                </c:pt>
                <c:pt idx="5">
                  <c:v>0.14100000000000001</c:v>
                </c:pt>
              </c:numCache>
            </c:numRef>
          </c:val>
        </c:ser>
        <c:ser>
          <c:idx val="1"/>
          <c:order val="1"/>
          <c:tx>
            <c:strRef>
              <c:f>Sheet2!$B$10</c:f>
              <c:strCache>
                <c:ptCount val="1"/>
                <c:pt idx="0">
                  <c:v>Common Equity Tier 1 Capital to Risk-weighted Asset Ratio </c:v>
                </c:pt>
              </c:strCache>
            </c:strRef>
          </c:tx>
          <c:dLbls>
            <c:dLbl>
              <c:idx val="0"/>
              <c:layout>
                <c:manualLayout>
                  <c:x val="-4.7222222222222332E-2"/>
                  <c:y val="-4.1666666666666664E-2"/>
                </c:manualLayout>
              </c:layout>
              <c:showVal val="1"/>
            </c:dLbl>
            <c:dLbl>
              <c:idx val="1"/>
              <c:layout>
                <c:manualLayout>
                  <c:x val="-4.1666666666666664E-2"/>
                  <c:y val="-5.0925925925925923E-2"/>
                </c:manualLayout>
              </c:layout>
              <c:showVal val="1"/>
            </c:dLbl>
            <c:dLbl>
              <c:idx val="2"/>
              <c:layout>
                <c:manualLayout>
                  <c:x val="-2.7777777777778473E-3"/>
                  <c:y val="-9.2592592592594409E-3"/>
                </c:manualLayout>
              </c:layout>
              <c:showVal val="1"/>
            </c:dLbl>
            <c:dLbl>
              <c:idx val="3"/>
              <c:layout>
                <c:manualLayout>
                  <c:x val="-2.7777777777778349E-2"/>
                  <c:y val="-6.0185185185185147E-2"/>
                </c:manualLayout>
              </c:layout>
              <c:showVal val="1"/>
            </c:dLbl>
            <c:dLbl>
              <c:idx val="4"/>
              <c:layout>
                <c:manualLayout>
                  <c:x val="-8.3333333333333367E-3"/>
                  <c:y val="-7.8703703703703734E-2"/>
                </c:manualLayout>
              </c:layout>
              <c:showVal val="1"/>
            </c:dLbl>
            <c:showVal val="1"/>
          </c:dLbls>
          <c:cat>
            <c:strRef>
              <c:f>Sheet2!$C$8:$H$8</c:f>
              <c:strCache>
                <c:ptCount val="6"/>
                <c:pt idx="0">
                  <c:v>BB 2015</c:v>
                </c:pt>
                <c:pt idx="1">
                  <c:v>BB 2016</c:v>
                </c:pt>
                <c:pt idx="2">
                  <c:v>BB 2017</c:v>
                </c:pt>
                <c:pt idx="3">
                  <c:v>DBBL 2015</c:v>
                </c:pt>
                <c:pt idx="4">
                  <c:v>DBBL 2016</c:v>
                </c:pt>
                <c:pt idx="5">
                  <c:v>DBBL 2017</c:v>
                </c:pt>
              </c:strCache>
            </c:strRef>
          </c:cat>
          <c:val>
            <c:numRef>
              <c:f>Sheet2!$C$10:$H$10</c:f>
              <c:numCache>
                <c:formatCode>0.00%</c:formatCode>
                <c:ptCount val="6"/>
                <c:pt idx="0">
                  <c:v>5.5000000000000014E-2</c:v>
                </c:pt>
                <c:pt idx="1">
                  <c:v>5.1249999999999955E-2</c:v>
                </c:pt>
                <c:pt idx="2">
                  <c:v>5.7500000000000023E-2</c:v>
                </c:pt>
                <c:pt idx="3">
                  <c:v>9.5000000000000043E-2</c:v>
                </c:pt>
                <c:pt idx="4">
                  <c:v>9.2000000000000026E-2</c:v>
                </c:pt>
                <c:pt idx="5">
                  <c:v>9.2000000000000026E-2</c:v>
                </c:pt>
              </c:numCache>
            </c:numRef>
          </c:val>
        </c:ser>
        <c:ser>
          <c:idx val="2"/>
          <c:order val="2"/>
          <c:tx>
            <c:strRef>
              <c:f>Sheet2!$B$11</c:f>
              <c:strCache>
                <c:ptCount val="1"/>
                <c:pt idx="0">
                  <c:v>Total Tier 1 Capital to Risk-weighted Asset Ratio</c:v>
                </c:pt>
              </c:strCache>
            </c:strRef>
          </c:tx>
          <c:dLbls>
            <c:dLbl>
              <c:idx val="0"/>
              <c:layout>
                <c:manualLayout>
                  <c:x val="-5.5555555555555455E-2"/>
                  <c:y val="-2.7777777777778394E-2"/>
                </c:manualLayout>
              </c:layout>
              <c:showVal val="1"/>
            </c:dLbl>
            <c:dLbl>
              <c:idx val="1"/>
              <c:layout>
                <c:manualLayout>
                  <c:x val="-4.7222222222222332E-2"/>
                  <c:y val="-4.1666666666666664E-2"/>
                </c:manualLayout>
              </c:layout>
              <c:showVal val="1"/>
            </c:dLbl>
            <c:dLbl>
              <c:idx val="2"/>
              <c:layout>
                <c:manualLayout>
                  <c:x val="-3.888888888888889E-2"/>
                  <c:y val="-5.0925925925925923E-2"/>
                </c:manualLayout>
              </c:layout>
              <c:showVal val="1"/>
            </c:dLbl>
            <c:dLbl>
              <c:idx val="3"/>
              <c:layout>
                <c:manualLayout>
                  <c:x val="-5.5555555555555455E-2"/>
                  <c:y val="-1.8518518518518583E-2"/>
                </c:manualLayout>
              </c:layout>
              <c:showVal val="1"/>
            </c:dLbl>
            <c:dLbl>
              <c:idx val="4"/>
              <c:layout>
                <c:manualLayout>
                  <c:x val="-2.2222222222222251E-2"/>
                  <c:y val="-3.2407407407407877E-2"/>
                </c:manualLayout>
              </c:layout>
              <c:showVal val="1"/>
            </c:dLbl>
            <c:showVal val="1"/>
          </c:dLbls>
          <c:cat>
            <c:strRef>
              <c:f>Sheet2!$C$8:$H$8</c:f>
              <c:strCache>
                <c:ptCount val="6"/>
                <c:pt idx="0">
                  <c:v>BB 2015</c:v>
                </c:pt>
                <c:pt idx="1">
                  <c:v>BB 2016</c:v>
                </c:pt>
                <c:pt idx="2">
                  <c:v>BB 2017</c:v>
                </c:pt>
                <c:pt idx="3">
                  <c:v>DBBL 2015</c:v>
                </c:pt>
                <c:pt idx="4">
                  <c:v>DBBL 2016</c:v>
                </c:pt>
                <c:pt idx="5">
                  <c:v>DBBL 2017</c:v>
                </c:pt>
              </c:strCache>
            </c:strRef>
          </c:cat>
          <c:val>
            <c:numRef>
              <c:f>Sheet2!$C$11:$H$11</c:f>
              <c:numCache>
                <c:formatCode>0.00%</c:formatCode>
                <c:ptCount val="6"/>
                <c:pt idx="0">
                  <c:v>5.5000000000000014E-2</c:v>
                </c:pt>
                <c:pt idx="1">
                  <c:v>5.5000000000000014E-2</c:v>
                </c:pt>
                <c:pt idx="2">
                  <c:v>6.0000000000000032E-2</c:v>
                </c:pt>
                <c:pt idx="3">
                  <c:v>9.5000000000000043E-2</c:v>
                </c:pt>
                <c:pt idx="4">
                  <c:v>9.2000000000000026E-2</c:v>
                </c:pt>
                <c:pt idx="5">
                  <c:v>9.2000000000000026E-2</c:v>
                </c:pt>
              </c:numCache>
            </c:numRef>
          </c:val>
        </c:ser>
        <c:dLbls>
          <c:showVal val="1"/>
        </c:dLbls>
        <c:marker val="1"/>
        <c:axId val="74717056"/>
        <c:axId val="74718592"/>
      </c:lineChart>
      <c:catAx>
        <c:axId val="74717056"/>
        <c:scaling>
          <c:orientation val="minMax"/>
        </c:scaling>
        <c:axPos val="b"/>
        <c:majorTickMark val="none"/>
        <c:tickLblPos val="nextTo"/>
        <c:crossAx val="74718592"/>
        <c:crosses val="autoZero"/>
        <c:auto val="1"/>
        <c:lblAlgn val="ctr"/>
        <c:lblOffset val="100"/>
      </c:catAx>
      <c:valAx>
        <c:axId val="74718592"/>
        <c:scaling>
          <c:orientation val="minMax"/>
        </c:scaling>
        <c:axPos val="l"/>
        <c:majorGridlines/>
        <c:numFmt formatCode="0.00%" sourceLinked="1"/>
        <c:majorTickMark val="none"/>
        <c:tickLblPos val="nextTo"/>
        <c:crossAx val="74717056"/>
        <c:crosses val="autoZero"/>
        <c:crossBetween val="between"/>
      </c:valAx>
    </c:plotArea>
    <c:legend>
      <c:legendPos val="r"/>
    </c:legend>
    <c:plotVisOnly val="1"/>
    <c:dispBlanksAs val="zero"/>
  </c:chart>
  <c:txPr>
    <a:bodyPr/>
    <a:lstStyle/>
    <a:p>
      <a:pPr>
        <a:defRPr>
          <a:latin typeface="Times New Roman" pitchFamily="18" charset="0"/>
          <a:cs typeface="Times New Roman" pitchFamily="18" charset="0"/>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autoTitleDeleted val="1"/>
    <c:plotArea>
      <c:layout/>
      <c:pieChart>
        <c:varyColors val="1"/>
        <c:ser>
          <c:idx val="0"/>
          <c:order val="0"/>
          <c:explosion val="25"/>
          <c:dLbls>
            <c:dLblPos val="bestFit"/>
            <c:showLegendKey val="1"/>
            <c:showVal val="1"/>
            <c:showCatName val="1"/>
            <c:showPercent val="1"/>
            <c:showLeaderLines val="1"/>
          </c:dLbls>
          <c:cat>
            <c:strRef>
              <c:f>Sheet1!$B$9:$F$9</c:f>
              <c:strCache>
                <c:ptCount val="5"/>
                <c:pt idx="0">
                  <c:v>Credit Risk</c:v>
                </c:pt>
                <c:pt idx="1">
                  <c:v>Market Risk</c:v>
                </c:pt>
                <c:pt idx="2">
                  <c:v>Operational Risk</c:v>
                </c:pt>
                <c:pt idx="3">
                  <c:v>On-Balance sheet</c:v>
                </c:pt>
                <c:pt idx="4">
                  <c:v>Off-Balance sheet</c:v>
                </c:pt>
              </c:strCache>
            </c:strRef>
          </c:cat>
          <c:val>
            <c:numRef>
              <c:f>Sheet1!$B$10:$F$10</c:f>
              <c:numCache>
                <c:formatCode>General</c:formatCode>
                <c:ptCount val="5"/>
                <c:pt idx="0" formatCode="0.00">
                  <c:v>151920800000</c:v>
                </c:pt>
                <c:pt idx="1">
                  <c:v>3124000000</c:v>
                </c:pt>
                <c:pt idx="2">
                  <c:v>25085800000</c:v>
                </c:pt>
                <c:pt idx="3" formatCode="0.00">
                  <c:v>139822200000</c:v>
                </c:pt>
                <c:pt idx="4">
                  <c:v>12098600000</c:v>
                </c:pt>
              </c:numCache>
            </c:numRef>
          </c:val>
        </c:ser>
        <c:dLbls>
          <c:showVal val="1"/>
          <c:showCatName val="1"/>
        </c:dLbls>
        <c:firstSliceAng val="0"/>
      </c:pieChart>
    </c:plotArea>
    <c:plotVisOnly val="1"/>
    <c:dispBlanksAs val="zero"/>
  </c:chart>
  <c:spPr>
    <a:solidFill>
      <a:schemeClr val="accent2">
        <a:lumMod val="20000"/>
        <a:lumOff val="80000"/>
      </a:schemeClr>
    </a:solidFill>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style val="10"/>
  <c:chart>
    <c:title>
      <c:tx>
        <c:rich>
          <a:bodyPr/>
          <a:lstStyle/>
          <a:p>
            <a:pPr>
              <a:defRPr/>
            </a:pPr>
            <a:r>
              <a:rPr lang="en-US" sz="1800" b="1"/>
              <a:t>Liquidity Coverage Ratio (LCR)</a:t>
            </a:r>
            <a:endParaRPr lang="en-US" sz="1800"/>
          </a:p>
        </c:rich>
      </c:tx>
    </c:title>
    <c:plotArea>
      <c:layout/>
      <c:scatterChart>
        <c:scatterStyle val="lineMarker"/>
        <c:ser>
          <c:idx val="0"/>
          <c:order val="0"/>
          <c:tx>
            <c:strRef>
              <c:f>Sheet1!$B$6</c:f>
              <c:strCache>
                <c:ptCount val="1"/>
                <c:pt idx="0">
                  <c:v>BB Requirement ≥100%</c:v>
                </c:pt>
              </c:strCache>
            </c:strRef>
          </c:tx>
          <c:xVal>
            <c:numRef>
              <c:f>Sheet1!$C$5:$E$5</c:f>
              <c:numCache>
                <c:formatCode>General</c:formatCode>
                <c:ptCount val="3"/>
                <c:pt idx="0">
                  <c:v>2015</c:v>
                </c:pt>
                <c:pt idx="1">
                  <c:v>2016</c:v>
                </c:pt>
                <c:pt idx="2">
                  <c:v>2017</c:v>
                </c:pt>
              </c:numCache>
            </c:numRef>
          </c:xVal>
          <c:yVal>
            <c:numRef>
              <c:f>Sheet1!$C$6:$E$6</c:f>
              <c:numCache>
                <c:formatCode>0.00%</c:formatCode>
                <c:ptCount val="3"/>
                <c:pt idx="0">
                  <c:v>1.1539999999999881</c:v>
                </c:pt>
                <c:pt idx="1">
                  <c:v>1.2989999999999893</c:v>
                </c:pt>
                <c:pt idx="2">
                  <c:v>1.2509999999999879</c:v>
                </c:pt>
              </c:numCache>
            </c:numRef>
          </c:yVal>
        </c:ser>
        <c:dLbls>
          <c:showVal val="1"/>
          <c:showCatName val="1"/>
        </c:dLbls>
        <c:axId val="74696192"/>
        <c:axId val="74697728"/>
      </c:scatterChart>
      <c:valAx>
        <c:axId val="74696192"/>
        <c:scaling>
          <c:orientation val="minMax"/>
        </c:scaling>
        <c:axPos val="b"/>
        <c:numFmt formatCode="General" sourceLinked="1"/>
        <c:tickLblPos val="nextTo"/>
        <c:crossAx val="74697728"/>
        <c:crosses val="autoZero"/>
        <c:crossBetween val="midCat"/>
      </c:valAx>
      <c:valAx>
        <c:axId val="74697728"/>
        <c:scaling>
          <c:orientation val="minMax"/>
        </c:scaling>
        <c:axPos val="l"/>
        <c:majorGridlines/>
        <c:title>
          <c:tx>
            <c:rich>
              <a:bodyPr/>
              <a:lstStyle/>
              <a:p>
                <a:pPr>
                  <a:defRPr/>
                </a:pPr>
                <a:r>
                  <a:rPr lang="en-US"/>
                  <a:t>Percentage Change</a:t>
                </a:r>
              </a:p>
            </c:rich>
          </c:tx>
        </c:title>
        <c:numFmt formatCode="0.00%" sourceLinked="1"/>
        <c:tickLblPos val="nextTo"/>
        <c:crossAx val="74696192"/>
        <c:crosses val="autoZero"/>
        <c:crossBetween val="midCat"/>
      </c:valAx>
    </c:plotArea>
    <c:legend>
      <c:legendPos val="r"/>
    </c:legend>
    <c:plotVisOnly val="1"/>
    <c:dispBlanksAs val="gap"/>
  </c:chart>
  <c:spPr>
    <a:solidFill>
      <a:schemeClr val="accent5">
        <a:lumMod val="60000"/>
        <a:lumOff val="40000"/>
      </a:schemeClr>
    </a:solidFill>
  </c:spPr>
  <c:txPr>
    <a:bodyPr/>
    <a:lstStyle/>
    <a:p>
      <a:pPr>
        <a:defRPr sz="1000">
          <a:latin typeface="Times New Roman" pitchFamily="18" charset="0"/>
          <a:cs typeface="Times New Roman" pitchFamily="18" charset="0"/>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800" b="1" i="0" baseline="0"/>
              <a:t>Net Stable Funding Ratio (NSFR)</a:t>
            </a:r>
            <a:endParaRPr lang="en-US"/>
          </a:p>
        </c:rich>
      </c:tx>
    </c:title>
    <c:plotArea>
      <c:layout/>
      <c:lineChart>
        <c:grouping val="standard"/>
        <c:ser>
          <c:idx val="0"/>
          <c:order val="0"/>
          <c:tx>
            <c:strRef>
              <c:f>Sheet2!$B$5</c:f>
              <c:strCache>
                <c:ptCount val="1"/>
                <c:pt idx="0">
                  <c:v>BB Requirement &gt;100%</c:v>
                </c:pt>
              </c:strCache>
            </c:strRef>
          </c:tx>
          <c:cat>
            <c:strRef>
              <c:f>Sheet2!$C$4:$E$4</c:f>
              <c:strCache>
                <c:ptCount val="3"/>
                <c:pt idx="0">
                  <c:v>DBBL 2015</c:v>
                </c:pt>
                <c:pt idx="1">
                  <c:v>DBBL 2016</c:v>
                </c:pt>
                <c:pt idx="2">
                  <c:v>DBBL 2017</c:v>
                </c:pt>
              </c:strCache>
            </c:strRef>
          </c:cat>
          <c:val>
            <c:numRef>
              <c:f>Sheet2!$C$5:$E$5</c:f>
              <c:numCache>
                <c:formatCode>0.00%</c:formatCode>
                <c:ptCount val="3"/>
                <c:pt idx="0">
                  <c:v>1.1870000000000001</c:v>
                </c:pt>
                <c:pt idx="1">
                  <c:v>1.171999999999991</c:v>
                </c:pt>
                <c:pt idx="2">
                  <c:v>1.157</c:v>
                </c:pt>
              </c:numCache>
            </c:numRef>
          </c:val>
        </c:ser>
        <c:marker val="1"/>
        <c:axId val="74939392"/>
        <c:axId val="74941184"/>
      </c:lineChart>
      <c:catAx>
        <c:axId val="74939392"/>
        <c:scaling>
          <c:orientation val="minMax"/>
        </c:scaling>
        <c:axPos val="b"/>
        <c:majorTickMark val="none"/>
        <c:tickLblPos val="nextTo"/>
        <c:crossAx val="74941184"/>
        <c:crosses val="autoZero"/>
        <c:auto val="1"/>
        <c:lblAlgn val="ctr"/>
        <c:lblOffset val="100"/>
      </c:catAx>
      <c:valAx>
        <c:axId val="74941184"/>
        <c:scaling>
          <c:orientation val="minMax"/>
        </c:scaling>
        <c:axPos val="l"/>
        <c:majorGridlines/>
        <c:title>
          <c:tx>
            <c:rich>
              <a:bodyPr/>
              <a:lstStyle/>
              <a:p>
                <a:pPr>
                  <a:defRPr/>
                </a:pPr>
                <a:r>
                  <a:rPr lang="en-US"/>
                  <a:t>In</a:t>
                </a:r>
                <a:r>
                  <a:rPr lang="en-US" baseline="0"/>
                  <a:t> Percentage</a:t>
                </a:r>
                <a:endParaRPr lang="en-US"/>
              </a:p>
            </c:rich>
          </c:tx>
        </c:title>
        <c:numFmt formatCode="0.00%" sourceLinked="1"/>
        <c:majorTickMark val="none"/>
        <c:tickLblPos val="nextTo"/>
        <c:crossAx val="74939392"/>
        <c:crosses val="autoZero"/>
        <c:crossBetween val="between"/>
      </c:valAx>
      <c:dTable>
        <c:showHorzBorder val="1"/>
        <c:showVertBorder val="1"/>
        <c:showOutline val="1"/>
        <c:showKeys val="1"/>
      </c:dTable>
    </c:plotArea>
    <c:plotVisOnly val="1"/>
    <c:dispBlanksAs val="gap"/>
  </c:chart>
  <c:spPr>
    <a:solidFill>
      <a:schemeClr val="accent5">
        <a:lumMod val="40000"/>
        <a:lumOff val="60000"/>
      </a:schemeClr>
    </a:solidFill>
  </c:spPr>
  <c:txPr>
    <a:bodyPr/>
    <a:lstStyle/>
    <a:p>
      <a:pPr>
        <a:defRPr>
          <a:solidFill>
            <a:schemeClr val="accent5">
              <a:lumMod val="50000"/>
            </a:schemeClr>
          </a:solidFill>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800" b="1" i="0" u="none" strike="noStrike" baseline="0"/>
              <a:t>Leverage Ratio (LR)</a:t>
            </a:r>
            <a:endParaRPr lang="en-US"/>
          </a:p>
        </c:rich>
      </c:tx>
    </c:title>
    <c:plotArea>
      <c:layout/>
      <c:lineChart>
        <c:grouping val="standard"/>
        <c:ser>
          <c:idx val="0"/>
          <c:order val="0"/>
          <c:tx>
            <c:strRef>
              <c:f>Sheet3!$B$3</c:f>
              <c:strCache>
                <c:ptCount val="1"/>
                <c:pt idx="0">
                  <c:v>BB Requirement &gt;3%</c:v>
                </c:pt>
              </c:strCache>
            </c:strRef>
          </c:tx>
          <c:cat>
            <c:strRef>
              <c:f>Sheet3!$C$2:$E$2</c:f>
              <c:strCache>
                <c:ptCount val="3"/>
                <c:pt idx="0">
                  <c:v>DBBL 2015</c:v>
                </c:pt>
                <c:pt idx="1">
                  <c:v>DBBL 2016</c:v>
                </c:pt>
                <c:pt idx="2">
                  <c:v>DBBL 2017</c:v>
                </c:pt>
              </c:strCache>
            </c:strRef>
          </c:cat>
          <c:val>
            <c:numRef>
              <c:f>Sheet3!$C$3:$E$3</c:f>
              <c:numCache>
                <c:formatCode>0.00%</c:formatCode>
                <c:ptCount val="3"/>
                <c:pt idx="0">
                  <c:v>5.7000000000000023E-2</c:v>
                </c:pt>
                <c:pt idx="1">
                  <c:v>5.1999999999999998E-2</c:v>
                </c:pt>
                <c:pt idx="2">
                  <c:v>5.1999999999999998E-2</c:v>
                </c:pt>
              </c:numCache>
            </c:numRef>
          </c:val>
        </c:ser>
        <c:marker val="1"/>
        <c:axId val="75175808"/>
        <c:axId val="75177344"/>
      </c:lineChart>
      <c:catAx>
        <c:axId val="75175808"/>
        <c:scaling>
          <c:orientation val="minMax"/>
        </c:scaling>
        <c:axPos val="b"/>
        <c:majorTickMark val="none"/>
        <c:tickLblPos val="nextTo"/>
        <c:crossAx val="75177344"/>
        <c:crosses val="autoZero"/>
        <c:auto val="1"/>
        <c:lblAlgn val="ctr"/>
        <c:lblOffset val="100"/>
      </c:catAx>
      <c:valAx>
        <c:axId val="75177344"/>
        <c:scaling>
          <c:orientation val="minMax"/>
        </c:scaling>
        <c:axPos val="l"/>
        <c:majorGridlines>
          <c:spPr>
            <a:ln>
              <a:solidFill>
                <a:schemeClr val="tx2">
                  <a:lumMod val="60000"/>
                  <a:lumOff val="40000"/>
                </a:schemeClr>
              </a:solidFill>
            </a:ln>
          </c:spPr>
        </c:majorGridlines>
        <c:title>
          <c:tx>
            <c:rich>
              <a:bodyPr/>
              <a:lstStyle/>
              <a:p>
                <a:pPr>
                  <a:defRPr/>
                </a:pPr>
                <a:r>
                  <a:rPr lang="en-US"/>
                  <a:t>In Percentage Change</a:t>
                </a:r>
              </a:p>
            </c:rich>
          </c:tx>
        </c:title>
        <c:numFmt formatCode="0.00%" sourceLinked="1"/>
        <c:majorTickMark val="none"/>
        <c:tickLblPos val="nextTo"/>
        <c:crossAx val="75175808"/>
        <c:crosses val="autoZero"/>
        <c:crossBetween val="between"/>
      </c:valAx>
      <c:dTable>
        <c:showHorzBorder val="1"/>
        <c:showVertBorder val="1"/>
        <c:showOutline val="1"/>
        <c:showKeys val="1"/>
      </c:dTable>
    </c:plotArea>
    <c:plotVisOnly val="1"/>
    <c:dispBlanksAs val="gap"/>
  </c:chart>
  <c:spPr>
    <a:solidFill>
      <a:schemeClr val="accent5">
        <a:lumMod val="60000"/>
        <a:lumOff val="40000"/>
      </a:schemeClr>
    </a:solidFill>
  </c:spPr>
  <c:txPr>
    <a:bodyPr/>
    <a:lstStyle/>
    <a:p>
      <a:pPr>
        <a:defRPr>
          <a:solidFill>
            <a:schemeClr val="accent1">
              <a:lumMod val="50000"/>
            </a:schemeClr>
          </a:solidFill>
          <a:latin typeface="Times New Roman" pitchFamily="18" charset="0"/>
          <a:cs typeface="Times New Roman" pitchFamily="18" charset="0"/>
        </a:defRPr>
      </a:pPr>
      <a:endParaRPr lang="en-US"/>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31555C-F344-4D0C-ABB6-75833FB52F51}" type="doc">
      <dgm:prSet loTypeId="urn:microsoft.com/office/officeart/2005/8/layout/radial1" loCatId="relationship" qsTypeId="urn:microsoft.com/office/officeart/2005/8/quickstyle/simple3" qsCatId="simple" csTypeId="urn:microsoft.com/office/officeart/2005/8/colors/accent1_2" csCatId="accent1" phldr="1"/>
      <dgm:spPr/>
      <dgm:t>
        <a:bodyPr/>
        <a:lstStyle/>
        <a:p>
          <a:endParaRPr lang="en-US"/>
        </a:p>
      </dgm:t>
    </dgm:pt>
    <dgm:pt modelId="{056CE44B-2659-45A9-9A08-B211194DD752}">
      <dgm:prSet phldrT="[Text]" custT="1"/>
      <dgm:spPr/>
      <dgm:t>
        <a:bodyPr/>
        <a:lstStyle/>
        <a:p>
          <a:pPr algn="ctr"/>
          <a:r>
            <a:rPr lang="en-US" sz="800">
              <a:latin typeface="Times New Roman" pitchFamily="18" charset="0"/>
              <a:cs typeface="Times New Roman" pitchFamily="18" charset="0"/>
            </a:rPr>
            <a:t>DBBL sector of CST</a:t>
          </a:r>
        </a:p>
      </dgm:t>
    </dgm:pt>
    <dgm:pt modelId="{404120AB-A7E1-4732-8BCA-63563A455C7A}" type="parTrans" cxnId="{36220C25-B99E-4620-9C48-CC2CE9BD0DF1}">
      <dgm:prSet/>
      <dgm:spPr/>
      <dgm:t>
        <a:bodyPr/>
        <a:lstStyle/>
        <a:p>
          <a:pPr algn="ctr"/>
          <a:endParaRPr lang="en-US">
            <a:latin typeface="Times New Roman" pitchFamily="18" charset="0"/>
            <a:cs typeface="Times New Roman" pitchFamily="18" charset="0"/>
          </a:endParaRPr>
        </a:p>
      </dgm:t>
    </dgm:pt>
    <dgm:pt modelId="{825B6225-5B90-4101-9E0F-37458ECFEDC7}" type="sibTrans" cxnId="{36220C25-B99E-4620-9C48-CC2CE9BD0DF1}">
      <dgm:prSet/>
      <dgm:spPr/>
      <dgm:t>
        <a:bodyPr/>
        <a:lstStyle/>
        <a:p>
          <a:pPr algn="ctr"/>
          <a:endParaRPr lang="en-US">
            <a:latin typeface="Times New Roman" pitchFamily="18" charset="0"/>
            <a:cs typeface="Times New Roman" pitchFamily="18" charset="0"/>
          </a:endParaRPr>
        </a:p>
      </dgm:t>
    </dgm:pt>
    <dgm:pt modelId="{ED663D4A-D2B6-4F55-9209-8E5D2E293AD4}">
      <dgm:prSet phldrT="[Text]" custT="1"/>
      <dgm:spPr/>
      <dgm:t>
        <a:bodyPr/>
        <a:lstStyle/>
        <a:p>
          <a:pPr algn="ctr"/>
          <a:r>
            <a:rPr lang="en-US" sz="800">
              <a:latin typeface="Times New Roman" pitchFamily="18" charset="0"/>
              <a:cs typeface="Times New Roman" pitchFamily="18" charset="0"/>
            </a:rPr>
            <a:t>Education</a:t>
          </a:r>
        </a:p>
      </dgm:t>
    </dgm:pt>
    <dgm:pt modelId="{1CA40CF7-200F-4D88-9FDB-C0E84B42AB56}" type="parTrans" cxnId="{5C9CBBF9-9829-4FE1-9774-0DF3D424A56B}">
      <dgm:prSet/>
      <dgm:spPr/>
      <dgm:t>
        <a:bodyPr/>
        <a:lstStyle/>
        <a:p>
          <a:pPr algn="ctr"/>
          <a:endParaRPr lang="en-US">
            <a:latin typeface="Times New Roman" pitchFamily="18" charset="0"/>
            <a:cs typeface="Times New Roman" pitchFamily="18" charset="0"/>
          </a:endParaRPr>
        </a:p>
      </dgm:t>
    </dgm:pt>
    <dgm:pt modelId="{2377C61D-CFFA-4367-B07B-E4DC5CD17730}" type="sibTrans" cxnId="{5C9CBBF9-9829-4FE1-9774-0DF3D424A56B}">
      <dgm:prSet/>
      <dgm:spPr/>
      <dgm:t>
        <a:bodyPr/>
        <a:lstStyle/>
        <a:p>
          <a:pPr algn="ctr"/>
          <a:endParaRPr lang="en-US">
            <a:latin typeface="Times New Roman" pitchFamily="18" charset="0"/>
            <a:cs typeface="Times New Roman" pitchFamily="18" charset="0"/>
          </a:endParaRPr>
        </a:p>
      </dgm:t>
    </dgm:pt>
    <dgm:pt modelId="{4E128B21-A4ED-453A-A918-2887748389C4}">
      <dgm:prSet phldrT="[Text]" custT="1"/>
      <dgm:spPr/>
      <dgm:t>
        <a:bodyPr/>
        <a:lstStyle/>
        <a:p>
          <a:pPr algn="ctr"/>
          <a:r>
            <a:rPr lang="en-US" sz="800">
              <a:latin typeface="Times New Roman" pitchFamily="18" charset="0"/>
              <a:cs typeface="Times New Roman" pitchFamily="18" charset="0"/>
            </a:rPr>
            <a:t>Health</a:t>
          </a:r>
        </a:p>
      </dgm:t>
    </dgm:pt>
    <dgm:pt modelId="{15C7C76F-0010-48F9-A69E-E57B0ADD5C71}" type="parTrans" cxnId="{D128C01F-7649-42B5-8E2A-93C2D90FDED0}">
      <dgm:prSet/>
      <dgm:spPr/>
      <dgm:t>
        <a:bodyPr/>
        <a:lstStyle/>
        <a:p>
          <a:pPr algn="ctr"/>
          <a:endParaRPr lang="en-US">
            <a:latin typeface="Times New Roman" pitchFamily="18" charset="0"/>
            <a:cs typeface="Times New Roman" pitchFamily="18" charset="0"/>
          </a:endParaRPr>
        </a:p>
      </dgm:t>
    </dgm:pt>
    <dgm:pt modelId="{4A3DDF8E-6F35-4EAF-BC03-9BE7D2244EA9}" type="sibTrans" cxnId="{D128C01F-7649-42B5-8E2A-93C2D90FDED0}">
      <dgm:prSet/>
      <dgm:spPr/>
      <dgm:t>
        <a:bodyPr/>
        <a:lstStyle/>
        <a:p>
          <a:pPr algn="ctr"/>
          <a:endParaRPr lang="en-US">
            <a:latin typeface="Times New Roman" pitchFamily="18" charset="0"/>
            <a:cs typeface="Times New Roman" pitchFamily="18" charset="0"/>
          </a:endParaRPr>
        </a:p>
      </dgm:t>
    </dgm:pt>
    <dgm:pt modelId="{4AEDE55D-1361-4AFE-92D4-D1172302CC28}">
      <dgm:prSet phldrT="[Text]" custT="1"/>
      <dgm:spPr/>
      <dgm:t>
        <a:bodyPr/>
        <a:lstStyle/>
        <a:p>
          <a:pPr algn="ctr"/>
          <a:r>
            <a:rPr lang="en-US" sz="800">
              <a:latin typeface="Times New Roman" pitchFamily="18" charset="0"/>
              <a:cs typeface="Times New Roman" pitchFamily="18" charset="0"/>
            </a:rPr>
            <a:t>Donation</a:t>
          </a:r>
        </a:p>
      </dgm:t>
    </dgm:pt>
    <dgm:pt modelId="{19FF2E6C-706E-4ED9-9361-224DB4CC4021}" type="parTrans" cxnId="{73C0D772-3E92-4E1D-9B4F-7969613F0F1C}">
      <dgm:prSet/>
      <dgm:spPr/>
      <dgm:t>
        <a:bodyPr/>
        <a:lstStyle/>
        <a:p>
          <a:pPr algn="ctr"/>
          <a:endParaRPr lang="en-US">
            <a:latin typeface="Times New Roman" pitchFamily="18" charset="0"/>
            <a:cs typeface="Times New Roman" pitchFamily="18" charset="0"/>
          </a:endParaRPr>
        </a:p>
      </dgm:t>
    </dgm:pt>
    <dgm:pt modelId="{03547CF3-F7BD-4FF0-9542-6519AAD70E30}" type="sibTrans" cxnId="{73C0D772-3E92-4E1D-9B4F-7969613F0F1C}">
      <dgm:prSet/>
      <dgm:spPr/>
      <dgm:t>
        <a:bodyPr/>
        <a:lstStyle/>
        <a:p>
          <a:pPr algn="ctr"/>
          <a:endParaRPr lang="en-US">
            <a:latin typeface="Times New Roman" pitchFamily="18" charset="0"/>
            <a:cs typeface="Times New Roman" pitchFamily="18" charset="0"/>
          </a:endParaRPr>
        </a:p>
      </dgm:t>
    </dgm:pt>
    <dgm:pt modelId="{1B625FE8-DF1D-4788-BFDE-658A2B0CEAEA}">
      <dgm:prSet phldrT="[Text]" custT="1"/>
      <dgm:spPr/>
      <dgm:t>
        <a:bodyPr/>
        <a:lstStyle/>
        <a:p>
          <a:pPr algn="ctr"/>
          <a:r>
            <a:rPr lang="en-US" sz="800">
              <a:latin typeface="Times New Roman" pitchFamily="18" charset="0"/>
              <a:cs typeface="Times New Roman" pitchFamily="18" charset="0"/>
            </a:rPr>
            <a:t>Information Technology</a:t>
          </a:r>
        </a:p>
      </dgm:t>
    </dgm:pt>
    <dgm:pt modelId="{FDFF801E-A59A-431E-BD9B-7CA5DEA150BB}" type="parTrans" cxnId="{678A7C60-1801-491D-BCC2-7E5DCD9E931F}">
      <dgm:prSet/>
      <dgm:spPr/>
      <dgm:t>
        <a:bodyPr/>
        <a:lstStyle/>
        <a:p>
          <a:pPr algn="ctr"/>
          <a:endParaRPr lang="en-US">
            <a:latin typeface="Times New Roman" pitchFamily="18" charset="0"/>
            <a:cs typeface="Times New Roman" pitchFamily="18" charset="0"/>
          </a:endParaRPr>
        </a:p>
      </dgm:t>
    </dgm:pt>
    <dgm:pt modelId="{A7AB827C-CFB2-496D-8FDA-2D8F59E5AE29}" type="sibTrans" cxnId="{678A7C60-1801-491D-BCC2-7E5DCD9E931F}">
      <dgm:prSet/>
      <dgm:spPr/>
      <dgm:t>
        <a:bodyPr/>
        <a:lstStyle/>
        <a:p>
          <a:pPr algn="ctr"/>
          <a:endParaRPr lang="en-US">
            <a:latin typeface="Times New Roman" pitchFamily="18" charset="0"/>
            <a:cs typeface="Times New Roman" pitchFamily="18" charset="0"/>
          </a:endParaRPr>
        </a:p>
      </dgm:t>
    </dgm:pt>
    <dgm:pt modelId="{EAD63577-52E9-4BE6-9670-6DB7942F8BF5}">
      <dgm:prSet custT="1"/>
      <dgm:spPr/>
      <dgm:t>
        <a:bodyPr/>
        <a:lstStyle/>
        <a:p>
          <a:pPr algn="ctr"/>
          <a:r>
            <a:rPr lang="en-US" sz="800">
              <a:latin typeface="Times New Roman" pitchFamily="18" charset="0"/>
              <a:cs typeface="Times New Roman" pitchFamily="18" charset="0"/>
            </a:rPr>
            <a:t>Disaster</a:t>
          </a:r>
        </a:p>
      </dgm:t>
    </dgm:pt>
    <dgm:pt modelId="{30F99FA2-837A-481E-B500-99E6921DF7DD}" type="parTrans" cxnId="{3D7D2182-6F9D-4484-A536-972F1DB3A65E}">
      <dgm:prSet/>
      <dgm:spPr/>
      <dgm:t>
        <a:bodyPr/>
        <a:lstStyle/>
        <a:p>
          <a:pPr algn="ctr"/>
          <a:endParaRPr lang="en-US">
            <a:latin typeface="Times New Roman" pitchFamily="18" charset="0"/>
            <a:cs typeface="Times New Roman" pitchFamily="18" charset="0"/>
          </a:endParaRPr>
        </a:p>
      </dgm:t>
    </dgm:pt>
    <dgm:pt modelId="{A38E5054-7939-4974-AAA1-F35EDDF8478B}" type="sibTrans" cxnId="{3D7D2182-6F9D-4484-A536-972F1DB3A65E}">
      <dgm:prSet/>
      <dgm:spPr/>
      <dgm:t>
        <a:bodyPr/>
        <a:lstStyle/>
        <a:p>
          <a:pPr algn="ctr"/>
          <a:endParaRPr lang="en-US">
            <a:latin typeface="Times New Roman" pitchFamily="18" charset="0"/>
            <a:cs typeface="Times New Roman" pitchFamily="18" charset="0"/>
          </a:endParaRPr>
        </a:p>
      </dgm:t>
    </dgm:pt>
    <dgm:pt modelId="{1FD36253-7A0B-4E9A-B08D-C8AF06DBA635}" type="pres">
      <dgm:prSet presAssocID="{0631555C-F344-4D0C-ABB6-75833FB52F51}" presName="cycle" presStyleCnt="0">
        <dgm:presLayoutVars>
          <dgm:chMax val="1"/>
          <dgm:dir/>
          <dgm:animLvl val="ctr"/>
          <dgm:resizeHandles val="exact"/>
        </dgm:presLayoutVars>
      </dgm:prSet>
      <dgm:spPr/>
      <dgm:t>
        <a:bodyPr/>
        <a:lstStyle/>
        <a:p>
          <a:endParaRPr lang="en-US"/>
        </a:p>
      </dgm:t>
    </dgm:pt>
    <dgm:pt modelId="{81A070D7-A7EA-4944-8BA7-2B9AAE68C717}" type="pres">
      <dgm:prSet presAssocID="{056CE44B-2659-45A9-9A08-B211194DD752}" presName="centerShape" presStyleLbl="node0" presStyleIdx="0" presStyleCnt="1"/>
      <dgm:spPr/>
      <dgm:t>
        <a:bodyPr/>
        <a:lstStyle/>
        <a:p>
          <a:endParaRPr lang="en-US"/>
        </a:p>
      </dgm:t>
    </dgm:pt>
    <dgm:pt modelId="{6647B64A-19D5-4C49-B2D3-DB1A06C42801}" type="pres">
      <dgm:prSet presAssocID="{1CA40CF7-200F-4D88-9FDB-C0E84B42AB56}" presName="Name9" presStyleLbl="parChTrans1D2" presStyleIdx="0" presStyleCnt="5"/>
      <dgm:spPr/>
      <dgm:t>
        <a:bodyPr/>
        <a:lstStyle/>
        <a:p>
          <a:endParaRPr lang="en-US"/>
        </a:p>
      </dgm:t>
    </dgm:pt>
    <dgm:pt modelId="{46782AD8-EED4-4E96-B653-547AF7EE8318}" type="pres">
      <dgm:prSet presAssocID="{1CA40CF7-200F-4D88-9FDB-C0E84B42AB56}" presName="connTx" presStyleLbl="parChTrans1D2" presStyleIdx="0" presStyleCnt="5"/>
      <dgm:spPr/>
      <dgm:t>
        <a:bodyPr/>
        <a:lstStyle/>
        <a:p>
          <a:endParaRPr lang="en-US"/>
        </a:p>
      </dgm:t>
    </dgm:pt>
    <dgm:pt modelId="{A5CCB63A-B632-404A-945A-9F24B6885EF6}" type="pres">
      <dgm:prSet presAssocID="{ED663D4A-D2B6-4F55-9209-8E5D2E293AD4}" presName="node" presStyleLbl="node1" presStyleIdx="0" presStyleCnt="5">
        <dgm:presLayoutVars>
          <dgm:bulletEnabled val="1"/>
        </dgm:presLayoutVars>
      </dgm:prSet>
      <dgm:spPr/>
      <dgm:t>
        <a:bodyPr/>
        <a:lstStyle/>
        <a:p>
          <a:endParaRPr lang="en-US"/>
        </a:p>
      </dgm:t>
    </dgm:pt>
    <dgm:pt modelId="{06A17B3A-F9D4-409C-81F3-393F11F56ADB}" type="pres">
      <dgm:prSet presAssocID="{15C7C76F-0010-48F9-A69E-E57B0ADD5C71}" presName="Name9" presStyleLbl="parChTrans1D2" presStyleIdx="1" presStyleCnt="5"/>
      <dgm:spPr/>
      <dgm:t>
        <a:bodyPr/>
        <a:lstStyle/>
        <a:p>
          <a:endParaRPr lang="en-US"/>
        </a:p>
      </dgm:t>
    </dgm:pt>
    <dgm:pt modelId="{D3456475-C646-474A-9798-250CC6C15FDC}" type="pres">
      <dgm:prSet presAssocID="{15C7C76F-0010-48F9-A69E-E57B0ADD5C71}" presName="connTx" presStyleLbl="parChTrans1D2" presStyleIdx="1" presStyleCnt="5"/>
      <dgm:spPr/>
      <dgm:t>
        <a:bodyPr/>
        <a:lstStyle/>
        <a:p>
          <a:endParaRPr lang="en-US"/>
        </a:p>
      </dgm:t>
    </dgm:pt>
    <dgm:pt modelId="{41B05698-22DC-413C-956C-555DB8F2389B}" type="pres">
      <dgm:prSet presAssocID="{4E128B21-A4ED-453A-A918-2887748389C4}" presName="node" presStyleLbl="node1" presStyleIdx="1" presStyleCnt="5">
        <dgm:presLayoutVars>
          <dgm:bulletEnabled val="1"/>
        </dgm:presLayoutVars>
      </dgm:prSet>
      <dgm:spPr/>
      <dgm:t>
        <a:bodyPr/>
        <a:lstStyle/>
        <a:p>
          <a:endParaRPr lang="en-US"/>
        </a:p>
      </dgm:t>
    </dgm:pt>
    <dgm:pt modelId="{228DC55C-AC21-492A-B95E-2D902B27942C}" type="pres">
      <dgm:prSet presAssocID="{19FF2E6C-706E-4ED9-9361-224DB4CC4021}" presName="Name9" presStyleLbl="parChTrans1D2" presStyleIdx="2" presStyleCnt="5"/>
      <dgm:spPr/>
      <dgm:t>
        <a:bodyPr/>
        <a:lstStyle/>
        <a:p>
          <a:endParaRPr lang="en-US"/>
        </a:p>
      </dgm:t>
    </dgm:pt>
    <dgm:pt modelId="{65BE282C-C3C0-48CA-AEA9-8B84AAFFEBBE}" type="pres">
      <dgm:prSet presAssocID="{19FF2E6C-706E-4ED9-9361-224DB4CC4021}" presName="connTx" presStyleLbl="parChTrans1D2" presStyleIdx="2" presStyleCnt="5"/>
      <dgm:spPr/>
      <dgm:t>
        <a:bodyPr/>
        <a:lstStyle/>
        <a:p>
          <a:endParaRPr lang="en-US"/>
        </a:p>
      </dgm:t>
    </dgm:pt>
    <dgm:pt modelId="{FB955BD3-DF55-4A05-BD9D-674E3D3CB9D4}" type="pres">
      <dgm:prSet presAssocID="{4AEDE55D-1361-4AFE-92D4-D1172302CC28}" presName="node" presStyleLbl="node1" presStyleIdx="2" presStyleCnt="5" custScaleX="110221">
        <dgm:presLayoutVars>
          <dgm:bulletEnabled val="1"/>
        </dgm:presLayoutVars>
      </dgm:prSet>
      <dgm:spPr/>
      <dgm:t>
        <a:bodyPr/>
        <a:lstStyle/>
        <a:p>
          <a:endParaRPr lang="en-US"/>
        </a:p>
      </dgm:t>
    </dgm:pt>
    <dgm:pt modelId="{7BF2B6FA-62F0-46AD-88F0-431BD7E23229}" type="pres">
      <dgm:prSet presAssocID="{FDFF801E-A59A-431E-BD9B-7CA5DEA150BB}" presName="Name9" presStyleLbl="parChTrans1D2" presStyleIdx="3" presStyleCnt="5"/>
      <dgm:spPr/>
      <dgm:t>
        <a:bodyPr/>
        <a:lstStyle/>
        <a:p>
          <a:endParaRPr lang="en-US"/>
        </a:p>
      </dgm:t>
    </dgm:pt>
    <dgm:pt modelId="{421C66D9-0745-4F71-808C-A6790E88A2C0}" type="pres">
      <dgm:prSet presAssocID="{FDFF801E-A59A-431E-BD9B-7CA5DEA150BB}" presName="connTx" presStyleLbl="parChTrans1D2" presStyleIdx="3" presStyleCnt="5"/>
      <dgm:spPr/>
      <dgm:t>
        <a:bodyPr/>
        <a:lstStyle/>
        <a:p>
          <a:endParaRPr lang="en-US"/>
        </a:p>
      </dgm:t>
    </dgm:pt>
    <dgm:pt modelId="{5261EC28-6F8C-463E-AEAA-AED251E9F66E}" type="pres">
      <dgm:prSet presAssocID="{1B625FE8-DF1D-4788-BFDE-658A2B0CEAEA}" presName="node" presStyleLbl="node1" presStyleIdx="3" presStyleCnt="5" custScaleX="120925">
        <dgm:presLayoutVars>
          <dgm:bulletEnabled val="1"/>
        </dgm:presLayoutVars>
      </dgm:prSet>
      <dgm:spPr/>
      <dgm:t>
        <a:bodyPr/>
        <a:lstStyle/>
        <a:p>
          <a:endParaRPr lang="en-US"/>
        </a:p>
      </dgm:t>
    </dgm:pt>
    <dgm:pt modelId="{614F7CC2-D948-4747-B49C-04BE873D8D48}" type="pres">
      <dgm:prSet presAssocID="{30F99FA2-837A-481E-B500-99E6921DF7DD}" presName="Name9" presStyleLbl="parChTrans1D2" presStyleIdx="4" presStyleCnt="5"/>
      <dgm:spPr/>
      <dgm:t>
        <a:bodyPr/>
        <a:lstStyle/>
        <a:p>
          <a:endParaRPr lang="en-US"/>
        </a:p>
      </dgm:t>
    </dgm:pt>
    <dgm:pt modelId="{FA759D4A-5EBB-46CD-9004-E4529C9275DB}" type="pres">
      <dgm:prSet presAssocID="{30F99FA2-837A-481E-B500-99E6921DF7DD}" presName="connTx" presStyleLbl="parChTrans1D2" presStyleIdx="4" presStyleCnt="5"/>
      <dgm:spPr/>
      <dgm:t>
        <a:bodyPr/>
        <a:lstStyle/>
        <a:p>
          <a:endParaRPr lang="en-US"/>
        </a:p>
      </dgm:t>
    </dgm:pt>
    <dgm:pt modelId="{5F7E2919-3DC9-4280-B3A7-69FCA5D0DE87}" type="pres">
      <dgm:prSet presAssocID="{EAD63577-52E9-4BE6-9670-6DB7942F8BF5}" presName="node" presStyleLbl="node1" presStyleIdx="4" presStyleCnt="5">
        <dgm:presLayoutVars>
          <dgm:bulletEnabled val="1"/>
        </dgm:presLayoutVars>
      </dgm:prSet>
      <dgm:spPr/>
      <dgm:t>
        <a:bodyPr/>
        <a:lstStyle/>
        <a:p>
          <a:endParaRPr lang="en-US"/>
        </a:p>
      </dgm:t>
    </dgm:pt>
  </dgm:ptLst>
  <dgm:cxnLst>
    <dgm:cxn modelId="{2E018A79-C365-4595-BAED-76FE1F9C9A2D}" type="presOf" srcId="{ED663D4A-D2B6-4F55-9209-8E5D2E293AD4}" destId="{A5CCB63A-B632-404A-945A-9F24B6885EF6}" srcOrd="0" destOrd="0" presId="urn:microsoft.com/office/officeart/2005/8/layout/radial1"/>
    <dgm:cxn modelId="{8BD29065-06C0-45D7-B805-31A2F4BCE580}" type="presOf" srcId="{1CA40CF7-200F-4D88-9FDB-C0E84B42AB56}" destId="{46782AD8-EED4-4E96-B653-547AF7EE8318}" srcOrd="1" destOrd="0" presId="urn:microsoft.com/office/officeart/2005/8/layout/radial1"/>
    <dgm:cxn modelId="{420BB2CE-10A3-4BA3-B475-CABF51E7F4A0}" type="presOf" srcId="{EAD63577-52E9-4BE6-9670-6DB7942F8BF5}" destId="{5F7E2919-3DC9-4280-B3A7-69FCA5D0DE87}" srcOrd="0" destOrd="0" presId="urn:microsoft.com/office/officeart/2005/8/layout/radial1"/>
    <dgm:cxn modelId="{8668C00B-08F4-49E4-B523-0542E5D4BFC1}" type="presOf" srcId="{FDFF801E-A59A-431E-BD9B-7CA5DEA150BB}" destId="{421C66D9-0745-4F71-808C-A6790E88A2C0}" srcOrd="1" destOrd="0" presId="urn:microsoft.com/office/officeart/2005/8/layout/radial1"/>
    <dgm:cxn modelId="{5C9CBBF9-9829-4FE1-9774-0DF3D424A56B}" srcId="{056CE44B-2659-45A9-9A08-B211194DD752}" destId="{ED663D4A-D2B6-4F55-9209-8E5D2E293AD4}" srcOrd="0" destOrd="0" parTransId="{1CA40CF7-200F-4D88-9FDB-C0E84B42AB56}" sibTransId="{2377C61D-CFFA-4367-B07B-E4DC5CD17730}"/>
    <dgm:cxn modelId="{A2862BE4-84A5-44B6-B935-6B61EB0EB537}" type="presOf" srcId="{4E128B21-A4ED-453A-A918-2887748389C4}" destId="{41B05698-22DC-413C-956C-555DB8F2389B}" srcOrd="0" destOrd="0" presId="urn:microsoft.com/office/officeart/2005/8/layout/radial1"/>
    <dgm:cxn modelId="{C1B27862-10DB-4E14-B341-9437B0A5C616}" type="presOf" srcId="{19FF2E6C-706E-4ED9-9361-224DB4CC4021}" destId="{228DC55C-AC21-492A-B95E-2D902B27942C}" srcOrd="0" destOrd="0" presId="urn:microsoft.com/office/officeart/2005/8/layout/radial1"/>
    <dgm:cxn modelId="{7DD26AB0-5A25-44B1-8681-6E7F1C5181A2}" type="presOf" srcId="{4AEDE55D-1361-4AFE-92D4-D1172302CC28}" destId="{FB955BD3-DF55-4A05-BD9D-674E3D3CB9D4}" srcOrd="0" destOrd="0" presId="urn:microsoft.com/office/officeart/2005/8/layout/radial1"/>
    <dgm:cxn modelId="{4E5B216F-A84A-4BEF-A9FC-543E8E5A661B}" type="presOf" srcId="{19FF2E6C-706E-4ED9-9361-224DB4CC4021}" destId="{65BE282C-C3C0-48CA-AEA9-8B84AAFFEBBE}" srcOrd="1" destOrd="0" presId="urn:microsoft.com/office/officeart/2005/8/layout/radial1"/>
    <dgm:cxn modelId="{DB0C0627-028E-4C1C-AC81-51B5A7A4B81E}" type="presOf" srcId="{0631555C-F344-4D0C-ABB6-75833FB52F51}" destId="{1FD36253-7A0B-4E9A-B08D-C8AF06DBA635}" srcOrd="0" destOrd="0" presId="urn:microsoft.com/office/officeart/2005/8/layout/radial1"/>
    <dgm:cxn modelId="{27B9D5EE-1887-4361-8BE8-A578BF02ADCB}" type="presOf" srcId="{1B625FE8-DF1D-4788-BFDE-658A2B0CEAEA}" destId="{5261EC28-6F8C-463E-AEAA-AED251E9F66E}" srcOrd="0" destOrd="0" presId="urn:microsoft.com/office/officeart/2005/8/layout/radial1"/>
    <dgm:cxn modelId="{DA4738B3-DD34-4896-AD27-049D8C9E2B6A}" type="presOf" srcId="{15C7C76F-0010-48F9-A69E-E57B0ADD5C71}" destId="{D3456475-C646-474A-9798-250CC6C15FDC}" srcOrd="1" destOrd="0" presId="urn:microsoft.com/office/officeart/2005/8/layout/radial1"/>
    <dgm:cxn modelId="{80482972-743F-4A24-93AD-A4A4A00F5641}" type="presOf" srcId="{15C7C76F-0010-48F9-A69E-E57B0ADD5C71}" destId="{06A17B3A-F9D4-409C-81F3-393F11F56ADB}" srcOrd="0" destOrd="0" presId="urn:microsoft.com/office/officeart/2005/8/layout/radial1"/>
    <dgm:cxn modelId="{678A7C60-1801-491D-BCC2-7E5DCD9E931F}" srcId="{056CE44B-2659-45A9-9A08-B211194DD752}" destId="{1B625FE8-DF1D-4788-BFDE-658A2B0CEAEA}" srcOrd="3" destOrd="0" parTransId="{FDFF801E-A59A-431E-BD9B-7CA5DEA150BB}" sibTransId="{A7AB827C-CFB2-496D-8FDA-2D8F59E5AE29}"/>
    <dgm:cxn modelId="{73C0D772-3E92-4E1D-9B4F-7969613F0F1C}" srcId="{056CE44B-2659-45A9-9A08-B211194DD752}" destId="{4AEDE55D-1361-4AFE-92D4-D1172302CC28}" srcOrd="2" destOrd="0" parTransId="{19FF2E6C-706E-4ED9-9361-224DB4CC4021}" sibTransId="{03547CF3-F7BD-4FF0-9542-6519AAD70E30}"/>
    <dgm:cxn modelId="{A023D452-1310-46E2-9D4C-838D9EA1A1C9}" type="presOf" srcId="{30F99FA2-837A-481E-B500-99E6921DF7DD}" destId="{614F7CC2-D948-4747-B49C-04BE873D8D48}" srcOrd="0" destOrd="0" presId="urn:microsoft.com/office/officeart/2005/8/layout/radial1"/>
    <dgm:cxn modelId="{D10B0E70-6850-48BC-93DE-DAD28C3E114C}" type="presOf" srcId="{30F99FA2-837A-481E-B500-99E6921DF7DD}" destId="{FA759D4A-5EBB-46CD-9004-E4529C9275DB}" srcOrd="1" destOrd="0" presId="urn:microsoft.com/office/officeart/2005/8/layout/radial1"/>
    <dgm:cxn modelId="{B20D983B-4852-40F5-936F-D9DE4D635BD0}" type="presOf" srcId="{1CA40CF7-200F-4D88-9FDB-C0E84B42AB56}" destId="{6647B64A-19D5-4C49-B2D3-DB1A06C42801}" srcOrd="0" destOrd="0" presId="urn:microsoft.com/office/officeart/2005/8/layout/radial1"/>
    <dgm:cxn modelId="{D128C01F-7649-42B5-8E2A-93C2D90FDED0}" srcId="{056CE44B-2659-45A9-9A08-B211194DD752}" destId="{4E128B21-A4ED-453A-A918-2887748389C4}" srcOrd="1" destOrd="0" parTransId="{15C7C76F-0010-48F9-A69E-E57B0ADD5C71}" sibTransId="{4A3DDF8E-6F35-4EAF-BC03-9BE7D2244EA9}"/>
    <dgm:cxn modelId="{36220C25-B99E-4620-9C48-CC2CE9BD0DF1}" srcId="{0631555C-F344-4D0C-ABB6-75833FB52F51}" destId="{056CE44B-2659-45A9-9A08-B211194DD752}" srcOrd="0" destOrd="0" parTransId="{404120AB-A7E1-4732-8BCA-63563A455C7A}" sibTransId="{825B6225-5B90-4101-9E0F-37458ECFEDC7}"/>
    <dgm:cxn modelId="{3D7D2182-6F9D-4484-A536-972F1DB3A65E}" srcId="{056CE44B-2659-45A9-9A08-B211194DD752}" destId="{EAD63577-52E9-4BE6-9670-6DB7942F8BF5}" srcOrd="4" destOrd="0" parTransId="{30F99FA2-837A-481E-B500-99E6921DF7DD}" sibTransId="{A38E5054-7939-4974-AAA1-F35EDDF8478B}"/>
    <dgm:cxn modelId="{8A3EBC52-0E21-4CEB-8466-80837EE2BC0D}" type="presOf" srcId="{056CE44B-2659-45A9-9A08-B211194DD752}" destId="{81A070D7-A7EA-4944-8BA7-2B9AAE68C717}" srcOrd="0" destOrd="0" presId="urn:microsoft.com/office/officeart/2005/8/layout/radial1"/>
    <dgm:cxn modelId="{905D38AF-22DF-4E7B-B59F-08441415D403}" type="presOf" srcId="{FDFF801E-A59A-431E-BD9B-7CA5DEA150BB}" destId="{7BF2B6FA-62F0-46AD-88F0-431BD7E23229}" srcOrd="0" destOrd="0" presId="urn:microsoft.com/office/officeart/2005/8/layout/radial1"/>
    <dgm:cxn modelId="{1E4926B4-E3A9-48A0-AF08-230ECB3EB4D9}" type="presParOf" srcId="{1FD36253-7A0B-4E9A-B08D-C8AF06DBA635}" destId="{81A070D7-A7EA-4944-8BA7-2B9AAE68C717}" srcOrd="0" destOrd="0" presId="urn:microsoft.com/office/officeart/2005/8/layout/radial1"/>
    <dgm:cxn modelId="{7682F31E-89D0-4E9F-B954-F7867352F119}" type="presParOf" srcId="{1FD36253-7A0B-4E9A-B08D-C8AF06DBA635}" destId="{6647B64A-19D5-4C49-B2D3-DB1A06C42801}" srcOrd="1" destOrd="0" presId="urn:microsoft.com/office/officeart/2005/8/layout/radial1"/>
    <dgm:cxn modelId="{0D250A4B-F0E7-4953-8F20-6C8A4AE8D7FE}" type="presParOf" srcId="{6647B64A-19D5-4C49-B2D3-DB1A06C42801}" destId="{46782AD8-EED4-4E96-B653-547AF7EE8318}" srcOrd="0" destOrd="0" presId="urn:microsoft.com/office/officeart/2005/8/layout/radial1"/>
    <dgm:cxn modelId="{39FDE315-ABED-4C2E-8627-18F3EBCD86F5}" type="presParOf" srcId="{1FD36253-7A0B-4E9A-B08D-C8AF06DBA635}" destId="{A5CCB63A-B632-404A-945A-9F24B6885EF6}" srcOrd="2" destOrd="0" presId="urn:microsoft.com/office/officeart/2005/8/layout/radial1"/>
    <dgm:cxn modelId="{42C03AAF-94A1-4F58-A7FD-1268AA04E976}" type="presParOf" srcId="{1FD36253-7A0B-4E9A-B08D-C8AF06DBA635}" destId="{06A17B3A-F9D4-409C-81F3-393F11F56ADB}" srcOrd="3" destOrd="0" presId="urn:microsoft.com/office/officeart/2005/8/layout/radial1"/>
    <dgm:cxn modelId="{7087D035-8BFA-4607-A097-97960A50847E}" type="presParOf" srcId="{06A17B3A-F9D4-409C-81F3-393F11F56ADB}" destId="{D3456475-C646-474A-9798-250CC6C15FDC}" srcOrd="0" destOrd="0" presId="urn:microsoft.com/office/officeart/2005/8/layout/radial1"/>
    <dgm:cxn modelId="{6229ADD7-1FCA-41D3-93E6-A926C6DBE209}" type="presParOf" srcId="{1FD36253-7A0B-4E9A-B08D-C8AF06DBA635}" destId="{41B05698-22DC-413C-956C-555DB8F2389B}" srcOrd="4" destOrd="0" presId="urn:microsoft.com/office/officeart/2005/8/layout/radial1"/>
    <dgm:cxn modelId="{80E2575E-7CC0-4A5B-9915-F286F62B86DD}" type="presParOf" srcId="{1FD36253-7A0B-4E9A-B08D-C8AF06DBA635}" destId="{228DC55C-AC21-492A-B95E-2D902B27942C}" srcOrd="5" destOrd="0" presId="urn:microsoft.com/office/officeart/2005/8/layout/radial1"/>
    <dgm:cxn modelId="{AF38E7A2-F9F8-4E2C-8080-BE18F0FD4DF5}" type="presParOf" srcId="{228DC55C-AC21-492A-B95E-2D902B27942C}" destId="{65BE282C-C3C0-48CA-AEA9-8B84AAFFEBBE}" srcOrd="0" destOrd="0" presId="urn:microsoft.com/office/officeart/2005/8/layout/radial1"/>
    <dgm:cxn modelId="{31BCE0BB-8CFD-4084-8588-3DF99794E6B0}" type="presParOf" srcId="{1FD36253-7A0B-4E9A-B08D-C8AF06DBA635}" destId="{FB955BD3-DF55-4A05-BD9D-674E3D3CB9D4}" srcOrd="6" destOrd="0" presId="urn:microsoft.com/office/officeart/2005/8/layout/radial1"/>
    <dgm:cxn modelId="{1831F49C-BB9D-4AD4-ADB2-263D45902594}" type="presParOf" srcId="{1FD36253-7A0B-4E9A-B08D-C8AF06DBA635}" destId="{7BF2B6FA-62F0-46AD-88F0-431BD7E23229}" srcOrd="7" destOrd="0" presId="urn:microsoft.com/office/officeart/2005/8/layout/radial1"/>
    <dgm:cxn modelId="{FAABF507-C156-4E5C-A7E6-9F65327A9BE6}" type="presParOf" srcId="{7BF2B6FA-62F0-46AD-88F0-431BD7E23229}" destId="{421C66D9-0745-4F71-808C-A6790E88A2C0}" srcOrd="0" destOrd="0" presId="urn:microsoft.com/office/officeart/2005/8/layout/radial1"/>
    <dgm:cxn modelId="{0F5923AE-73EC-47AD-A9B7-E87134A05C77}" type="presParOf" srcId="{1FD36253-7A0B-4E9A-B08D-C8AF06DBA635}" destId="{5261EC28-6F8C-463E-AEAA-AED251E9F66E}" srcOrd="8" destOrd="0" presId="urn:microsoft.com/office/officeart/2005/8/layout/radial1"/>
    <dgm:cxn modelId="{ED703FB2-DF3D-4DDE-90C0-F3F67313DF06}" type="presParOf" srcId="{1FD36253-7A0B-4E9A-B08D-C8AF06DBA635}" destId="{614F7CC2-D948-4747-B49C-04BE873D8D48}" srcOrd="9" destOrd="0" presId="urn:microsoft.com/office/officeart/2005/8/layout/radial1"/>
    <dgm:cxn modelId="{EDA39400-7A29-47D6-8200-D075D73052D3}" type="presParOf" srcId="{614F7CC2-D948-4747-B49C-04BE873D8D48}" destId="{FA759D4A-5EBB-46CD-9004-E4529C9275DB}" srcOrd="0" destOrd="0" presId="urn:microsoft.com/office/officeart/2005/8/layout/radial1"/>
    <dgm:cxn modelId="{17248046-941E-4602-A935-DD4E1762ECC2}" type="presParOf" srcId="{1FD36253-7A0B-4E9A-B08D-C8AF06DBA635}" destId="{5F7E2919-3DC9-4280-B3A7-69FCA5D0DE87}" srcOrd="10" destOrd="0" presId="urn:microsoft.com/office/officeart/2005/8/layout/radial1"/>
  </dgm:cxnLst>
  <dgm:bg/>
  <dgm:whole/>
  <dgm:extLst>
    <a:ext uri="http://schemas.microsoft.com/office/drawing/2008/diagram">
      <dsp:dataModelExt xmlns:dsp="http://schemas.microsoft.com/office/drawing/2008/diagram" xmlns="" relId="rId2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1A070D7-A7EA-4944-8BA7-2B9AAE68C717}">
      <dsp:nvSpPr>
        <dsp:cNvPr id="0" name=""/>
        <dsp:cNvSpPr/>
      </dsp:nvSpPr>
      <dsp:spPr>
        <a:xfrm>
          <a:off x="1341954" y="864871"/>
          <a:ext cx="657167" cy="65716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DBBL sector of CST</a:t>
          </a:r>
        </a:p>
      </dsp:txBody>
      <dsp:txXfrm>
        <a:off x="1341954" y="864871"/>
        <a:ext cx="657167" cy="657167"/>
      </dsp:txXfrm>
    </dsp:sp>
    <dsp:sp modelId="{6647B64A-19D5-4C49-B2D3-DB1A06C42801}">
      <dsp:nvSpPr>
        <dsp:cNvPr id="0" name=""/>
        <dsp:cNvSpPr/>
      </dsp:nvSpPr>
      <dsp:spPr>
        <a:xfrm rot="16200000">
          <a:off x="1571375" y="748006"/>
          <a:ext cx="198326" cy="35404"/>
        </a:xfrm>
        <a:custGeom>
          <a:avLst/>
          <a:gdLst/>
          <a:ahLst/>
          <a:cxnLst/>
          <a:rect l="0" t="0" r="0" b="0"/>
          <a:pathLst>
            <a:path>
              <a:moveTo>
                <a:pt x="0" y="17702"/>
              </a:moveTo>
              <a:lnTo>
                <a:pt x="198326" y="177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itchFamily="18" charset="0"/>
            <a:cs typeface="Times New Roman" pitchFamily="18" charset="0"/>
          </a:endParaRPr>
        </a:p>
      </dsp:txBody>
      <dsp:txXfrm rot="16200000">
        <a:off x="1665580" y="760750"/>
        <a:ext cx="9916" cy="9916"/>
      </dsp:txXfrm>
    </dsp:sp>
    <dsp:sp modelId="{A5CCB63A-B632-404A-945A-9F24B6885EF6}">
      <dsp:nvSpPr>
        <dsp:cNvPr id="0" name=""/>
        <dsp:cNvSpPr/>
      </dsp:nvSpPr>
      <dsp:spPr>
        <a:xfrm>
          <a:off x="1341954" y="9377"/>
          <a:ext cx="657167" cy="65716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Education</a:t>
          </a:r>
        </a:p>
      </dsp:txBody>
      <dsp:txXfrm>
        <a:off x="1341954" y="9377"/>
        <a:ext cx="657167" cy="657167"/>
      </dsp:txXfrm>
    </dsp:sp>
    <dsp:sp modelId="{06A17B3A-F9D4-409C-81F3-393F11F56ADB}">
      <dsp:nvSpPr>
        <dsp:cNvPr id="0" name=""/>
        <dsp:cNvSpPr/>
      </dsp:nvSpPr>
      <dsp:spPr>
        <a:xfrm rot="20520000">
          <a:off x="1978187" y="1043571"/>
          <a:ext cx="198326" cy="35404"/>
        </a:xfrm>
        <a:custGeom>
          <a:avLst/>
          <a:gdLst/>
          <a:ahLst/>
          <a:cxnLst/>
          <a:rect l="0" t="0" r="0" b="0"/>
          <a:pathLst>
            <a:path>
              <a:moveTo>
                <a:pt x="0" y="17702"/>
              </a:moveTo>
              <a:lnTo>
                <a:pt x="198326" y="177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itchFamily="18" charset="0"/>
            <a:cs typeface="Times New Roman" pitchFamily="18" charset="0"/>
          </a:endParaRPr>
        </a:p>
      </dsp:txBody>
      <dsp:txXfrm rot="20520000">
        <a:off x="2072391" y="1056316"/>
        <a:ext cx="9916" cy="9916"/>
      </dsp:txXfrm>
    </dsp:sp>
    <dsp:sp modelId="{41B05698-22DC-413C-956C-555DB8F2389B}">
      <dsp:nvSpPr>
        <dsp:cNvPr id="0" name=""/>
        <dsp:cNvSpPr/>
      </dsp:nvSpPr>
      <dsp:spPr>
        <a:xfrm>
          <a:off x="2155577" y="600509"/>
          <a:ext cx="657167" cy="65716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Health</a:t>
          </a:r>
        </a:p>
      </dsp:txBody>
      <dsp:txXfrm>
        <a:off x="2155577" y="600509"/>
        <a:ext cx="657167" cy="657167"/>
      </dsp:txXfrm>
    </dsp:sp>
    <dsp:sp modelId="{228DC55C-AC21-492A-B95E-2D902B27942C}">
      <dsp:nvSpPr>
        <dsp:cNvPr id="0" name=""/>
        <dsp:cNvSpPr/>
      </dsp:nvSpPr>
      <dsp:spPr>
        <a:xfrm rot="3240000">
          <a:off x="1824967" y="1517550"/>
          <a:ext cx="187802" cy="35404"/>
        </a:xfrm>
        <a:custGeom>
          <a:avLst/>
          <a:gdLst/>
          <a:ahLst/>
          <a:cxnLst/>
          <a:rect l="0" t="0" r="0" b="0"/>
          <a:pathLst>
            <a:path>
              <a:moveTo>
                <a:pt x="0" y="17702"/>
              </a:moveTo>
              <a:lnTo>
                <a:pt x="187802" y="177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itchFamily="18" charset="0"/>
            <a:cs typeface="Times New Roman" pitchFamily="18" charset="0"/>
          </a:endParaRPr>
        </a:p>
      </dsp:txBody>
      <dsp:txXfrm rot="3240000">
        <a:off x="1914173" y="1530557"/>
        <a:ext cx="9390" cy="9390"/>
      </dsp:txXfrm>
    </dsp:sp>
    <dsp:sp modelId="{FB955BD3-DF55-4A05-BD9D-674E3D3CB9D4}">
      <dsp:nvSpPr>
        <dsp:cNvPr id="0" name=""/>
        <dsp:cNvSpPr/>
      </dsp:nvSpPr>
      <dsp:spPr>
        <a:xfrm>
          <a:off x="1811216" y="1556980"/>
          <a:ext cx="724336" cy="65716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Donation</a:t>
          </a:r>
        </a:p>
      </dsp:txBody>
      <dsp:txXfrm>
        <a:off x="1811216" y="1556980"/>
        <a:ext cx="724336" cy="657167"/>
      </dsp:txXfrm>
    </dsp:sp>
    <dsp:sp modelId="{7BF2B6FA-62F0-46AD-88F0-431BD7E23229}">
      <dsp:nvSpPr>
        <dsp:cNvPr id="0" name=""/>
        <dsp:cNvSpPr/>
      </dsp:nvSpPr>
      <dsp:spPr>
        <a:xfrm rot="7560000">
          <a:off x="1335482" y="1513894"/>
          <a:ext cx="178763" cy="35404"/>
        </a:xfrm>
        <a:custGeom>
          <a:avLst/>
          <a:gdLst/>
          <a:ahLst/>
          <a:cxnLst/>
          <a:rect l="0" t="0" r="0" b="0"/>
          <a:pathLst>
            <a:path>
              <a:moveTo>
                <a:pt x="0" y="17702"/>
              </a:moveTo>
              <a:lnTo>
                <a:pt x="178763" y="177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itchFamily="18" charset="0"/>
            <a:cs typeface="Times New Roman" pitchFamily="18" charset="0"/>
          </a:endParaRPr>
        </a:p>
      </dsp:txBody>
      <dsp:txXfrm rot="7560000">
        <a:off x="1420395" y="1527127"/>
        <a:ext cx="8938" cy="8938"/>
      </dsp:txXfrm>
    </dsp:sp>
    <dsp:sp modelId="{5261EC28-6F8C-463E-AEAA-AED251E9F66E}">
      <dsp:nvSpPr>
        <dsp:cNvPr id="0" name=""/>
        <dsp:cNvSpPr/>
      </dsp:nvSpPr>
      <dsp:spPr>
        <a:xfrm>
          <a:off x="770351" y="1556980"/>
          <a:ext cx="794680" cy="65716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Information Technology</a:t>
          </a:r>
        </a:p>
      </dsp:txBody>
      <dsp:txXfrm>
        <a:off x="770351" y="1556980"/>
        <a:ext cx="794680" cy="657167"/>
      </dsp:txXfrm>
    </dsp:sp>
    <dsp:sp modelId="{614F7CC2-D948-4747-B49C-04BE873D8D48}">
      <dsp:nvSpPr>
        <dsp:cNvPr id="0" name=""/>
        <dsp:cNvSpPr/>
      </dsp:nvSpPr>
      <dsp:spPr>
        <a:xfrm rot="11880000">
          <a:off x="1164563" y="1043571"/>
          <a:ext cx="198326" cy="35404"/>
        </a:xfrm>
        <a:custGeom>
          <a:avLst/>
          <a:gdLst/>
          <a:ahLst/>
          <a:cxnLst/>
          <a:rect l="0" t="0" r="0" b="0"/>
          <a:pathLst>
            <a:path>
              <a:moveTo>
                <a:pt x="0" y="17702"/>
              </a:moveTo>
              <a:lnTo>
                <a:pt x="198326" y="177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Times New Roman" pitchFamily="18" charset="0"/>
            <a:cs typeface="Times New Roman" pitchFamily="18" charset="0"/>
          </a:endParaRPr>
        </a:p>
      </dsp:txBody>
      <dsp:txXfrm rot="11880000">
        <a:off x="1258768" y="1056316"/>
        <a:ext cx="9916" cy="9916"/>
      </dsp:txXfrm>
    </dsp:sp>
    <dsp:sp modelId="{5F7E2919-3DC9-4280-B3A7-69FCA5D0DE87}">
      <dsp:nvSpPr>
        <dsp:cNvPr id="0" name=""/>
        <dsp:cNvSpPr/>
      </dsp:nvSpPr>
      <dsp:spPr>
        <a:xfrm>
          <a:off x="528331" y="600509"/>
          <a:ext cx="657167" cy="65716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latin typeface="Times New Roman" pitchFamily="18" charset="0"/>
              <a:cs typeface="Times New Roman" pitchFamily="18" charset="0"/>
            </a:rPr>
            <a:t>Disaster</a:t>
          </a:r>
        </a:p>
      </dsp:txBody>
      <dsp:txXfrm>
        <a:off x="528331" y="600509"/>
        <a:ext cx="657167" cy="657167"/>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0.72708</cdr:x>
      <cdr:y>0.13194</cdr:y>
    </cdr:from>
    <cdr:to>
      <cdr:x>0.98125</cdr:x>
      <cdr:y>0.32639</cdr:y>
    </cdr:to>
    <cdr:sp macro="" textlink="">
      <cdr:nvSpPr>
        <cdr:cNvPr id="3" name="TextBox 2"/>
        <cdr:cNvSpPr txBox="1"/>
      </cdr:nvSpPr>
      <cdr:spPr>
        <a:xfrm xmlns:a="http://schemas.openxmlformats.org/drawingml/2006/main">
          <a:off x="3324225" y="361949"/>
          <a:ext cx="1162050" cy="533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DBBL'S</a:t>
          </a:r>
          <a:r>
            <a:rPr lang="en-US" sz="1100" baseline="0"/>
            <a:t> CAPITAL POSITION</a:t>
          </a:r>
          <a:endParaRPr lang="en-US" sz="1100"/>
        </a:p>
      </cdr:txBody>
    </cdr:sp>
  </cdr:relSizeAnchor>
  <cdr:relSizeAnchor xmlns:cdr="http://schemas.openxmlformats.org/drawingml/2006/chartDrawing">
    <cdr:from>
      <cdr:x>0.73125</cdr:x>
      <cdr:y>0.69097</cdr:y>
    </cdr:from>
    <cdr:to>
      <cdr:x>0.97292</cdr:x>
      <cdr:y>0.86806</cdr:y>
    </cdr:to>
    <cdr:sp macro="" textlink="">
      <cdr:nvSpPr>
        <cdr:cNvPr id="4" name="TextBox 3"/>
        <cdr:cNvSpPr txBox="1"/>
      </cdr:nvSpPr>
      <cdr:spPr>
        <a:xfrm xmlns:a="http://schemas.openxmlformats.org/drawingml/2006/main">
          <a:off x="3343275" y="1895474"/>
          <a:ext cx="1104900" cy="4857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Under Basel  III</a:t>
          </a:r>
        </a:p>
      </cdr:txBody>
    </cdr:sp>
  </cdr:relSizeAnchor>
  <cdr:relSizeAnchor xmlns:cdr="http://schemas.openxmlformats.org/drawingml/2006/chartDrawing">
    <cdr:from>
      <cdr:x>0.14639</cdr:x>
      <cdr:y>0.04861</cdr:y>
    </cdr:from>
    <cdr:to>
      <cdr:x>0.60646</cdr:x>
      <cdr:y>0.17049</cdr:y>
    </cdr:to>
    <cdr:sp macro="" textlink="">
      <cdr:nvSpPr>
        <cdr:cNvPr id="7" name="TextBox 6"/>
        <cdr:cNvSpPr txBox="1"/>
      </cdr:nvSpPr>
      <cdr:spPr>
        <a:xfrm xmlns:a="http://schemas.openxmlformats.org/drawingml/2006/main">
          <a:off x="733425" y="141220"/>
          <a:ext cx="2305050" cy="3540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0.25475</cdr:x>
      <cdr:y>0.03934</cdr:y>
    </cdr:from>
    <cdr:to>
      <cdr:x>0.57605</cdr:x>
      <cdr:y>0.17705</cdr:y>
    </cdr:to>
    <cdr:sp macro="" textlink="">
      <cdr:nvSpPr>
        <cdr:cNvPr id="8" name="TextBox 7"/>
        <cdr:cNvSpPr txBox="1"/>
      </cdr:nvSpPr>
      <cdr:spPr>
        <a:xfrm xmlns:a="http://schemas.openxmlformats.org/drawingml/2006/main">
          <a:off x="1276350" y="114300"/>
          <a:ext cx="1609725" cy="400050"/>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en-US" sz="1200">
              <a:latin typeface="Times New Roman" pitchFamily="18" charset="0"/>
              <a:cs typeface="Times New Roman" pitchFamily="18" charset="0"/>
            </a:rPr>
            <a:t>Taka In Million</a:t>
          </a:r>
        </a:p>
      </cdr:txBody>
    </cdr:sp>
  </cdr:relSizeAnchor>
</c:userShapes>
</file>

<file path=word/drawings/drawing2.xml><?xml version="1.0" encoding="utf-8"?>
<c:userShapes xmlns:c="http://schemas.openxmlformats.org/drawingml/2006/chart">
  <cdr:relSizeAnchor xmlns:cdr="http://schemas.openxmlformats.org/drawingml/2006/chartDrawing">
    <cdr:from>
      <cdr:x>0.49375</cdr:x>
      <cdr:y>0.01389</cdr:y>
    </cdr:from>
    <cdr:to>
      <cdr:x>0.56458</cdr:x>
      <cdr:y>0.06944</cdr:y>
    </cdr:to>
    <cdr:sp macro="" textlink="">
      <cdr:nvSpPr>
        <cdr:cNvPr id="2" name="TextBox 1"/>
        <cdr:cNvSpPr txBox="1"/>
      </cdr:nvSpPr>
      <cdr:spPr>
        <a:xfrm xmlns:a="http://schemas.openxmlformats.org/drawingml/2006/main">
          <a:off x="2257425" y="38100"/>
          <a:ext cx="323850" cy="152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3CFB94-D7B0-4831-BF8E-2FC0A7AF9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57</Pages>
  <Words>19600</Words>
  <Characters>111725</Characters>
  <Application>Microsoft Office Word</Application>
  <DocSecurity>0</DocSecurity>
  <Lines>931</Lines>
  <Paragraphs>262</Paragraphs>
  <ScaleCrop>false</ScaleCrop>
  <HeadingPairs>
    <vt:vector size="4" baseType="variant">
      <vt:variant>
        <vt:lpstr>Title</vt:lpstr>
      </vt:variant>
      <vt:variant>
        <vt:i4>1</vt:i4>
      </vt:variant>
      <vt:variant>
        <vt:lpstr>Headings</vt:lpstr>
      </vt:variant>
      <vt:variant>
        <vt:i4>87</vt:i4>
      </vt:variant>
    </vt:vector>
  </HeadingPairs>
  <TitlesOfParts>
    <vt:vector size="88" baseType="lpstr">
      <vt:lpstr/>
      <vt:lpstr>List of Tables</vt:lpstr>
      <vt:lpstr>List of Figure</vt:lpstr>
      <vt:lpstr>Chapter-1</vt:lpstr>
      <vt:lpstr>    1.1 Introduction</vt:lpstr>
      <vt:lpstr>    1.2 Prelude of the Report</vt:lpstr>
      <vt:lpstr>    1.3 Objective of the Report:</vt:lpstr>
      <vt:lpstr>    </vt:lpstr>
      <vt:lpstr>    1.4 Source of Information:</vt:lpstr>
      <vt:lpstr>    </vt:lpstr>
      <vt:lpstr>    1.5 Methodology</vt:lpstr>
      <vt:lpstr>    </vt:lpstr>
      <vt:lpstr>    1.6 Background of the Study</vt:lpstr>
      <vt:lpstr>    </vt:lpstr>
      <vt:lpstr>    1.7 Scope in the report:</vt:lpstr>
      <vt:lpstr>    </vt:lpstr>
      <vt:lpstr>    1.8 Limitations of the report:</vt:lpstr>
      <vt:lpstr>Chapter-2: Job Description</vt:lpstr>
      <vt:lpstr>    </vt:lpstr>
      <vt:lpstr>    2.1 Internship at DBBL:</vt:lpstr>
      <vt:lpstr>    </vt:lpstr>
      <vt:lpstr>    2.2 Description my job at DBBL:</vt:lpstr>
      <vt:lpstr>    2.2.5 Client account statement: Some clients asked for their bank account statem</vt:lpstr>
      <vt:lpstr>    </vt:lpstr>
      <vt:lpstr>    2.3 Learned from Dach-Bangla Bank Limited: </vt:lpstr>
      <vt:lpstr>    2.4 Lessons learned from internship at the program</vt:lpstr>
      <vt:lpstr>Chapter-3: An Overview of Dutch-Bangla Limited</vt:lpstr>
      <vt:lpstr>    3.1 Historical Background:</vt:lpstr>
      <vt:lpstr>    3.2 The Board Corporate Governance &amp; Its Committees:</vt:lpstr>
      <vt:lpstr>    </vt:lpstr>
      <vt:lpstr>    </vt:lpstr>
      <vt:lpstr>    </vt:lpstr>
      <vt:lpstr>    3.3 DBBL Organizational Structure and Management</vt:lpstr>
      <vt:lpstr>    3.4 Mission of Dutch-Bangla Bank Limited:</vt:lpstr>
      <vt:lpstr>    3.5 Vision of Dutch-Bangla Bank Limited: </vt:lpstr>
      <vt:lpstr>    3.6 DBBL Core Objective: </vt:lpstr>
      <vt:lpstr>    3.7 DBBL of Strategy</vt:lpstr>
      <vt:lpstr>    3.8 DBBL Achievements:</vt:lpstr>
      <vt:lpstr>    </vt:lpstr>
      <vt:lpstr>    </vt:lpstr>
      <vt:lpstr>    3.9 Dutch-Bangla Bank Strength:</vt:lpstr>
      <vt:lpstr>    3.10 DBBL Main Activities:</vt:lpstr>
      <vt:lpstr>    3.11 DBBL Corporate Division: </vt:lpstr>
      <vt:lpstr>    3.12 DBBL off-shore Banking Unit (OBU)</vt:lpstr>
      <vt:lpstr>    3.13 DBBL Product &amp; Services List: </vt:lpstr>
      <vt:lpstr>        3.13.5 Such as other loans and advances Retail loan product:</vt:lpstr>
      <vt:lpstr>        3.13.7 Corporate Banking: </vt:lpstr>
      <vt:lpstr>    3.14 Last Three (2014-17) Years for Dutch-Bangla Bank Limited Financial Highligh</vt:lpstr>
      <vt:lpstr>    3.15 DBBL of Corporate Social Responsibilities:</vt:lpstr>
      <vt:lpstr>    </vt:lpstr>
      <vt:lpstr>    </vt:lpstr>
      <vt:lpstr>    3.16 DBBL In-house Green Banking Management:</vt:lpstr>
      <vt:lpstr>Chapter-4: OVERVIEW OF BASEL INFORMATION</vt:lpstr>
      <vt:lpstr>    4.1 BASEL Accords:</vt:lpstr>
      <vt:lpstr>    </vt:lpstr>
      <vt:lpstr>    4.2 Basel I</vt:lpstr>
      <vt:lpstr>        4.2.5 Basel 1 positive: </vt:lpstr>
      <vt:lpstr>        </vt:lpstr>
      <vt:lpstr>        4.2.6 Weaknesses of Basel 1:</vt:lpstr>
      <vt:lpstr>    </vt:lpstr>
      <vt:lpstr>    4.2.7 Basel I Pitfalls and limitation: Basel's very limited differ resources are</vt:lpstr>
      <vt:lpstr>    </vt:lpstr>
      <vt:lpstr>    4.3 Basel II</vt:lpstr>
      <vt:lpstr>        4.3.1 Objectives of Basel II:</vt:lpstr>
      <vt:lpstr>        4.3.2 Basel II version aims at:</vt:lpstr>
      <vt:lpstr>        4.3.3 Basel II Accord proposes three implementation options:</vt:lpstr>
      <vt:lpstr>        4.3.4 Basel II of Three pillars:</vt:lpstr>
      <vt:lpstr>        4.3.5 Limitations of Basel II:</vt:lpstr>
      <vt:lpstr>    </vt:lpstr>
      <vt:lpstr>    4.4 Basel III</vt:lpstr>
      <vt:lpstr>        4.4.3 Basel III Accords the main features:</vt:lpstr>
      <vt:lpstr>        4.4.5 Difference between Basel II to Basel III Regulatory Capital Ratio:</vt:lpstr>
      <vt:lpstr>    4.5 Basel-III differs from Basel I and II</vt:lpstr>
      <vt:lpstr>    </vt:lpstr>
      <vt:lpstr>    4.6 Basel Committee Secretariat:</vt:lpstr>
      <vt:lpstr>Chapter-5</vt:lpstr>
      <vt:lpstr>    5.1 Implementation of the Basel III in Bangladesh Bank</vt:lpstr>
      <vt:lpstr>    </vt:lpstr>
      <vt:lpstr>    5.2 Basel III Means for Bangladesh banking system:</vt:lpstr>
      <vt:lpstr>    5.3 Key Issues for Bangladesh Banking Sector</vt:lpstr>
      <vt:lpstr>        5.3.1 Capital Standard</vt:lpstr>
      <vt:lpstr>        5.3.2 Capital to Risk-weighted Asset Ratio</vt:lpstr>
      <vt:lpstr>        5.3.3 Leverage Ratio</vt:lpstr>
      <vt:lpstr>        5.3.4 Liquidity Standard</vt:lpstr>
      <vt:lpstr>        5.3.5 Liquidity Coverage Ratio</vt:lpstr>
      <vt:lpstr>        5.3.6 Net Stable Funding Ratio</vt:lpstr>
      <vt:lpstr>    </vt:lpstr>
      <vt:lpstr>    5.4 Bangladesh Bank Capital Accord Basel III</vt:lpstr>
    </vt:vector>
  </TitlesOfParts>
  <Company>Grizli777</Company>
  <LinksUpToDate>false</LinksUpToDate>
  <CharactersWithSpaces>131063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Customer</dc:creator>
  <cp:lastModifiedBy>Customer</cp:lastModifiedBy>
  <cp:revision>22</cp:revision>
  <dcterms:created xsi:type="dcterms:W3CDTF">2019-04-19T21:11:00Z</dcterms:created>
  <dcterms:modified xsi:type="dcterms:W3CDTF">2019-04-21T12:03:00Z</dcterms:modified>
</cp:coreProperties>
</file>