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5A4" w:rsidRDefault="003355A4" w:rsidP="003355A4">
      <w:pPr>
        <w:spacing w:after="0" w:line="240" w:lineRule="auto"/>
        <w:jc w:val="both"/>
        <w:rPr>
          <w:rFonts w:ascii="Times New Roman" w:eastAsia="Times New Roman" w:hAnsi="Times New Roman"/>
          <w:b/>
          <w:sz w:val="80"/>
          <w:szCs w:val="80"/>
        </w:rPr>
      </w:pPr>
      <w:r>
        <w:rPr>
          <w:rFonts w:ascii="Times New Roman" w:eastAsia="Times New Roman" w:hAnsi="Times New Roman"/>
          <w:b/>
          <w:sz w:val="80"/>
          <w:szCs w:val="80"/>
        </w:rPr>
        <w:t>Linde Bangladesh Limited</w:t>
      </w:r>
    </w:p>
    <w:p w:rsidR="003355A4" w:rsidRDefault="003355A4" w:rsidP="003355A4">
      <w:pPr>
        <w:spacing w:after="0" w:line="240" w:lineRule="auto"/>
        <w:jc w:val="both"/>
        <w:rPr>
          <w:rFonts w:ascii="Times New Roman" w:eastAsia="Times New Roman" w:hAnsi="Times New Roman"/>
          <w:b/>
          <w:sz w:val="80"/>
          <w:szCs w:val="80"/>
        </w:rPr>
      </w:pPr>
    </w:p>
    <w:p w:rsidR="003355A4" w:rsidRDefault="003355A4" w:rsidP="003355A4">
      <w:pPr>
        <w:spacing w:after="0" w:line="240" w:lineRule="auto"/>
        <w:jc w:val="center"/>
        <w:rPr>
          <w:rFonts w:ascii="Times New Roman" w:eastAsia="Times New Roman" w:hAnsi="Times New Roman"/>
          <w:b/>
          <w:sz w:val="80"/>
          <w:szCs w:val="80"/>
        </w:rPr>
      </w:pPr>
      <w:r>
        <w:rPr>
          <w:rFonts w:ascii="Times New Roman" w:eastAsia="Times New Roman" w:hAnsi="Times New Roman"/>
          <w:b/>
          <w:noProof/>
          <w:sz w:val="80"/>
          <w:szCs w:val="80"/>
        </w:rPr>
        <w:drawing>
          <wp:inline distT="0" distB="0" distL="0" distR="0">
            <wp:extent cx="4610100" cy="1790700"/>
            <wp:effectExtent l="19050" t="0" r="0" b="0"/>
            <wp:docPr id="2" name="Picture 7"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download.png"/>
                    <pic:cNvPicPr>
                      <a:picLocks noChangeAspect="1"/>
                    </pic:cNvPicPr>
                  </pic:nvPicPr>
                  <pic:blipFill>
                    <a:blip r:embed="rId9"/>
                    <a:stretch>
                      <a:fillRect/>
                    </a:stretch>
                  </pic:blipFill>
                  <pic:spPr>
                    <a:xfrm>
                      <a:off x="0" y="0"/>
                      <a:ext cx="4622684" cy="1795588"/>
                    </a:xfrm>
                    <a:prstGeom prst="rect">
                      <a:avLst/>
                    </a:prstGeom>
                  </pic:spPr>
                </pic:pic>
              </a:graphicData>
            </a:graphic>
          </wp:inline>
        </w:drawing>
      </w:r>
    </w:p>
    <w:p w:rsidR="003355A4" w:rsidRDefault="003355A4" w:rsidP="003355A4">
      <w:pPr>
        <w:spacing w:line="240" w:lineRule="auto"/>
        <w:jc w:val="both"/>
        <w:rPr>
          <w:rFonts w:ascii="Times New Roman" w:hAnsi="Times New Roman"/>
          <w:b/>
          <w:color w:val="FFFFFF"/>
          <w:sz w:val="96"/>
          <w:szCs w:val="96"/>
          <w:u w:val="thick"/>
        </w:rPr>
      </w:pPr>
    </w:p>
    <w:p w:rsidR="003355A4" w:rsidRDefault="003355A4" w:rsidP="003355A4">
      <w:pPr>
        <w:spacing w:line="240" w:lineRule="auto"/>
        <w:jc w:val="both"/>
        <w:rPr>
          <w:rFonts w:ascii="Times New Roman" w:hAnsi="Times New Roman"/>
          <w:b/>
          <w:color w:val="FFFFFF"/>
          <w:sz w:val="96"/>
          <w:szCs w:val="96"/>
          <w:u w:val="thick"/>
        </w:rPr>
      </w:pPr>
    </w:p>
    <w:p w:rsidR="003355A4" w:rsidRPr="00F41611" w:rsidRDefault="003355A4" w:rsidP="003355A4">
      <w:pPr>
        <w:spacing w:line="240" w:lineRule="auto"/>
        <w:jc w:val="center"/>
        <w:rPr>
          <w:rFonts w:ascii="Times New Roman" w:hAnsi="Times New Roman"/>
          <w:b/>
          <w:color w:val="000000" w:themeColor="text1"/>
          <w:sz w:val="72"/>
          <w:szCs w:val="72"/>
          <w:u w:val="thick"/>
        </w:rPr>
      </w:pPr>
      <w:r w:rsidRPr="00F41611">
        <w:rPr>
          <w:rFonts w:ascii="Times New Roman" w:hAnsi="Times New Roman"/>
          <w:b/>
          <w:color w:val="000000" w:themeColor="text1"/>
          <w:sz w:val="72"/>
          <w:szCs w:val="72"/>
          <w:u w:val="thick"/>
        </w:rPr>
        <w:t>Internship report on</w:t>
      </w:r>
    </w:p>
    <w:p w:rsidR="003355A4" w:rsidRPr="00C4726E" w:rsidRDefault="003355A4" w:rsidP="003355A4">
      <w:pPr>
        <w:spacing w:line="240" w:lineRule="auto"/>
        <w:jc w:val="center"/>
        <w:rPr>
          <w:rFonts w:ascii="Times New Roman" w:hAnsi="Times New Roman"/>
          <w:b/>
          <w:color w:val="FFFFFF"/>
          <w:sz w:val="72"/>
          <w:szCs w:val="72"/>
          <w:u w:val="thick"/>
        </w:rPr>
      </w:pPr>
      <w:r w:rsidRPr="00F41611">
        <w:rPr>
          <w:rFonts w:ascii="Times New Roman" w:hAnsi="Times New Roman"/>
          <w:b/>
          <w:color w:val="000000" w:themeColor="text1"/>
          <w:sz w:val="72"/>
          <w:szCs w:val="72"/>
          <w:u w:val="thick"/>
        </w:rPr>
        <w:t>“Performance analysis of Linde Bangladesh Ltd</w:t>
      </w:r>
      <w:r>
        <w:rPr>
          <w:rFonts w:ascii="Times New Roman" w:hAnsi="Times New Roman"/>
          <w:b/>
          <w:color w:val="000000" w:themeColor="text1"/>
          <w:sz w:val="72"/>
          <w:szCs w:val="72"/>
          <w:u w:val="thick"/>
        </w:rPr>
        <w:t>.”</w:t>
      </w:r>
    </w:p>
    <w:p w:rsidR="003355A4" w:rsidRDefault="003355A4" w:rsidP="003355A4">
      <w:pPr>
        <w:spacing w:after="0" w:line="240" w:lineRule="auto"/>
        <w:jc w:val="both"/>
        <w:rPr>
          <w:rFonts w:ascii="Times New Roman" w:eastAsia="Times New Roman" w:hAnsi="Times New Roman"/>
          <w:b/>
          <w:color w:val="548DD4"/>
          <w:sz w:val="28"/>
        </w:rPr>
      </w:pPr>
    </w:p>
    <w:p w:rsidR="003355A4" w:rsidRDefault="003355A4" w:rsidP="003355A4">
      <w:pPr>
        <w:spacing w:after="0" w:line="240" w:lineRule="auto"/>
        <w:jc w:val="both"/>
        <w:rPr>
          <w:rFonts w:ascii="Times New Roman" w:eastAsia="Times New Roman" w:hAnsi="Times New Roman"/>
          <w:b/>
          <w:color w:val="548DD4"/>
          <w:sz w:val="28"/>
        </w:rPr>
      </w:pPr>
    </w:p>
    <w:p w:rsidR="003355A4" w:rsidRDefault="003355A4" w:rsidP="00165877">
      <w:pPr>
        <w:spacing w:line="240" w:lineRule="auto"/>
        <w:rPr>
          <w:rFonts w:ascii="Times New Roman" w:hAnsi="Times New Roman" w:cs="Times New Roman"/>
          <w:b/>
          <w:color w:val="E36C0A" w:themeColor="accent6" w:themeShade="BF"/>
          <w:sz w:val="60"/>
          <w:szCs w:val="60"/>
        </w:rPr>
      </w:pPr>
    </w:p>
    <w:p w:rsidR="003355A4" w:rsidRDefault="003355A4" w:rsidP="00011E62">
      <w:pPr>
        <w:spacing w:line="240" w:lineRule="auto"/>
        <w:jc w:val="center"/>
        <w:rPr>
          <w:rFonts w:ascii="Times New Roman" w:hAnsi="Times New Roman" w:cs="Times New Roman"/>
          <w:b/>
          <w:color w:val="E36C0A" w:themeColor="accent6" w:themeShade="BF"/>
          <w:sz w:val="60"/>
          <w:szCs w:val="60"/>
        </w:rPr>
      </w:pPr>
    </w:p>
    <w:p w:rsidR="00A379A7" w:rsidRDefault="001418D9" w:rsidP="00011E62">
      <w:pPr>
        <w:spacing w:line="240" w:lineRule="auto"/>
        <w:jc w:val="center"/>
        <w:rPr>
          <w:rFonts w:ascii="Times New Roman" w:hAnsi="Times New Roman" w:cs="Times New Roman"/>
          <w:b/>
          <w:color w:val="E36C0A" w:themeColor="accent6" w:themeShade="BF"/>
          <w:sz w:val="60"/>
          <w:szCs w:val="60"/>
        </w:rPr>
      </w:pPr>
      <w:r>
        <w:rPr>
          <w:rFonts w:ascii="Times New Roman" w:hAnsi="Times New Roman" w:cs="Times New Roman"/>
          <w:b/>
          <w:color w:val="E36C0A" w:themeColor="accent6" w:themeShade="BF"/>
          <w:sz w:val="60"/>
          <w:szCs w:val="60"/>
        </w:rPr>
        <w:lastRenderedPageBreak/>
        <w:t>United International University</w:t>
      </w:r>
    </w:p>
    <w:p w:rsidR="00A379A7" w:rsidRDefault="001418D9" w:rsidP="00011E62">
      <w:pPr>
        <w:spacing w:line="240" w:lineRule="auto"/>
        <w:jc w:val="center"/>
        <w:rPr>
          <w:rFonts w:ascii="Times New Roman" w:hAnsi="Times New Roman" w:cs="Times New Roman"/>
          <w:b/>
          <w:color w:val="E36C0A" w:themeColor="accent6" w:themeShade="BF"/>
          <w:sz w:val="56"/>
          <w:szCs w:val="56"/>
        </w:rPr>
      </w:pPr>
      <w:r>
        <w:rPr>
          <w:noProof/>
        </w:rPr>
        <w:drawing>
          <wp:inline distT="0" distB="0" distL="0" distR="0">
            <wp:extent cx="1238250" cy="1123950"/>
            <wp:effectExtent l="19050" t="0" r="0" b="0"/>
            <wp:docPr id="1" name="Picture 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result for uiu logo"/>
                    <pic:cNvPicPr>
                      <a:picLocks noChangeAspect="1" noChangeArrowheads="1"/>
                    </pic:cNvPicPr>
                  </pic:nvPicPr>
                  <pic:blipFill>
                    <a:blip r:embed="rId10" cstate="print"/>
                    <a:srcRect/>
                    <a:stretch>
                      <a:fillRect/>
                    </a:stretch>
                  </pic:blipFill>
                  <pic:spPr>
                    <a:xfrm>
                      <a:off x="0" y="0"/>
                      <a:ext cx="1240940" cy="1126831"/>
                    </a:xfrm>
                    <a:prstGeom prst="rect">
                      <a:avLst/>
                    </a:prstGeom>
                    <a:noFill/>
                    <a:ln w="9525">
                      <a:noFill/>
                      <a:miter lim="800000"/>
                      <a:headEnd/>
                      <a:tailEnd/>
                    </a:ln>
                  </pic:spPr>
                </pic:pic>
              </a:graphicData>
            </a:graphic>
          </wp:inline>
        </w:drawing>
      </w:r>
    </w:p>
    <w:p w:rsidR="00A379A7" w:rsidRDefault="00F17BF7">
      <w:pPr>
        <w:spacing w:line="240" w:lineRule="auto"/>
        <w:jc w:val="center"/>
        <w:rPr>
          <w:rFonts w:ascii="Times New Roman" w:hAnsi="Times New Roman" w:cs="Times New Roman"/>
          <w:b/>
          <w:color w:val="E36C0A" w:themeColor="accent6" w:themeShade="BF"/>
          <w:sz w:val="32"/>
          <w:szCs w:val="32"/>
        </w:rPr>
      </w:pPr>
      <w:r>
        <w:rPr>
          <w:rFonts w:ascii="Times New Roman" w:hAnsi="Times New Roman" w:cs="Times New Roman"/>
          <w:b/>
          <w:color w:val="E36C0A" w:themeColor="accent6" w:themeShade="BF"/>
          <w:sz w:val="32"/>
          <w:szCs w:val="32"/>
        </w:rPr>
        <w:pict>
          <v:rect id="Rectangle 64" o:spid="_x0000_s1026" style="position:absolute;left:0;text-align:left;margin-left:-34.5pt;margin-top:9.1pt;width:522.75pt;height:87.6pt;z-index:251703296" o:gfxdata="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Rg5fstsAAAAKAQAA&#10;DwAAAAAAAAABACAAAAAiAAAAZHJzL2Rvd25yZXYueG1sUEsBAhQAFAAAAAgAh07iQBc6Nq3dAQAA&#10;4QMAAA4AAAAAAAAAAQAgAAAAKgEAAGRycy9lMm9Eb2MueG1sUEsFBgAAAAAGAAYAWQEAAHkFAAAA&#10;AA==&#10;" fillcolor="#009" strokecolor="#009">
            <v:textbox>
              <w:txbxContent>
                <w:p w:rsidR="00B51F2B" w:rsidRDefault="00B51F2B">
                  <w:pPr>
                    <w:spacing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INTERNSHIP REPORT</w:t>
                  </w:r>
                </w:p>
                <w:p w:rsidR="00B51F2B" w:rsidRDefault="00B51F2B">
                  <w:pPr>
                    <w:spacing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ON</w:t>
                  </w:r>
                </w:p>
                <w:p w:rsidR="00B51F2B" w:rsidRDefault="00B51F2B">
                  <w:pPr>
                    <w:spacing w:line="240" w:lineRule="auto"/>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Performance Analysis Of Linde Bangladesh Limited</w:t>
                  </w:r>
                </w:p>
              </w:txbxContent>
            </v:textbox>
          </v:rect>
        </w:pict>
      </w:r>
    </w:p>
    <w:p w:rsidR="00A379A7" w:rsidRDefault="00A379A7">
      <w:pPr>
        <w:spacing w:line="240" w:lineRule="auto"/>
        <w:jc w:val="center"/>
        <w:rPr>
          <w:rFonts w:ascii="Times New Roman" w:hAnsi="Times New Roman" w:cs="Times New Roman"/>
          <w:b/>
          <w:color w:val="E36C0A" w:themeColor="accent6" w:themeShade="BF"/>
          <w:sz w:val="32"/>
          <w:szCs w:val="32"/>
        </w:rPr>
      </w:pPr>
    </w:p>
    <w:p w:rsidR="00A379A7" w:rsidRDefault="00A379A7">
      <w:pPr>
        <w:spacing w:line="240" w:lineRule="auto"/>
        <w:jc w:val="center"/>
        <w:rPr>
          <w:rFonts w:ascii="Times New Roman" w:hAnsi="Times New Roman" w:cs="Times New Roman"/>
          <w:b/>
          <w:color w:val="E36C0A" w:themeColor="accent6" w:themeShade="BF"/>
          <w:sz w:val="32"/>
          <w:szCs w:val="32"/>
        </w:rPr>
      </w:pPr>
    </w:p>
    <w:p w:rsidR="00A379A7" w:rsidRDefault="00A379A7">
      <w:pPr>
        <w:spacing w:line="240" w:lineRule="auto"/>
        <w:jc w:val="center"/>
        <w:rPr>
          <w:rFonts w:ascii="Times New Roman" w:hAnsi="Times New Roman" w:cs="Times New Roman"/>
          <w:b/>
          <w:color w:val="E36C0A" w:themeColor="accent6" w:themeShade="BF"/>
          <w:sz w:val="32"/>
          <w:szCs w:val="32"/>
        </w:rPr>
      </w:pPr>
    </w:p>
    <w:p w:rsidR="00A379A7" w:rsidRDefault="001418D9">
      <w:pPr>
        <w:spacing w:line="240" w:lineRule="auto"/>
        <w:jc w:val="center"/>
        <w:rPr>
          <w:rFonts w:ascii="Times New Roman" w:hAnsi="Times New Roman" w:cs="Times New Roman"/>
          <w:b/>
          <w:color w:val="E36C0A" w:themeColor="accent6" w:themeShade="BF"/>
          <w:sz w:val="32"/>
          <w:szCs w:val="32"/>
        </w:rPr>
      </w:pPr>
      <w:r>
        <w:rPr>
          <w:noProof/>
        </w:rPr>
        <w:drawing>
          <wp:inline distT="0" distB="0" distL="0" distR="0">
            <wp:extent cx="3333750" cy="1333500"/>
            <wp:effectExtent l="1905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elated image"/>
                    <pic:cNvPicPr>
                      <a:picLocks noChangeAspect="1" noChangeArrowheads="1"/>
                    </pic:cNvPicPr>
                  </pic:nvPicPr>
                  <pic:blipFill>
                    <a:blip r:embed="rId11"/>
                    <a:srcRect/>
                    <a:stretch>
                      <a:fillRect/>
                    </a:stretch>
                  </pic:blipFill>
                  <pic:spPr>
                    <a:xfrm>
                      <a:off x="0" y="0"/>
                      <a:ext cx="3333750" cy="1333500"/>
                    </a:xfrm>
                    <a:prstGeom prst="rect">
                      <a:avLst/>
                    </a:prstGeom>
                    <a:noFill/>
                    <a:ln w="9525">
                      <a:noFill/>
                      <a:miter lim="800000"/>
                      <a:headEnd/>
                      <a:tailEnd/>
                    </a:ln>
                  </pic:spPr>
                </pic:pic>
              </a:graphicData>
            </a:graphic>
          </wp:inline>
        </w:drawing>
      </w:r>
    </w:p>
    <w:p w:rsidR="00A379A7" w:rsidRDefault="001418D9">
      <w:pPr>
        <w:spacing w:line="240" w:lineRule="auto"/>
        <w:jc w:val="center"/>
        <w:rPr>
          <w:rFonts w:ascii="Times New Roman" w:hAnsi="Times New Roman" w:cs="Times New Roman"/>
          <w:b/>
          <w:color w:val="000099"/>
          <w:sz w:val="32"/>
          <w:szCs w:val="32"/>
          <w:u w:val="single"/>
        </w:rPr>
      </w:pPr>
      <w:r>
        <w:rPr>
          <w:rFonts w:ascii="Times New Roman" w:hAnsi="Times New Roman" w:cs="Times New Roman"/>
          <w:b/>
          <w:color w:val="000099"/>
          <w:sz w:val="32"/>
          <w:szCs w:val="32"/>
          <w:u w:val="single"/>
        </w:rPr>
        <w:t>Submitted to:</w:t>
      </w:r>
    </w:p>
    <w:p w:rsidR="00412B2A" w:rsidRPr="00684FDF" w:rsidRDefault="00412B2A" w:rsidP="00684FDF">
      <w:pPr>
        <w:jc w:val="center"/>
        <w:rPr>
          <w:b/>
          <w:sz w:val="32"/>
          <w:szCs w:val="32"/>
        </w:rPr>
      </w:pPr>
      <w:r w:rsidRPr="00684FDF">
        <w:rPr>
          <w:b/>
          <w:sz w:val="32"/>
          <w:szCs w:val="32"/>
        </w:rPr>
        <w:t>JAMES BAKUL SARKAR</w:t>
      </w:r>
    </w:p>
    <w:p w:rsidR="00A379A7" w:rsidRPr="00412B2A" w:rsidRDefault="00412B2A">
      <w:pPr>
        <w:spacing w:line="240" w:lineRule="auto"/>
        <w:jc w:val="center"/>
        <w:rPr>
          <w:rFonts w:ascii="Times New Roman" w:hAnsi="Times New Roman" w:cs="Times New Roman"/>
          <w:sz w:val="28"/>
          <w:szCs w:val="28"/>
        </w:rPr>
      </w:pPr>
      <w:r>
        <w:rPr>
          <w:rFonts w:ascii="Times New Roman" w:hAnsi="Times New Roman" w:cs="Times New Roman"/>
          <w:sz w:val="28"/>
          <w:szCs w:val="28"/>
        </w:rPr>
        <w:t>Associate</w:t>
      </w:r>
      <w:r w:rsidR="001418D9" w:rsidRPr="00412B2A">
        <w:rPr>
          <w:rFonts w:ascii="Times New Roman" w:hAnsi="Times New Roman" w:cs="Times New Roman"/>
          <w:sz w:val="28"/>
          <w:szCs w:val="28"/>
        </w:rPr>
        <w:t xml:space="preserve"> Professor </w:t>
      </w:r>
    </w:p>
    <w:p w:rsidR="00412B2A" w:rsidRPr="00412B2A" w:rsidRDefault="00412B2A">
      <w:pPr>
        <w:spacing w:line="240" w:lineRule="auto"/>
        <w:jc w:val="center"/>
        <w:rPr>
          <w:rFonts w:ascii="Times New Roman" w:hAnsi="Times New Roman" w:cs="Times New Roman"/>
          <w:color w:val="000000"/>
          <w:sz w:val="28"/>
          <w:szCs w:val="28"/>
          <w:shd w:val="clear" w:color="auto" w:fill="FFFFFF"/>
        </w:rPr>
      </w:pPr>
      <w:r w:rsidRPr="00412B2A">
        <w:rPr>
          <w:rFonts w:ascii="Times New Roman" w:hAnsi="Times New Roman" w:cs="Times New Roman"/>
          <w:color w:val="000000"/>
          <w:sz w:val="28"/>
          <w:szCs w:val="28"/>
          <w:shd w:val="clear" w:color="auto" w:fill="FFFFFF"/>
        </w:rPr>
        <w:t>School of Business</w:t>
      </w:r>
    </w:p>
    <w:p w:rsidR="00A379A7" w:rsidRPr="00412B2A" w:rsidRDefault="001418D9">
      <w:pPr>
        <w:spacing w:line="240" w:lineRule="auto"/>
        <w:jc w:val="center"/>
        <w:rPr>
          <w:rFonts w:ascii="Times New Roman" w:hAnsi="Times New Roman" w:cs="Times New Roman"/>
          <w:sz w:val="28"/>
          <w:szCs w:val="28"/>
        </w:rPr>
      </w:pPr>
      <w:r w:rsidRPr="00412B2A">
        <w:rPr>
          <w:rFonts w:ascii="Times New Roman" w:hAnsi="Times New Roman" w:cs="Times New Roman"/>
          <w:sz w:val="28"/>
          <w:szCs w:val="28"/>
        </w:rPr>
        <w:t>United International University</w:t>
      </w:r>
    </w:p>
    <w:p w:rsidR="00A379A7" w:rsidRDefault="00A379A7">
      <w:pPr>
        <w:spacing w:line="240" w:lineRule="auto"/>
        <w:jc w:val="center"/>
        <w:rPr>
          <w:rFonts w:ascii="Times New Roman" w:hAnsi="Times New Roman" w:cs="Times New Roman"/>
          <w:sz w:val="28"/>
          <w:szCs w:val="28"/>
        </w:rPr>
      </w:pPr>
    </w:p>
    <w:p w:rsidR="00A379A7" w:rsidRDefault="001418D9">
      <w:pPr>
        <w:spacing w:line="240" w:lineRule="auto"/>
        <w:jc w:val="center"/>
        <w:rPr>
          <w:rFonts w:ascii="Times New Roman" w:hAnsi="Times New Roman" w:cs="Times New Roman"/>
          <w:b/>
          <w:color w:val="000099"/>
          <w:sz w:val="28"/>
          <w:szCs w:val="28"/>
          <w:u w:val="single"/>
        </w:rPr>
      </w:pPr>
      <w:r>
        <w:rPr>
          <w:rFonts w:ascii="Times New Roman" w:hAnsi="Times New Roman" w:cs="Times New Roman"/>
          <w:b/>
          <w:color w:val="000099"/>
          <w:sz w:val="28"/>
          <w:szCs w:val="28"/>
          <w:u w:val="single"/>
        </w:rPr>
        <w:t>Submitted By:</w:t>
      </w:r>
    </w:p>
    <w:p w:rsidR="00412B2A" w:rsidRDefault="00412B2A">
      <w:pPr>
        <w:spacing w:line="240" w:lineRule="auto"/>
        <w:jc w:val="center"/>
        <w:rPr>
          <w:rFonts w:ascii="Times New Roman" w:hAnsi="Times New Roman" w:cs="Times New Roman"/>
          <w:b/>
          <w:sz w:val="28"/>
          <w:szCs w:val="28"/>
        </w:rPr>
      </w:pPr>
      <w:r>
        <w:rPr>
          <w:rFonts w:ascii="Times New Roman" w:hAnsi="Times New Roman" w:cs="Times New Roman"/>
          <w:b/>
          <w:sz w:val="28"/>
          <w:szCs w:val="28"/>
        </w:rPr>
        <w:t>Naznin Ahmed</w:t>
      </w:r>
    </w:p>
    <w:p w:rsidR="00A379A7" w:rsidRDefault="00412B2A">
      <w:pPr>
        <w:spacing w:line="240" w:lineRule="auto"/>
        <w:jc w:val="center"/>
        <w:rPr>
          <w:rFonts w:ascii="Times New Roman" w:hAnsi="Times New Roman" w:cs="Times New Roman"/>
          <w:sz w:val="28"/>
          <w:szCs w:val="28"/>
        </w:rPr>
      </w:pPr>
      <w:r>
        <w:rPr>
          <w:rFonts w:ascii="Times New Roman" w:hAnsi="Times New Roman" w:cs="Times New Roman"/>
          <w:sz w:val="28"/>
          <w:szCs w:val="28"/>
        </w:rPr>
        <w:t>ID: 114 141 021</w:t>
      </w:r>
    </w:p>
    <w:p w:rsidR="00A379A7" w:rsidRDefault="00A379A7">
      <w:pPr>
        <w:spacing w:line="240" w:lineRule="auto"/>
        <w:jc w:val="both"/>
        <w:rPr>
          <w:rFonts w:ascii="Times New Roman" w:hAnsi="Times New Roman"/>
          <w:sz w:val="24"/>
          <w:szCs w:val="24"/>
        </w:rPr>
      </w:pPr>
    </w:p>
    <w:p w:rsidR="00412B2A" w:rsidRDefault="00412B2A">
      <w:pPr>
        <w:spacing w:line="240" w:lineRule="auto"/>
        <w:jc w:val="both"/>
        <w:rPr>
          <w:rFonts w:ascii="Times New Roman" w:hAnsi="Times New Roman"/>
          <w:sz w:val="24"/>
          <w:szCs w:val="24"/>
        </w:rPr>
      </w:pPr>
    </w:p>
    <w:p w:rsidR="000A349C" w:rsidRDefault="000A349C">
      <w:pPr>
        <w:spacing w:line="240" w:lineRule="auto"/>
        <w:jc w:val="both"/>
        <w:rPr>
          <w:rFonts w:ascii="Times New Roman" w:hAnsi="Times New Roman"/>
          <w:sz w:val="24"/>
          <w:szCs w:val="24"/>
        </w:rPr>
      </w:pPr>
    </w:p>
    <w:p w:rsidR="00A379A7" w:rsidRPr="007071E7" w:rsidRDefault="007071E7" w:rsidP="007071E7">
      <w:pPr>
        <w:pStyle w:val="Heading1"/>
        <w:jc w:val="center"/>
        <w:rPr>
          <w:b/>
          <w:u w:val="single"/>
        </w:rPr>
      </w:pPr>
      <w:bookmarkStart w:id="0" w:name="_Toc527816453"/>
      <w:r w:rsidRPr="007071E7">
        <w:rPr>
          <w:b/>
          <w:u w:val="single"/>
        </w:rPr>
        <w:t>Letter of Transmittal</w:t>
      </w:r>
      <w:bookmarkEnd w:id="0"/>
    </w:p>
    <w:p w:rsidR="00412B2A" w:rsidRDefault="00412B2A">
      <w:pPr>
        <w:spacing w:line="240" w:lineRule="auto"/>
        <w:jc w:val="both"/>
        <w:rPr>
          <w:rFonts w:ascii="Times New Roman" w:hAnsi="Times New Roman" w:cs="Times New Roman"/>
          <w:sz w:val="24"/>
          <w:szCs w:val="24"/>
        </w:rPr>
      </w:pPr>
    </w:p>
    <w:p w:rsidR="00A379A7" w:rsidRDefault="00A379A7">
      <w:pPr>
        <w:spacing w:line="120" w:lineRule="auto"/>
        <w:jc w:val="both"/>
        <w:rPr>
          <w:rFonts w:ascii="Times New Roman" w:hAnsi="Times New Roman" w:cs="Times New Roman"/>
          <w:b/>
          <w:sz w:val="24"/>
          <w:szCs w:val="24"/>
        </w:rPr>
      </w:pPr>
    </w:p>
    <w:p w:rsidR="007071E7" w:rsidRDefault="007071E7">
      <w:pPr>
        <w:spacing w:line="240" w:lineRule="auto"/>
        <w:jc w:val="both"/>
        <w:rPr>
          <w:rFonts w:ascii="Times New Roman" w:hAnsi="Times New Roman" w:cs="Times New Roman"/>
          <w:sz w:val="24"/>
          <w:szCs w:val="24"/>
        </w:rPr>
      </w:pPr>
      <w:r>
        <w:rPr>
          <w:rFonts w:ascii="Times New Roman" w:hAnsi="Times New Roman" w:cs="Times New Roman"/>
          <w:sz w:val="24"/>
          <w:szCs w:val="24"/>
        </w:rPr>
        <w:t>20</w:t>
      </w:r>
      <w:r w:rsidRPr="007071E7">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2018</w:t>
      </w:r>
    </w:p>
    <w:p w:rsidR="00412B2A" w:rsidRDefault="00412B2A">
      <w:pPr>
        <w:spacing w:line="240" w:lineRule="auto"/>
        <w:jc w:val="both"/>
        <w:rPr>
          <w:rFonts w:ascii="Times New Roman" w:hAnsi="Times New Roman" w:cs="Times New Roman"/>
          <w:sz w:val="24"/>
          <w:szCs w:val="24"/>
        </w:rPr>
      </w:pPr>
      <w:r>
        <w:rPr>
          <w:rFonts w:ascii="Times New Roman" w:hAnsi="Times New Roman" w:cs="Times New Roman"/>
          <w:sz w:val="24"/>
          <w:szCs w:val="24"/>
        </w:rPr>
        <w:t>James Bakul Sarkar</w:t>
      </w:r>
    </w:p>
    <w:p w:rsidR="00A379A7" w:rsidRDefault="00412B2A">
      <w:pPr>
        <w:spacing w:line="240" w:lineRule="auto"/>
        <w:jc w:val="both"/>
        <w:rPr>
          <w:rFonts w:ascii="Times New Roman" w:hAnsi="Times New Roman" w:cs="Times New Roman"/>
          <w:sz w:val="24"/>
          <w:szCs w:val="24"/>
        </w:rPr>
      </w:pPr>
      <w:r>
        <w:rPr>
          <w:rFonts w:ascii="Times New Roman" w:hAnsi="Times New Roman" w:cs="Times New Roman"/>
          <w:sz w:val="24"/>
          <w:szCs w:val="24"/>
        </w:rPr>
        <w:t>Associa</w:t>
      </w:r>
      <w:r w:rsidR="001418D9">
        <w:rPr>
          <w:rFonts w:ascii="Times New Roman" w:hAnsi="Times New Roman" w:cs="Times New Roman"/>
          <w:sz w:val="24"/>
          <w:szCs w:val="24"/>
        </w:rPr>
        <w:t>t</w:t>
      </w:r>
      <w:r>
        <w:rPr>
          <w:rFonts w:ascii="Times New Roman" w:hAnsi="Times New Roman" w:cs="Times New Roman"/>
          <w:sz w:val="24"/>
          <w:szCs w:val="24"/>
        </w:rPr>
        <w:t>e</w:t>
      </w:r>
      <w:r w:rsidR="001418D9">
        <w:rPr>
          <w:rFonts w:ascii="Times New Roman" w:hAnsi="Times New Roman" w:cs="Times New Roman"/>
          <w:sz w:val="24"/>
          <w:szCs w:val="24"/>
        </w:rPr>
        <w:t xml:space="preserve"> Professor</w:t>
      </w:r>
    </w:p>
    <w:p w:rsidR="00A379A7" w:rsidRDefault="001418D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School of Business </w:t>
      </w:r>
    </w:p>
    <w:p w:rsidR="00A379A7" w:rsidRDefault="001418D9">
      <w:pPr>
        <w:spacing w:line="24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7071E7" w:rsidRDefault="007071E7">
      <w:pPr>
        <w:spacing w:line="240" w:lineRule="auto"/>
        <w:jc w:val="both"/>
        <w:rPr>
          <w:rFonts w:ascii="Times New Roman" w:hAnsi="Times New Roman" w:cs="Times New Roman"/>
          <w:sz w:val="24"/>
          <w:szCs w:val="24"/>
        </w:rPr>
      </w:pPr>
      <w:r>
        <w:rPr>
          <w:rFonts w:ascii="Times New Roman" w:hAnsi="Times New Roman" w:cs="Times New Roman"/>
          <w:sz w:val="24"/>
          <w:szCs w:val="24"/>
        </w:rPr>
        <w:t>Dhaka, Bangladesh</w:t>
      </w:r>
    </w:p>
    <w:p w:rsidR="00A379A7" w:rsidRDefault="00A379A7">
      <w:pPr>
        <w:spacing w:line="240" w:lineRule="auto"/>
        <w:jc w:val="both"/>
        <w:rPr>
          <w:rFonts w:ascii="Times New Roman" w:hAnsi="Times New Roman" w:cs="Times New Roman"/>
          <w:sz w:val="24"/>
          <w:szCs w:val="24"/>
        </w:rPr>
      </w:pPr>
    </w:p>
    <w:p w:rsidR="00A379A7" w:rsidRDefault="001418D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Subject:</w:t>
      </w:r>
      <w:r w:rsidR="000A349C" w:rsidRPr="000A349C">
        <w:rPr>
          <w:rFonts w:ascii="Times New Roman" w:hAnsi="Times New Roman" w:cs="Times New Roman"/>
          <w:b/>
          <w:bCs/>
          <w:sz w:val="24"/>
          <w:szCs w:val="24"/>
        </w:rPr>
        <w:t xml:space="preserve"> </w:t>
      </w:r>
      <w:r w:rsidR="000A349C">
        <w:rPr>
          <w:rFonts w:ascii="Times New Roman" w:hAnsi="Times New Roman" w:cs="Times New Roman"/>
          <w:b/>
          <w:bCs/>
          <w:sz w:val="24"/>
          <w:szCs w:val="24"/>
        </w:rPr>
        <w:t xml:space="preserve">Internship Report Submission </w:t>
      </w:r>
      <w:r>
        <w:rPr>
          <w:rFonts w:ascii="Times New Roman" w:hAnsi="Times New Roman" w:cs="Times New Roman"/>
          <w:b/>
          <w:bCs/>
          <w:sz w:val="24"/>
          <w:szCs w:val="24"/>
        </w:rPr>
        <w:t>on “</w:t>
      </w:r>
      <w:r w:rsidR="00315665">
        <w:rPr>
          <w:rFonts w:ascii="Times New Roman" w:hAnsi="Times New Roman" w:cs="Times New Roman"/>
          <w:b/>
          <w:bCs/>
          <w:sz w:val="24"/>
          <w:szCs w:val="24"/>
        </w:rPr>
        <w:t>Performance analysis o</w:t>
      </w:r>
      <w:r>
        <w:rPr>
          <w:rFonts w:ascii="Times New Roman" w:hAnsi="Times New Roman" w:cs="Times New Roman"/>
          <w:b/>
          <w:bCs/>
          <w:sz w:val="24"/>
          <w:szCs w:val="24"/>
        </w:rPr>
        <w:t>f Linde Bangladesh Ltd.”</w:t>
      </w:r>
    </w:p>
    <w:p w:rsidR="00A379A7" w:rsidRDefault="00A379A7">
      <w:pPr>
        <w:spacing w:line="240" w:lineRule="auto"/>
        <w:jc w:val="both"/>
        <w:rPr>
          <w:rFonts w:ascii="Times New Roman" w:hAnsi="Times New Roman" w:cs="Times New Roman"/>
          <w:sz w:val="24"/>
          <w:szCs w:val="24"/>
        </w:rPr>
      </w:pPr>
    </w:p>
    <w:p w:rsidR="00A379A7" w:rsidRDefault="00315665">
      <w:pPr>
        <w:spacing w:line="240" w:lineRule="auto"/>
        <w:jc w:val="both"/>
        <w:rPr>
          <w:rFonts w:ascii="Times New Roman" w:hAnsi="Times New Roman" w:cs="Times New Roman"/>
          <w:sz w:val="24"/>
          <w:szCs w:val="24"/>
        </w:rPr>
      </w:pPr>
      <w:r>
        <w:rPr>
          <w:rFonts w:ascii="Times New Roman" w:hAnsi="Times New Roman" w:cs="Times New Roman"/>
          <w:sz w:val="24"/>
          <w:szCs w:val="24"/>
        </w:rPr>
        <w:t>Dear Sir</w:t>
      </w:r>
      <w:r w:rsidR="001418D9">
        <w:rPr>
          <w:rFonts w:ascii="Times New Roman" w:hAnsi="Times New Roman" w:cs="Times New Roman"/>
          <w:sz w:val="24"/>
          <w:szCs w:val="24"/>
        </w:rPr>
        <w:t>,</w:t>
      </w:r>
    </w:p>
    <w:p w:rsidR="00A379A7" w:rsidRPr="000A349C" w:rsidRDefault="001418D9">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With due respect I would like to say that </w:t>
      </w:r>
      <w:r w:rsidR="000A349C">
        <w:rPr>
          <w:rFonts w:ascii="Times New Roman" w:hAnsi="Times New Roman" w:cs="Times New Roman"/>
          <w:sz w:val="24"/>
          <w:szCs w:val="24"/>
        </w:rPr>
        <w:t xml:space="preserve">I am blessed </w:t>
      </w:r>
      <w:r>
        <w:rPr>
          <w:rFonts w:ascii="Times New Roman" w:hAnsi="Times New Roman" w:cs="Times New Roman"/>
          <w:sz w:val="24"/>
          <w:szCs w:val="24"/>
        </w:rPr>
        <w:t>and honor</w:t>
      </w:r>
      <w:r w:rsidR="000A349C">
        <w:rPr>
          <w:rFonts w:ascii="Times New Roman" w:hAnsi="Times New Roman" w:cs="Times New Roman"/>
          <w:sz w:val="24"/>
          <w:szCs w:val="24"/>
        </w:rPr>
        <w:t>ed</w:t>
      </w:r>
      <w:r>
        <w:rPr>
          <w:rFonts w:ascii="Times New Roman" w:hAnsi="Times New Roman" w:cs="Times New Roman"/>
          <w:sz w:val="24"/>
          <w:szCs w:val="24"/>
        </w:rPr>
        <w:t xml:space="preserve"> to submit my internship report “</w:t>
      </w:r>
      <w:r w:rsidR="000A349C">
        <w:rPr>
          <w:rFonts w:ascii="Times New Roman" w:hAnsi="Times New Roman" w:cs="Times New Roman"/>
          <w:b/>
          <w:bCs/>
          <w:sz w:val="24"/>
          <w:szCs w:val="24"/>
        </w:rPr>
        <w:t>Performance analysis of Linde Bangladesh Ltd.”</w:t>
      </w:r>
      <w:r>
        <w:rPr>
          <w:rFonts w:ascii="Times New Roman" w:hAnsi="Times New Roman" w:cs="Times New Roman"/>
          <w:sz w:val="24"/>
          <w:szCs w:val="24"/>
        </w:rPr>
        <w:t xml:space="preserve">.” which </w:t>
      </w:r>
      <w:r w:rsidR="000A349C">
        <w:rPr>
          <w:rFonts w:ascii="Times New Roman" w:hAnsi="Times New Roman" w:cs="Times New Roman"/>
          <w:sz w:val="24"/>
          <w:szCs w:val="24"/>
        </w:rPr>
        <w:t>is required for my BBA Program.</w:t>
      </w:r>
    </w:p>
    <w:p w:rsidR="00A379A7" w:rsidRDefault="00A379A7">
      <w:pPr>
        <w:spacing w:after="0" w:line="270" w:lineRule="auto"/>
        <w:ind w:right="20"/>
        <w:jc w:val="both"/>
        <w:rPr>
          <w:rFonts w:ascii="Times New Roman" w:eastAsia="Times New Roman" w:hAnsi="Times New Roman" w:cs="Times New Roman"/>
          <w:sz w:val="24"/>
          <w:szCs w:val="24"/>
        </w:rPr>
      </w:pPr>
    </w:p>
    <w:p w:rsidR="00A379A7" w:rsidRDefault="000A349C">
      <w:pPr>
        <w:spacing w:after="0" w:line="270" w:lineRule="auto"/>
        <w:ind w:right="20"/>
        <w:jc w:val="both"/>
        <w:rPr>
          <w:rFonts w:ascii="Times New Roman" w:hAnsi="Times New Roman" w:cs="Times New Roman"/>
          <w:sz w:val="24"/>
          <w:szCs w:val="24"/>
        </w:rPr>
      </w:pPr>
      <w:r>
        <w:rPr>
          <w:rFonts w:ascii="Times New Roman" w:eastAsia="Times New Roman" w:hAnsi="Times New Roman" w:cs="Times New Roman"/>
          <w:sz w:val="24"/>
          <w:szCs w:val="24"/>
        </w:rPr>
        <w:t xml:space="preserve">For the </w:t>
      </w:r>
      <w:r w:rsidR="001418D9">
        <w:rPr>
          <w:rFonts w:ascii="Times New Roman" w:eastAsia="Times New Roman" w:hAnsi="Times New Roman" w:cs="Times New Roman"/>
          <w:sz w:val="24"/>
          <w:szCs w:val="24"/>
        </w:rPr>
        <w:t xml:space="preserve">first time I have done this type of </w:t>
      </w:r>
      <w:r>
        <w:rPr>
          <w:rFonts w:ascii="Times New Roman" w:eastAsia="Times New Roman" w:hAnsi="Times New Roman" w:cs="Times New Roman"/>
          <w:sz w:val="24"/>
          <w:szCs w:val="24"/>
        </w:rPr>
        <w:t>report</w:t>
      </w:r>
      <w:r w:rsidR="001418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have tried my level best to give a proper report. </w:t>
      </w:r>
      <w:r w:rsidR="001418D9">
        <w:rPr>
          <w:rFonts w:ascii="Times New Roman" w:hAnsi="Times New Roman" w:cs="Times New Roman"/>
          <w:sz w:val="24"/>
          <w:szCs w:val="24"/>
        </w:rPr>
        <w:t xml:space="preserve">I </w:t>
      </w:r>
      <w:r w:rsidR="00FC046E">
        <w:rPr>
          <w:rFonts w:ascii="Times New Roman" w:hAnsi="Times New Roman" w:cs="Times New Roman"/>
          <w:sz w:val="24"/>
          <w:szCs w:val="24"/>
        </w:rPr>
        <w:t>believe</w:t>
      </w:r>
      <w:r>
        <w:rPr>
          <w:rFonts w:ascii="Times New Roman" w:hAnsi="Times New Roman" w:cs="Times New Roman"/>
          <w:sz w:val="24"/>
          <w:szCs w:val="24"/>
        </w:rPr>
        <w:t xml:space="preserve"> that this </w:t>
      </w:r>
      <w:r w:rsidR="001418D9">
        <w:rPr>
          <w:rFonts w:ascii="Times New Roman" w:hAnsi="Times New Roman" w:cs="Times New Roman"/>
          <w:sz w:val="24"/>
          <w:szCs w:val="24"/>
        </w:rPr>
        <w:t xml:space="preserve">report will </w:t>
      </w:r>
      <w:r>
        <w:rPr>
          <w:rFonts w:ascii="Times New Roman" w:hAnsi="Times New Roman" w:cs="Times New Roman"/>
          <w:sz w:val="24"/>
          <w:szCs w:val="24"/>
        </w:rPr>
        <w:t xml:space="preserve">give you </w:t>
      </w:r>
      <w:r w:rsidR="00FC046E">
        <w:rPr>
          <w:rFonts w:ascii="Times New Roman" w:hAnsi="Times New Roman" w:cs="Times New Roman"/>
          <w:sz w:val="24"/>
          <w:szCs w:val="24"/>
        </w:rPr>
        <w:t>right</w:t>
      </w:r>
      <w:r>
        <w:rPr>
          <w:rFonts w:ascii="Times New Roman" w:hAnsi="Times New Roman" w:cs="Times New Roman"/>
          <w:sz w:val="24"/>
          <w:szCs w:val="24"/>
        </w:rPr>
        <w:t xml:space="preserve"> information </w:t>
      </w:r>
      <w:r w:rsidR="001418D9">
        <w:rPr>
          <w:rFonts w:ascii="Times New Roman" w:hAnsi="Times New Roman" w:cs="Times New Roman"/>
          <w:sz w:val="24"/>
          <w:szCs w:val="24"/>
        </w:rPr>
        <w:t>about the topics</w:t>
      </w:r>
      <w:r w:rsidR="00FF0DC6">
        <w:rPr>
          <w:rFonts w:ascii="Times New Roman" w:hAnsi="Times New Roman" w:cs="Times New Roman"/>
          <w:sz w:val="24"/>
          <w:szCs w:val="24"/>
        </w:rPr>
        <w:t>. And i</w:t>
      </w:r>
      <w:r>
        <w:rPr>
          <w:rFonts w:ascii="Times New Roman" w:hAnsi="Times New Roman" w:cs="Times New Roman"/>
          <w:sz w:val="24"/>
          <w:szCs w:val="24"/>
        </w:rPr>
        <w:t>n the period of my internship under your supervision I have gathered such a valuable experience</w:t>
      </w:r>
      <w:r w:rsidR="00FF0DC6">
        <w:rPr>
          <w:rFonts w:ascii="Times New Roman" w:hAnsi="Times New Roman" w:cs="Times New Roman"/>
          <w:sz w:val="24"/>
          <w:szCs w:val="24"/>
        </w:rPr>
        <w:t xml:space="preserve"> which has helped me a lot</w:t>
      </w:r>
      <w:r>
        <w:rPr>
          <w:rFonts w:ascii="Times New Roman" w:hAnsi="Times New Roman" w:cs="Times New Roman"/>
          <w:sz w:val="24"/>
          <w:szCs w:val="24"/>
        </w:rPr>
        <w:t>.</w:t>
      </w:r>
    </w:p>
    <w:p w:rsidR="00A379A7" w:rsidRDefault="00A379A7">
      <w:pPr>
        <w:spacing w:after="0" w:line="264" w:lineRule="auto"/>
        <w:ind w:right="600"/>
        <w:jc w:val="both"/>
        <w:rPr>
          <w:rFonts w:ascii="Times New Roman" w:eastAsia="Times New Roman" w:hAnsi="Times New Roman" w:cs="Times New Roman"/>
          <w:sz w:val="24"/>
          <w:szCs w:val="24"/>
        </w:rPr>
      </w:pPr>
    </w:p>
    <w:p w:rsidR="00A379A7" w:rsidRDefault="001418D9">
      <w:pPr>
        <w:spacing w:after="240"/>
        <w:jc w:val="both"/>
        <w:rPr>
          <w:rFonts w:ascii="Times New Roman" w:hAnsi="Times New Roman" w:cs="Times New Roman"/>
          <w:sz w:val="24"/>
          <w:szCs w:val="24"/>
        </w:rPr>
      </w:pPr>
      <w:r>
        <w:rPr>
          <w:rFonts w:ascii="Times New Roman" w:eastAsia="Times New Roman" w:hAnsi="Times New Roman" w:cs="Times New Roman"/>
          <w:sz w:val="24"/>
          <w:szCs w:val="24"/>
        </w:rPr>
        <w:t xml:space="preserve">Hope that you will </w:t>
      </w:r>
      <w:r w:rsidR="000A349C">
        <w:rPr>
          <w:rFonts w:ascii="Times New Roman" w:eastAsia="Times New Roman" w:hAnsi="Times New Roman" w:cs="Times New Roman"/>
          <w:sz w:val="24"/>
          <w:szCs w:val="24"/>
        </w:rPr>
        <w:t>consider</w:t>
      </w:r>
      <w:r>
        <w:rPr>
          <w:rFonts w:ascii="Times New Roman" w:eastAsia="Times New Roman" w:hAnsi="Times New Roman" w:cs="Times New Roman"/>
          <w:sz w:val="24"/>
          <w:szCs w:val="24"/>
        </w:rPr>
        <w:t xml:space="preserve"> the limitations of the study</w:t>
      </w:r>
      <w:r w:rsidR="000A349C">
        <w:rPr>
          <w:rFonts w:ascii="Times New Roman" w:eastAsia="Times New Roman" w:hAnsi="Times New Roman" w:cs="Times New Roman"/>
          <w:sz w:val="24"/>
          <w:szCs w:val="24"/>
        </w:rPr>
        <w:t xml:space="preserve"> and</w:t>
      </w:r>
      <w:r w:rsidR="000A349C" w:rsidRPr="000A349C">
        <w:rPr>
          <w:rFonts w:ascii="Times New Roman" w:eastAsia="Times New Roman" w:hAnsi="Times New Roman" w:cs="Times New Roman"/>
          <w:sz w:val="24"/>
          <w:szCs w:val="24"/>
        </w:rPr>
        <w:t xml:space="preserve"> </w:t>
      </w:r>
      <w:r w:rsidR="000A349C">
        <w:rPr>
          <w:rFonts w:ascii="Times New Roman" w:eastAsia="Times New Roman" w:hAnsi="Times New Roman" w:cs="Times New Roman"/>
          <w:sz w:val="24"/>
          <w:szCs w:val="24"/>
        </w:rPr>
        <w:t>appraise the report</w:t>
      </w:r>
      <w:r w:rsidR="000A349C">
        <w:rPr>
          <w:rFonts w:ascii="Times New Roman" w:hAnsi="Times New Roman" w:cs="Times New Roman"/>
          <w:sz w:val="24"/>
          <w:szCs w:val="24"/>
        </w:rPr>
        <w:t>. I’ll eagerly wait for your approval</w:t>
      </w:r>
      <w:r>
        <w:rPr>
          <w:rFonts w:ascii="Times New Roman" w:hAnsi="Times New Roman" w:cs="Times New Roman"/>
          <w:sz w:val="24"/>
          <w:szCs w:val="24"/>
        </w:rPr>
        <w:t>.</w:t>
      </w:r>
    </w:p>
    <w:p w:rsidR="00A379A7" w:rsidRDefault="00A379A7">
      <w:pPr>
        <w:spacing w:line="240" w:lineRule="auto"/>
        <w:jc w:val="both"/>
        <w:rPr>
          <w:rFonts w:ascii="Times New Roman" w:hAnsi="Times New Roman" w:cs="Times New Roman"/>
          <w:sz w:val="24"/>
          <w:szCs w:val="24"/>
        </w:rPr>
      </w:pPr>
    </w:p>
    <w:p w:rsidR="000A349C" w:rsidRDefault="000A349C">
      <w:pPr>
        <w:spacing w:line="240" w:lineRule="auto"/>
        <w:jc w:val="both"/>
        <w:rPr>
          <w:rFonts w:ascii="Times New Roman" w:hAnsi="Times New Roman" w:cs="Times New Roman"/>
          <w:sz w:val="24"/>
          <w:szCs w:val="24"/>
        </w:rPr>
      </w:pPr>
    </w:p>
    <w:p w:rsidR="00A379A7" w:rsidRDefault="000A349C">
      <w:pPr>
        <w:spacing w:line="240" w:lineRule="auto"/>
        <w:jc w:val="both"/>
        <w:rPr>
          <w:rFonts w:ascii="Times New Roman" w:hAnsi="Times New Roman" w:cs="Times New Roman"/>
          <w:sz w:val="24"/>
          <w:szCs w:val="24"/>
        </w:rPr>
      </w:pPr>
      <w:r>
        <w:rPr>
          <w:rFonts w:ascii="Times New Roman" w:hAnsi="Times New Roman" w:cs="Times New Roman"/>
          <w:sz w:val="24"/>
          <w:szCs w:val="24"/>
        </w:rPr>
        <w:t>Yours Sincerely</w:t>
      </w:r>
      <w:r w:rsidR="001418D9">
        <w:rPr>
          <w:rFonts w:ascii="Times New Roman" w:hAnsi="Times New Roman" w:cs="Times New Roman"/>
          <w:sz w:val="24"/>
          <w:szCs w:val="24"/>
        </w:rPr>
        <w:t>,</w:t>
      </w:r>
    </w:p>
    <w:p w:rsidR="00412B2A" w:rsidRDefault="00412B2A">
      <w:pPr>
        <w:spacing w:line="240" w:lineRule="auto"/>
        <w:jc w:val="both"/>
        <w:rPr>
          <w:rFonts w:ascii="Times New Roman" w:hAnsi="Times New Roman" w:cs="Times New Roman"/>
          <w:sz w:val="24"/>
          <w:szCs w:val="24"/>
        </w:rPr>
      </w:pPr>
      <w:r>
        <w:rPr>
          <w:rFonts w:ascii="Times New Roman" w:hAnsi="Times New Roman" w:cs="Times New Roman"/>
          <w:sz w:val="24"/>
          <w:szCs w:val="24"/>
        </w:rPr>
        <w:t>Naznin Ahmed</w:t>
      </w:r>
    </w:p>
    <w:p w:rsidR="00A379A7" w:rsidRDefault="00412B2A">
      <w:pPr>
        <w:spacing w:line="240" w:lineRule="auto"/>
        <w:jc w:val="both"/>
        <w:rPr>
          <w:rFonts w:ascii="Times New Roman" w:hAnsi="Times New Roman" w:cs="Times New Roman"/>
          <w:sz w:val="24"/>
          <w:szCs w:val="24"/>
        </w:rPr>
      </w:pPr>
      <w:r>
        <w:rPr>
          <w:rFonts w:ascii="Times New Roman" w:hAnsi="Times New Roman" w:cs="Times New Roman"/>
          <w:sz w:val="24"/>
          <w:szCs w:val="24"/>
        </w:rPr>
        <w:t>Id:</w:t>
      </w:r>
      <w:r w:rsidR="000A349C">
        <w:rPr>
          <w:rFonts w:ascii="Times New Roman" w:hAnsi="Times New Roman" w:cs="Times New Roman"/>
          <w:sz w:val="24"/>
          <w:szCs w:val="24"/>
        </w:rPr>
        <w:t xml:space="preserve"> </w:t>
      </w:r>
      <w:r>
        <w:rPr>
          <w:rFonts w:ascii="Times New Roman" w:hAnsi="Times New Roman" w:cs="Times New Roman"/>
          <w:sz w:val="24"/>
          <w:szCs w:val="24"/>
        </w:rPr>
        <w:t>114 141 021</w:t>
      </w:r>
    </w:p>
    <w:p w:rsidR="00A379A7" w:rsidRDefault="00A379A7">
      <w:pPr>
        <w:spacing w:line="240" w:lineRule="auto"/>
        <w:jc w:val="both"/>
        <w:rPr>
          <w:rFonts w:ascii="Times New Roman" w:hAnsi="Times New Roman" w:cs="Times New Roman"/>
          <w:sz w:val="24"/>
          <w:szCs w:val="24"/>
        </w:rPr>
      </w:pPr>
    </w:p>
    <w:p w:rsidR="000A349C" w:rsidRDefault="000A349C">
      <w:pPr>
        <w:spacing w:line="240" w:lineRule="auto"/>
        <w:jc w:val="both"/>
        <w:rPr>
          <w:rFonts w:ascii="Times New Roman" w:hAnsi="Times New Roman" w:cs="Times New Roman"/>
          <w:sz w:val="24"/>
          <w:szCs w:val="24"/>
        </w:rPr>
      </w:pPr>
    </w:p>
    <w:p w:rsidR="000A349C" w:rsidRDefault="000A349C">
      <w:pPr>
        <w:spacing w:line="240" w:lineRule="auto"/>
        <w:jc w:val="both"/>
        <w:rPr>
          <w:rFonts w:ascii="Times New Roman" w:hAnsi="Times New Roman" w:cs="Times New Roman"/>
          <w:sz w:val="24"/>
          <w:szCs w:val="24"/>
        </w:rPr>
      </w:pPr>
    </w:p>
    <w:sdt>
      <w:sdtPr>
        <w:rPr>
          <w:rFonts w:asciiTheme="minorHAnsi" w:eastAsiaTheme="minorEastAsia" w:hAnsiTheme="minorHAnsi" w:cstheme="minorBidi"/>
          <w:b w:val="0"/>
          <w:bCs w:val="0"/>
          <w:sz w:val="22"/>
          <w:szCs w:val="22"/>
          <w:lang w:bidi="ar-SA"/>
        </w:rPr>
        <w:id w:val="173296762"/>
        <w:docPartObj>
          <w:docPartGallery w:val="Table of Contents"/>
          <w:docPartUnique/>
        </w:docPartObj>
      </w:sdtPr>
      <w:sdtContent>
        <w:p w:rsidR="009F0AA5" w:rsidRDefault="009F0AA5">
          <w:pPr>
            <w:pStyle w:val="TOCHeading"/>
          </w:pPr>
          <w:r>
            <w:t>Table of Contents</w:t>
          </w:r>
        </w:p>
        <w:p w:rsidR="009F0AA5" w:rsidRDefault="00F17BF7">
          <w:pPr>
            <w:pStyle w:val="TOC1"/>
            <w:tabs>
              <w:tab w:val="right" w:leader="dot" w:pos="9440"/>
            </w:tabs>
            <w:rPr>
              <w:noProof/>
            </w:rPr>
          </w:pPr>
          <w:r>
            <w:fldChar w:fldCharType="begin"/>
          </w:r>
          <w:r w:rsidR="009F0AA5">
            <w:instrText xml:space="preserve"> TOC \o "1-3" \h \z \u </w:instrText>
          </w:r>
          <w:r>
            <w:fldChar w:fldCharType="separate"/>
          </w:r>
          <w:hyperlink w:anchor="_Toc527816453" w:history="1">
            <w:r w:rsidR="009F0AA5" w:rsidRPr="00D80CDE">
              <w:rPr>
                <w:rStyle w:val="Hyperlink"/>
                <w:b/>
                <w:noProof/>
              </w:rPr>
              <w:t>Letter of Transmittal</w:t>
            </w:r>
            <w:r w:rsidR="009F0AA5">
              <w:rPr>
                <w:noProof/>
                <w:webHidden/>
              </w:rPr>
              <w:tab/>
            </w:r>
            <w:r>
              <w:rPr>
                <w:noProof/>
                <w:webHidden/>
              </w:rPr>
              <w:fldChar w:fldCharType="begin"/>
            </w:r>
            <w:r w:rsidR="009F0AA5">
              <w:rPr>
                <w:noProof/>
                <w:webHidden/>
              </w:rPr>
              <w:instrText xml:space="preserve"> PAGEREF _Toc527816453 \h </w:instrText>
            </w:r>
            <w:r>
              <w:rPr>
                <w:noProof/>
                <w:webHidden/>
              </w:rPr>
            </w:r>
            <w:r>
              <w:rPr>
                <w:noProof/>
                <w:webHidden/>
              </w:rPr>
              <w:fldChar w:fldCharType="separate"/>
            </w:r>
            <w:r w:rsidR="009F0AA5">
              <w:rPr>
                <w:noProof/>
                <w:webHidden/>
              </w:rPr>
              <w:t>3</w:t>
            </w:r>
            <w:r>
              <w:rPr>
                <w:noProof/>
                <w:webHidden/>
              </w:rPr>
              <w:fldChar w:fldCharType="end"/>
            </w:r>
          </w:hyperlink>
        </w:p>
        <w:p w:rsidR="009F0AA5" w:rsidRDefault="00F17BF7">
          <w:pPr>
            <w:pStyle w:val="TOC1"/>
            <w:tabs>
              <w:tab w:val="right" w:leader="dot" w:pos="9440"/>
            </w:tabs>
            <w:rPr>
              <w:noProof/>
            </w:rPr>
          </w:pPr>
          <w:hyperlink w:anchor="_Toc527816454" w:history="1">
            <w:r w:rsidR="009F0AA5" w:rsidRPr="00D80CDE">
              <w:rPr>
                <w:rStyle w:val="Hyperlink"/>
                <w:b/>
                <w:noProof/>
              </w:rPr>
              <w:t>Executive Summery</w:t>
            </w:r>
            <w:r w:rsidR="009F0AA5">
              <w:rPr>
                <w:noProof/>
                <w:webHidden/>
              </w:rPr>
              <w:tab/>
            </w:r>
            <w:r>
              <w:rPr>
                <w:noProof/>
                <w:webHidden/>
              </w:rPr>
              <w:fldChar w:fldCharType="begin"/>
            </w:r>
            <w:r w:rsidR="009F0AA5">
              <w:rPr>
                <w:noProof/>
                <w:webHidden/>
              </w:rPr>
              <w:instrText xml:space="preserve"> PAGEREF _Toc527816454 \h </w:instrText>
            </w:r>
            <w:r>
              <w:rPr>
                <w:noProof/>
                <w:webHidden/>
              </w:rPr>
            </w:r>
            <w:r>
              <w:rPr>
                <w:noProof/>
                <w:webHidden/>
              </w:rPr>
              <w:fldChar w:fldCharType="separate"/>
            </w:r>
            <w:r w:rsidR="009F0AA5">
              <w:rPr>
                <w:noProof/>
                <w:webHidden/>
              </w:rPr>
              <w:t>6</w:t>
            </w:r>
            <w:r>
              <w:rPr>
                <w:noProof/>
                <w:webHidden/>
              </w:rPr>
              <w:fldChar w:fldCharType="end"/>
            </w:r>
          </w:hyperlink>
        </w:p>
        <w:p w:rsidR="009F0AA5" w:rsidRDefault="00F17BF7">
          <w:pPr>
            <w:pStyle w:val="TOC1"/>
            <w:tabs>
              <w:tab w:val="right" w:leader="dot" w:pos="9440"/>
            </w:tabs>
            <w:rPr>
              <w:noProof/>
            </w:rPr>
          </w:pPr>
          <w:hyperlink w:anchor="_Toc527816455" w:history="1">
            <w:r w:rsidR="009F0AA5" w:rsidRPr="00D80CDE">
              <w:rPr>
                <w:rStyle w:val="Hyperlink"/>
                <w:rFonts w:eastAsia="Times New Roman"/>
                <w:b/>
                <w:noProof/>
              </w:rPr>
              <w:t>Introduction:</w:t>
            </w:r>
            <w:r w:rsidR="009F0AA5">
              <w:rPr>
                <w:noProof/>
                <w:webHidden/>
              </w:rPr>
              <w:tab/>
            </w:r>
            <w:r>
              <w:rPr>
                <w:noProof/>
                <w:webHidden/>
              </w:rPr>
              <w:fldChar w:fldCharType="begin"/>
            </w:r>
            <w:r w:rsidR="009F0AA5">
              <w:rPr>
                <w:noProof/>
                <w:webHidden/>
              </w:rPr>
              <w:instrText xml:space="preserve"> PAGEREF _Toc527816455 \h </w:instrText>
            </w:r>
            <w:r>
              <w:rPr>
                <w:noProof/>
                <w:webHidden/>
              </w:rPr>
            </w:r>
            <w:r>
              <w:rPr>
                <w:noProof/>
                <w:webHidden/>
              </w:rPr>
              <w:fldChar w:fldCharType="separate"/>
            </w:r>
            <w:r w:rsidR="009F0AA5">
              <w:rPr>
                <w:noProof/>
                <w:webHidden/>
              </w:rPr>
              <w:t>7</w:t>
            </w:r>
            <w:r>
              <w:rPr>
                <w:noProof/>
                <w:webHidden/>
              </w:rPr>
              <w:fldChar w:fldCharType="end"/>
            </w:r>
          </w:hyperlink>
        </w:p>
        <w:p w:rsidR="009F0AA5" w:rsidRDefault="00F17BF7">
          <w:pPr>
            <w:pStyle w:val="TOC1"/>
            <w:tabs>
              <w:tab w:val="right" w:leader="dot" w:pos="9440"/>
            </w:tabs>
            <w:rPr>
              <w:noProof/>
            </w:rPr>
          </w:pPr>
          <w:hyperlink w:anchor="_Toc527816456" w:history="1">
            <w:r w:rsidR="009F0AA5" w:rsidRPr="00D80CDE">
              <w:rPr>
                <w:rStyle w:val="Hyperlink"/>
                <w:rFonts w:eastAsia="Times New Roman"/>
                <w:b/>
                <w:noProof/>
              </w:rPr>
              <w:t>Background:</w:t>
            </w:r>
            <w:r w:rsidR="009F0AA5">
              <w:rPr>
                <w:noProof/>
                <w:webHidden/>
              </w:rPr>
              <w:tab/>
            </w:r>
            <w:r>
              <w:rPr>
                <w:noProof/>
                <w:webHidden/>
              </w:rPr>
              <w:fldChar w:fldCharType="begin"/>
            </w:r>
            <w:r w:rsidR="009F0AA5">
              <w:rPr>
                <w:noProof/>
                <w:webHidden/>
              </w:rPr>
              <w:instrText xml:space="preserve"> PAGEREF _Toc527816456 \h </w:instrText>
            </w:r>
            <w:r>
              <w:rPr>
                <w:noProof/>
                <w:webHidden/>
              </w:rPr>
            </w:r>
            <w:r>
              <w:rPr>
                <w:noProof/>
                <w:webHidden/>
              </w:rPr>
              <w:fldChar w:fldCharType="separate"/>
            </w:r>
            <w:r w:rsidR="009F0AA5">
              <w:rPr>
                <w:noProof/>
                <w:webHidden/>
              </w:rPr>
              <w:t>7</w:t>
            </w:r>
            <w:r>
              <w:rPr>
                <w:noProof/>
                <w:webHidden/>
              </w:rPr>
              <w:fldChar w:fldCharType="end"/>
            </w:r>
          </w:hyperlink>
        </w:p>
        <w:p w:rsidR="009F0AA5" w:rsidRDefault="00F17BF7">
          <w:pPr>
            <w:pStyle w:val="TOC1"/>
            <w:tabs>
              <w:tab w:val="right" w:leader="dot" w:pos="9440"/>
            </w:tabs>
            <w:rPr>
              <w:noProof/>
            </w:rPr>
          </w:pPr>
          <w:hyperlink w:anchor="_Toc527816457" w:history="1">
            <w:r w:rsidR="009F0AA5" w:rsidRPr="00D80CDE">
              <w:rPr>
                <w:rStyle w:val="Hyperlink"/>
                <w:rFonts w:eastAsia="Times New Roman"/>
                <w:b/>
                <w:noProof/>
              </w:rPr>
              <w:t>Limitations:</w:t>
            </w:r>
            <w:r w:rsidR="009F0AA5">
              <w:rPr>
                <w:noProof/>
                <w:webHidden/>
              </w:rPr>
              <w:tab/>
            </w:r>
            <w:r>
              <w:rPr>
                <w:noProof/>
                <w:webHidden/>
              </w:rPr>
              <w:fldChar w:fldCharType="begin"/>
            </w:r>
            <w:r w:rsidR="009F0AA5">
              <w:rPr>
                <w:noProof/>
                <w:webHidden/>
              </w:rPr>
              <w:instrText xml:space="preserve"> PAGEREF _Toc527816457 \h </w:instrText>
            </w:r>
            <w:r>
              <w:rPr>
                <w:noProof/>
                <w:webHidden/>
              </w:rPr>
            </w:r>
            <w:r>
              <w:rPr>
                <w:noProof/>
                <w:webHidden/>
              </w:rPr>
              <w:fldChar w:fldCharType="separate"/>
            </w:r>
            <w:r w:rsidR="009F0AA5">
              <w:rPr>
                <w:noProof/>
                <w:webHidden/>
              </w:rPr>
              <w:t>7</w:t>
            </w:r>
            <w:r>
              <w:rPr>
                <w:noProof/>
                <w:webHidden/>
              </w:rPr>
              <w:fldChar w:fldCharType="end"/>
            </w:r>
          </w:hyperlink>
        </w:p>
        <w:p w:rsidR="009F0AA5" w:rsidRDefault="00F17BF7">
          <w:pPr>
            <w:pStyle w:val="TOC1"/>
            <w:tabs>
              <w:tab w:val="right" w:leader="dot" w:pos="9440"/>
            </w:tabs>
            <w:rPr>
              <w:noProof/>
            </w:rPr>
          </w:pPr>
          <w:hyperlink w:anchor="_Toc527816458" w:history="1">
            <w:r w:rsidR="009F0AA5" w:rsidRPr="00D80CDE">
              <w:rPr>
                <w:rStyle w:val="Hyperlink"/>
                <w:b/>
                <w:noProof/>
              </w:rPr>
              <w:t>Organizational Background:</w:t>
            </w:r>
            <w:r w:rsidR="009F0AA5">
              <w:rPr>
                <w:noProof/>
                <w:webHidden/>
              </w:rPr>
              <w:tab/>
            </w:r>
            <w:r>
              <w:rPr>
                <w:noProof/>
                <w:webHidden/>
              </w:rPr>
              <w:fldChar w:fldCharType="begin"/>
            </w:r>
            <w:r w:rsidR="009F0AA5">
              <w:rPr>
                <w:noProof/>
                <w:webHidden/>
              </w:rPr>
              <w:instrText xml:space="preserve"> PAGEREF _Toc527816458 \h </w:instrText>
            </w:r>
            <w:r>
              <w:rPr>
                <w:noProof/>
                <w:webHidden/>
              </w:rPr>
            </w:r>
            <w:r>
              <w:rPr>
                <w:noProof/>
                <w:webHidden/>
              </w:rPr>
              <w:fldChar w:fldCharType="separate"/>
            </w:r>
            <w:r w:rsidR="009F0AA5">
              <w:rPr>
                <w:noProof/>
                <w:webHidden/>
              </w:rPr>
              <w:t>7</w:t>
            </w:r>
            <w:r>
              <w:rPr>
                <w:noProof/>
                <w:webHidden/>
              </w:rPr>
              <w:fldChar w:fldCharType="end"/>
            </w:r>
          </w:hyperlink>
        </w:p>
        <w:p w:rsidR="009F0AA5" w:rsidRDefault="00F17BF7">
          <w:pPr>
            <w:pStyle w:val="TOC1"/>
            <w:tabs>
              <w:tab w:val="right" w:leader="dot" w:pos="9440"/>
            </w:tabs>
            <w:rPr>
              <w:noProof/>
            </w:rPr>
          </w:pPr>
          <w:hyperlink w:anchor="_Toc527816459" w:history="1">
            <w:r w:rsidR="009F0AA5" w:rsidRPr="00D80CDE">
              <w:rPr>
                <w:rStyle w:val="Hyperlink"/>
                <w:rFonts w:eastAsia="Times New Roman"/>
                <w:b/>
                <w:noProof/>
              </w:rPr>
              <w:t>History:</w:t>
            </w:r>
            <w:r w:rsidR="009F0AA5">
              <w:rPr>
                <w:noProof/>
                <w:webHidden/>
              </w:rPr>
              <w:tab/>
            </w:r>
            <w:r>
              <w:rPr>
                <w:noProof/>
                <w:webHidden/>
              </w:rPr>
              <w:fldChar w:fldCharType="begin"/>
            </w:r>
            <w:r w:rsidR="009F0AA5">
              <w:rPr>
                <w:noProof/>
                <w:webHidden/>
              </w:rPr>
              <w:instrText xml:space="preserve"> PAGEREF _Toc527816459 \h </w:instrText>
            </w:r>
            <w:r>
              <w:rPr>
                <w:noProof/>
                <w:webHidden/>
              </w:rPr>
            </w:r>
            <w:r>
              <w:rPr>
                <w:noProof/>
                <w:webHidden/>
              </w:rPr>
              <w:fldChar w:fldCharType="separate"/>
            </w:r>
            <w:r w:rsidR="009F0AA5">
              <w:rPr>
                <w:noProof/>
                <w:webHidden/>
              </w:rPr>
              <w:t>7</w:t>
            </w:r>
            <w:r>
              <w:rPr>
                <w:noProof/>
                <w:webHidden/>
              </w:rPr>
              <w:fldChar w:fldCharType="end"/>
            </w:r>
          </w:hyperlink>
        </w:p>
        <w:p w:rsidR="009F0AA5" w:rsidRDefault="00F17BF7">
          <w:pPr>
            <w:pStyle w:val="TOC2"/>
            <w:tabs>
              <w:tab w:val="right" w:leader="dot" w:pos="9440"/>
            </w:tabs>
            <w:rPr>
              <w:noProof/>
            </w:rPr>
          </w:pPr>
          <w:hyperlink w:anchor="_Toc527816460" w:history="1">
            <w:r w:rsidR="009F0AA5" w:rsidRPr="00D80CDE">
              <w:rPr>
                <w:rStyle w:val="Hyperlink"/>
                <w:rFonts w:eastAsia="Times New Roman"/>
                <w:b/>
                <w:noProof/>
              </w:rPr>
              <w:t>Linde at a Glance:</w:t>
            </w:r>
            <w:r w:rsidR="009F0AA5">
              <w:rPr>
                <w:noProof/>
                <w:webHidden/>
              </w:rPr>
              <w:tab/>
            </w:r>
            <w:r>
              <w:rPr>
                <w:noProof/>
                <w:webHidden/>
              </w:rPr>
              <w:fldChar w:fldCharType="begin"/>
            </w:r>
            <w:r w:rsidR="009F0AA5">
              <w:rPr>
                <w:noProof/>
                <w:webHidden/>
              </w:rPr>
              <w:instrText xml:space="preserve"> PAGEREF _Toc527816460 \h </w:instrText>
            </w:r>
            <w:r>
              <w:rPr>
                <w:noProof/>
                <w:webHidden/>
              </w:rPr>
            </w:r>
            <w:r>
              <w:rPr>
                <w:noProof/>
                <w:webHidden/>
              </w:rPr>
              <w:fldChar w:fldCharType="separate"/>
            </w:r>
            <w:r w:rsidR="009F0AA5">
              <w:rPr>
                <w:noProof/>
                <w:webHidden/>
              </w:rPr>
              <w:t>8</w:t>
            </w:r>
            <w:r>
              <w:rPr>
                <w:noProof/>
                <w:webHidden/>
              </w:rPr>
              <w:fldChar w:fldCharType="end"/>
            </w:r>
          </w:hyperlink>
        </w:p>
        <w:p w:rsidR="009F0AA5" w:rsidRDefault="00F17BF7">
          <w:pPr>
            <w:pStyle w:val="TOC2"/>
            <w:tabs>
              <w:tab w:val="right" w:leader="dot" w:pos="9440"/>
            </w:tabs>
            <w:rPr>
              <w:noProof/>
            </w:rPr>
          </w:pPr>
          <w:hyperlink w:anchor="_Toc527816461" w:history="1">
            <w:r w:rsidR="009F0AA5" w:rsidRPr="00D80CDE">
              <w:rPr>
                <w:rStyle w:val="Hyperlink"/>
                <w:rFonts w:eastAsia="Times New Roman"/>
                <w:b/>
                <w:noProof/>
              </w:rPr>
              <w:t>Nature of Business:</w:t>
            </w:r>
            <w:r w:rsidR="009F0AA5">
              <w:rPr>
                <w:noProof/>
                <w:webHidden/>
              </w:rPr>
              <w:tab/>
            </w:r>
            <w:r>
              <w:rPr>
                <w:noProof/>
                <w:webHidden/>
              </w:rPr>
              <w:fldChar w:fldCharType="begin"/>
            </w:r>
            <w:r w:rsidR="009F0AA5">
              <w:rPr>
                <w:noProof/>
                <w:webHidden/>
              </w:rPr>
              <w:instrText xml:space="preserve"> PAGEREF _Toc527816461 \h </w:instrText>
            </w:r>
            <w:r>
              <w:rPr>
                <w:noProof/>
                <w:webHidden/>
              </w:rPr>
            </w:r>
            <w:r>
              <w:rPr>
                <w:noProof/>
                <w:webHidden/>
              </w:rPr>
              <w:fldChar w:fldCharType="separate"/>
            </w:r>
            <w:r w:rsidR="009F0AA5">
              <w:rPr>
                <w:noProof/>
                <w:webHidden/>
              </w:rPr>
              <w:t>8</w:t>
            </w:r>
            <w:r>
              <w:rPr>
                <w:noProof/>
                <w:webHidden/>
              </w:rPr>
              <w:fldChar w:fldCharType="end"/>
            </w:r>
          </w:hyperlink>
        </w:p>
        <w:p w:rsidR="009F0AA5" w:rsidRDefault="00F17BF7">
          <w:pPr>
            <w:pStyle w:val="TOC2"/>
            <w:tabs>
              <w:tab w:val="right" w:leader="dot" w:pos="9440"/>
            </w:tabs>
            <w:rPr>
              <w:noProof/>
            </w:rPr>
          </w:pPr>
          <w:hyperlink w:anchor="_Toc527816462" w:history="1">
            <w:r w:rsidR="009F0AA5" w:rsidRPr="00D80CDE">
              <w:rPr>
                <w:rStyle w:val="Hyperlink"/>
                <w:rFonts w:eastAsia="Times New Roman"/>
                <w:b/>
                <w:noProof/>
              </w:rPr>
              <w:t>Linde Bangladesh Achievements at a Glance:</w:t>
            </w:r>
            <w:r w:rsidR="009F0AA5">
              <w:rPr>
                <w:noProof/>
                <w:webHidden/>
              </w:rPr>
              <w:tab/>
            </w:r>
            <w:r>
              <w:rPr>
                <w:noProof/>
                <w:webHidden/>
              </w:rPr>
              <w:fldChar w:fldCharType="begin"/>
            </w:r>
            <w:r w:rsidR="009F0AA5">
              <w:rPr>
                <w:noProof/>
                <w:webHidden/>
              </w:rPr>
              <w:instrText xml:space="preserve"> PAGEREF _Toc527816462 \h </w:instrText>
            </w:r>
            <w:r>
              <w:rPr>
                <w:noProof/>
                <w:webHidden/>
              </w:rPr>
            </w:r>
            <w:r>
              <w:rPr>
                <w:noProof/>
                <w:webHidden/>
              </w:rPr>
              <w:fldChar w:fldCharType="separate"/>
            </w:r>
            <w:r w:rsidR="009F0AA5">
              <w:rPr>
                <w:noProof/>
                <w:webHidden/>
              </w:rPr>
              <w:t>8</w:t>
            </w:r>
            <w:r>
              <w:rPr>
                <w:noProof/>
                <w:webHidden/>
              </w:rPr>
              <w:fldChar w:fldCharType="end"/>
            </w:r>
          </w:hyperlink>
        </w:p>
        <w:p w:rsidR="009F0AA5" w:rsidRDefault="00F17BF7">
          <w:pPr>
            <w:pStyle w:val="TOC2"/>
            <w:tabs>
              <w:tab w:val="right" w:leader="dot" w:pos="9440"/>
            </w:tabs>
            <w:rPr>
              <w:noProof/>
            </w:rPr>
          </w:pPr>
          <w:hyperlink w:anchor="_Toc527816463" w:history="1">
            <w:r w:rsidR="009F0AA5" w:rsidRPr="00D80CDE">
              <w:rPr>
                <w:rStyle w:val="Hyperlink"/>
                <w:rFonts w:eastAsia="Times New Roman"/>
                <w:b/>
                <w:noProof/>
              </w:rPr>
              <w:t>Linde Worldwide:</w:t>
            </w:r>
            <w:r w:rsidR="009F0AA5">
              <w:rPr>
                <w:noProof/>
                <w:webHidden/>
              </w:rPr>
              <w:tab/>
            </w:r>
            <w:r>
              <w:rPr>
                <w:noProof/>
                <w:webHidden/>
              </w:rPr>
              <w:fldChar w:fldCharType="begin"/>
            </w:r>
            <w:r w:rsidR="009F0AA5">
              <w:rPr>
                <w:noProof/>
                <w:webHidden/>
              </w:rPr>
              <w:instrText xml:space="preserve"> PAGEREF _Toc527816463 \h </w:instrText>
            </w:r>
            <w:r>
              <w:rPr>
                <w:noProof/>
                <w:webHidden/>
              </w:rPr>
            </w:r>
            <w:r>
              <w:rPr>
                <w:noProof/>
                <w:webHidden/>
              </w:rPr>
              <w:fldChar w:fldCharType="separate"/>
            </w:r>
            <w:r w:rsidR="009F0AA5">
              <w:rPr>
                <w:noProof/>
                <w:webHidden/>
              </w:rPr>
              <w:t>9</w:t>
            </w:r>
            <w:r>
              <w:rPr>
                <w:noProof/>
                <w:webHidden/>
              </w:rPr>
              <w:fldChar w:fldCharType="end"/>
            </w:r>
          </w:hyperlink>
        </w:p>
        <w:p w:rsidR="009F0AA5" w:rsidRDefault="00F17BF7">
          <w:pPr>
            <w:pStyle w:val="TOC2"/>
            <w:tabs>
              <w:tab w:val="right" w:leader="dot" w:pos="9440"/>
            </w:tabs>
            <w:rPr>
              <w:noProof/>
            </w:rPr>
          </w:pPr>
          <w:hyperlink w:anchor="_Toc527816464" w:history="1">
            <w:r w:rsidR="009F0AA5" w:rsidRPr="00D80CDE">
              <w:rPr>
                <w:rStyle w:val="Hyperlink"/>
                <w:rFonts w:eastAsia="Times New Roman"/>
                <w:b/>
                <w:noProof/>
              </w:rPr>
              <w:t>About Linde Bangladesh Limited :</w:t>
            </w:r>
            <w:r w:rsidR="009F0AA5">
              <w:rPr>
                <w:noProof/>
                <w:webHidden/>
              </w:rPr>
              <w:tab/>
            </w:r>
            <w:r>
              <w:rPr>
                <w:noProof/>
                <w:webHidden/>
              </w:rPr>
              <w:fldChar w:fldCharType="begin"/>
            </w:r>
            <w:r w:rsidR="009F0AA5">
              <w:rPr>
                <w:noProof/>
                <w:webHidden/>
              </w:rPr>
              <w:instrText xml:space="preserve"> PAGEREF _Toc527816464 \h </w:instrText>
            </w:r>
            <w:r>
              <w:rPr>
                <w:noProof/>
                <w:webHidden/>
              </w:rPr>
            </w:r>
            <w:r>
              <w:rPr>
                <w:noProof/>
                <w:webHidden/>
              </w:rPr>
              <w:fldChar w:fldCharType="separate"/>
            </w:r>
            <w:r w:rsidR="009F0AA5">
              <w:rPr>
                <w:noProof/>
                <w:webHidden/>
              </w:rPr>
              <w:t>10</w:t>
            </w:r>
            <w:r>
              <w:rPr>
                <w:noProof/>
                <w:webHidden/>
              </w:rPr>
              <w:fldChar w:fldCharType="end"/>
            </w:r>
          </w:hyperlink>
        </w:p>
        <w:p w:rsidR="009F0AA5" w:rsidRDefault="00F17BF7">
          <w:pPr>
            <w:pStyle w:val="TOC1"/>
            <w:tabs>
              <w:tab w:val="right" w:leader="dot" w:pos="9440"/>
            </w:tabs>
            <w:rPr>
              <w:noProof/>
            </w:rPr>
          </w:pPr>
          <w:hyperlink w:anchor="_Toc527816465" w:history="1">
            <w:r w:rsidR="009F0AA5" w:rsidRPr="00D80CDE">
              <w:rPr>
                <w:rStyle w:val="Hyperlink"/>
                <w:b/>
                <w:noProof/>
              </w:rPr>
              <w:t>Objective of the Study:</w:t>
            </w:r>
            <w:r w:rsidR="009F0AA5">
              <w:rPr>
                <w:noProof/>
                <w:webHidden/>
              </w:rPr>
              <w:tab/>
            </w:r>
            <w:r>
              <w:rPr>
                <w:noProof/>
                <w:webHidden/>
              </w:rPr>
              <w:fldChar w:fldCharType="begin"/>
            </w:r>
            <w:r w:rsidR="009F0AA5">
              <w:rPr>
                <w:noProof/>
                <w:webHidden/>
              </w:rPr>
              <w:instrText xml:space="preserve"> PAGEREF _Toc527816465 \h </w:instrText>
            </w:r>
            <w:r>
              <w:rPr>
                <w:noProof/>
                <w:webHidden/>
              </w:rPr>
            </w:r>
            <w:r>
              <w:rPr>
                <w:noProof/>
                <w:webHidden/>
              </w:rPr>
              <w:fldChar w:fldCharType="separate"/>
            </w:r>
            <w:r w:rsidR="009F0AA5">
              <w:rPr>
                <w:noProof/>
                <w:webHidden/>
              </w:rPr>
              <w:t>10</w:t>
            </w:r>
            <w:r>
              <w:rPr>
                <w:noProof/>
                <w:webHidden/>
              </w:rPr>
              <w:fldChar w:fldCharType="end"/>
            </w:r>
          </w:hyperlink>
        </w:p>
        <w:p w:rsidR="009F0AA5" w:rsidRDefault="00F17BF7">
          <w:pPr>
            <w:pStyle w:val="TOC3"/>
            <w:tabs>
              <w:tab w:val="right" w:leader="dot" w:pos="9440"/>
            </w:tabs>
            <w:rPr>
              <w:noProof/>
            </w:rPr>
          </w:pPr>
          <w:hyperlink w:anchor="_Toc527816466" w:history="1">
            <w:r w:rsidR="009F0AA5" w:rsidRPr="00D80CDE">
              <w:rPr>
                <w:rStyle w:val="Hyperlink"/>
                <w:rFonts w:eastAsia="Times New Roman"/>
                <w:b/>
                <w:noProof/>
              </w:rPr>
              <w:t>Primary (or Academic ) Objective:</w:t>
            </w:r>
            <w:r w:rsidR="009F0AA5">
              <w:rPr>
                <w:noProof/>
                <w:webHidden/>
              </w:rPr>
              <w:tab/>
            </w:r>
            <w:r>
              <w:rPr>
                <w:noProof/>
                <w:webHidden/>
              </w:rPr>
              <w:fldChar w:fldCharType="begin"/>
            </w:r>
            <w:r w:rsidR="009F0AA5">
              <w:rPr>
                <w:noProof/>
                <w:webHidden/>
              </w:rPr>
              <w:instrText xml:space="preserve"> PAGEREF _Toc527816466 \h </w:instrText>
            </w:r>
            <w:r>
              <w:rPr>
                <w:noProof/>
                <w:webHidden/>
              </w:rPr>
            </w:r>
            <w:r>
              <w:rPr>
                <w:noProof/>
                <w:webHidden/>
              </w:rPr>
              <w:fldChar w:fldCharType="separate"/>
            </w:r>
            <w:r w:rsidR="009F0AA5">
              <w:rPr>
                <w:noProof/>
                <w:webHidden/>
              </w:rPr>
              <w:t>10</w:t>
            </w:r>
            <w:r>
              <w:rPr>
                <w:noProof/>
                <w:webHidden/>
              </w:rPr>
              <w:fldChar w:fldCharType="end"/>
            </w:r>
          </w:hyperlink>
        </w:p>
        <w:p w:rsidR="009F0AA5" w:rsidRDefault="00F17BF7">
          <w:pPr>
            <w:pStyle w:val="TOC3"/>
            <w:tabs>
              <w:tab w:val="right" w:leader="dot" w:pos="9440"/>
            </w:tabs>
            <w:rPr>
              <w:noProof/>
            </w:rPr>
          </w:pPr>
          <w:hyperlink w:anchor="_Toc527816467" w:history="1">
            <w:r w:rsidR="009F0AA5" w:rsidRPr="00D80CDE">
              <w:rPr>
                <w:rStyle w:val="Hyperlink"/>
                <w:rFonts w:eastAsia="Times New Roman"/>
                <w:b/>
                <w:noProof/>
              </w:rPr>
              <w:t>Secondary (or Study) Objectives:</w:t>
            </w:r>
            <w:r w:rsidR="009F0AA5">
              <w:rPr>
                <w:noProof/>
                <w:webHidden/>
              </w:rPr>
              <w:tab/>
            </w:r>
            <w:r>
              <w:rPr>
                <w:noProof/>
                <w:webHidden/>
              </w:rPr>
              <w:fldChar w:fldCharType="begin"/>
            </w:r>
            <w:r w:rsidR="009F0AA5">
              <w:rPr>
                <w:noProof/>
                <w:webHidden/>
              </w:rPr>
              <w:instrText xml:space="preserve"> PAGEREF _Toc527816467 \h </w:instrText>
            </w:r>
            <w:r>
              <w:rPr>
                <w:noProof/>
                <w:webHidden/>
              </w:rPr>
            </w:r>
            <w:r>
              <w:rPr>
                <w:noProof/>
                <w:webHidden/>
              </w:rPr>
              <w:fldChar w:fldCharType="separate"/>
            </w:r>
            <w:r w:rsidR="009F0AA5">
              <w:rPr>
                <w:noProof/>
                <w:webHidden/>
              </w:rPr>
              <w:t>10</w:t>
            </w:r>
            <w:r>
              <w:rPr>
                <w:noProof/>
                <w:webHidden/>
              </w:rPr>
              <w:fldChar w:fldCharType="end"/>
            </w:r>
          </w:hyperlink>
        </w:p>
        <w:p w:rsidR="009F0AA5" w:rsidRDefault="00F17BF7">
          <w:pPr>
            <w:pStyle w:val="TOC1"/>
            <w:tabs>
              <w:tab w:val="right" w:leader="dot" w:pos="9440"/>
            </w:tabs>
            <w:rPr>
              <w:noProof/>
            </w:rPr>
          </w:pPr>
          <w:hyperlink w:anchor="_Toc527816468" w:history="1">
            <w:r w:rsidR="009F0AA5" w:rsidRPr="00D80CDE">
              <w:rPr>
                <w:rStyle w:val="Hyperlink"/>
                <w:b/>
                <w:noProof/>
              </w:rPr>
              <w:t>Methodology of the study:</w:t>
            </w:r>
            <w:r w:rsidR="009F0AA5">
              <w:rPr>
                <w:noProof/>
                <w:webHidden/>
              </w:rPr>
              <w:tab/>
            </w:r>
            <w:r>
              <w:rPr>
                <w:noProof/>
                <w:webHidden/>
              </w:rPr>
              <w:fldChar w:fldCharType="begin"/>
            </w:r>
            <w:r w:rsidR="009F0AA5">
              <w:rPr>
                <w:noProof/>
                <w:webHidden/>
              </w:rPr>
              <w:instrText xml:space="preserve"> PAGEREF _Toc527816468 \h </w:instrText>
            </w:r>
            <w:r>
              <w:rPr>
                <w:noProof/>
                <w:webHidden/>
              </w:rPr>
            </w:r>
            <w:r>
              <w:rPr>
                <w:noProof/>
                <w:webHidden/>
              </w:rPr>
              <w:fldChar w:fldCharType="separate"/>
            </w:r>
            <w:r w:rsidR="009F0AA5">
              <w:rPr>
                <w:noProof/>
                <w:webHidden/>
              </w:rPr>
              <w:t>11</w:t>
            </w:r>
            <w:r>
              <w:rPr>
                <w:noProof/>
                <w:webHidden/>
              </w:rPr>
              <w:fldChar w:fldCharType="end"/>
            </w:r>
          </w:hyperlink>
        </w:p>
        <w:p w:rsidR="009F0AA5" w:rsidRDefault="00F17BF7">
          <w:pPr>
            <w:pStyle w:val="TOC1"/>
            <w:tabs>
              <w:tab w:val="right" w:leader="dot" w:pos="9440"/>
            </w:tabs>
            <w:rPr>
              <w:noProof/>
            </w:rPr>
          </w:pPr>
          <w:hyperlink w:anchor="_Toc527816469" w:history="1">
            <w:r w:rsidR="009F0AA5" w:rsidRPr="00D80CDE">
              <w:rPr>
                <w:rStyle w:val="Hyperlink"/>
                <w:b/>
                <w:noProof/>
              </w:rPr>
              <w:t>Findings of the Study:</w:t>
            </w:r>
            <w:r w:rsidR="009F0AA5">
              <w:rPr>
                <w:noProof/>
                <w:webHidden/>
              </w:rPr>
              <w:tab/>
            </w:r>
            <w:r>
              <w:rPr>
                <w:noProof/>
                <w:webHidden/>
              </w:rPr>
              <w:fldChar w:fldCharType="begin"/>
            </w:r>
            <w:r w:rsidR="009F0AA5">
              <w:rPr>
                <w:noProof/>
                <w:webHidden/>
              </w:rPr>
              <w:instrText xml:space="preserve"> PAGEREF _Toc527816469 \h </w:instrText>
            </w:r>
            <w:r>
              <w:rPr>
                <w:noProof/>
                <w:webHidden/>
              </w:rPr>
            </w:r>
            <w:r>
              <w:rPr>
                <w:noProof/>
                <w:webHidden/>
              </w:rPr>
              <w:fldChar w:fldCharType="separate"/>
            </w:r>
            <w:r w:rsidR="009F0AA5">
              <w:rPr>
                <w:noProof/>
                <w:webHidden/>
              </w:rPr>
              <w:t>11</w:t>
            </w:r>
            <w:r>
              <w:rPr>
                <w:noProof/>
                <w:webHidden/>
              </w:rPr>
              <w:fldChar w:fldCharType="end"/>
            </w:r>
          </w:hyperlink>
        </w:p>
        <w:p w:rsidR="009F0AA5" w:rsidRDefault="00F17BF7">
          <w:pPr>
            <w:pStyle w:val="TOC1"/>
            <w:tabs>
              <w:tab w:val="right" w:leader="dot" w:pos="9440"/>
            </w:tabs>
            <w:rPr>
              <w:noProof/>
            </w:rPr>
          </w:pPr>
          <w:hyperlink w:anchor="_Toc527816470" w:history="1">
            <w:r w:rsidR="009F0AA5" w:rsidRPr="00D80CDE">
              <w:rPr>
                <w:rStyle w:val="Hyperlink"/>
                <w:rFonts w:eastAsia="Times New Roman"/>
                <w:b/>
                <w:noProof/>
              </w:rPr>
              <w:t>Analysis of Ratios</w:t>
            </w:r>
            <w:r w:rsidR="009F0AA5">
              <w:rPr>
                <w:noProof/>
                <w:webHidden/>
              </w:rPr>
              <w:tab/>
            </w:r>
            <w:r>
              <w:rPr>
                <w:noProof/>
                <w:webHidden/>
              </w:rPr>
              <w:fldChar w:fldCharType="begin"/>
            </w:r>
            <w:r w:rsidR="009F0AA5">
              <w:rPr>
                <w:noProof/>
                <w:webHidden/>
              </w:rPr>
              <w:instrText xml:space="preserve"> PAGEREF _Toc527816470 \h </w:instrText>
            </w:r>
            <w:r>
              <w:rPr>
                <w:noProof/>
                <w:webHidden/>
              </w:rPr>
            </w:r>
            <w:r>
              <w:rPr>
                <w:noProof/>
                <w:webHidden/>
              </w:rPr>
              <w:fldChar w:fldCharType="separate"/>
            </w:r>
            <w:r w:rsidR="009F0AA5">
              <w:rPr>
                <w:noProof/>
                <w:webHidden/>
              </w:rPr>
              <w:t>15</w:t>
            </w:r>
            <w:r>
              <w:rPr>
                <w:noProof/>
                <w:webHidden/>
              </w:rPr>
              <w:fldChar w:fldCharType="end"/>
            </w:r>
          </w:hyperlink>
        </w:p>
        <w:p w:rsidR="009F0AA5" w:rsidRDefault="00F17BF7">
          <w:pPr>
            <w:pStyle w:val="TOC2"/>
            <w:tabs>
              <w:tab w:val="right" w:leader="dot" w:pos="9440"/>
            </w:tabs>
            <w:rPr>
              <w:noProof/>
            </w:rPr>
          </w:pPr>
          <w:hyperlink w:anchor="_Toc527816471" w:history="1">
            <w:r w:rsidR="009F0AA5" w:rsidRPr="00D80CDE">
              <w:rPr>
                <w:rStyle w:val="Hyperlink"/>
                <w:rFonts w:ascii="Times New Roman" w:eastAsia="Times New Roman" w:hAnsi="Times New Roman"/>
                <w:b/>
                <w:noProof/>
              </w:rPr>
              <w:t>Liquidity ratio:</w:t>
            </w:r>
            <w:r w:rsidR="009F0AA5">
              <w:rPr>
                <w:noProof/>
                <w:webHidden/>
              </w:rPr>
              <w:tab/>
            </w:r>
            <w:r>
              <w:rPr>
                <w:noProof/>
                <w:webHidden/>
              </w:rPr>
              <w:fldChar w:fldCharType="begin"/>
            </w:r>
            <w:r w:rsidR="009F0AA5">
              <w:rPr>
                <w:noProof/>
                <w:webHidden/>
              </w:rPr>
              <w:instrText xml:space="preserve"> PAGEREF _Toc527816471 \h </w:instrText>
            </w:r>
            <w:r>
              <w:rPr>
                <w:noProof/>
                <w:webHidden/>
              </w:rPr>
            </w:r>
            <w:r>
              <w:rPr>
                <w:noProof/>
                <w:webHidden/>
              </w:rPr>
              <w:fldChar w:fldCharType="separate"/>
            </w:r>
            <w:r w:rsidR="009F0AA5">
              <w:rPr>
                <w:noProof/>
                <w:webHidden/>
              </w:rPr>
              <w:t>15</w:t>
            </w:r>
            <w:r>
              <w:rPr>
                <w:noProof/>
                <w:webHidden/>
              </w:rPr>
              <w:fldChar w:fldCharType="end"/>
            </w:r>
          </w:hyperlink>
        </w:p>
        <w:p w:rsidR="009F0AA5" w:rsidRDefault="00F17BF7">
          <w:pPr>
            <w:pStyle w:val="TOC3"/>
            <w:tabs>
              <w:tab w:val="right" w:leader="dot" w:pos="9440"/>
            </w:tabs>
            <w:rPr>
              <w:noProof/>
            </w:rPr>
          </w:pPr>
          <w:hyperlink w:anchor="_Toc527816472" w:history="1">
            <w:r w:rsidR="009F0AA5" w:rsidRPr="00D80CDE">
              <w:rPr>
                <w:rStyle w:val="Hyperlink"/>
                <w:b/>
                <w:bCs/>
                <w:smallCaps/>
                <w:noProof/>
              </w:rPr>
              <w:t>Current ratio:</w:t>
            </w:r>
            <w:r w:rsidR="009F0AA5">
              <w:rPr>
                <w:noProof/>
                <w:webHidden/>
              </w:rPr>
              <w:tab/>
            </w:r>
            <w:r>
              <w:rPr>
                <w:noProof/>
                <w:webHidden/>
              </w:rPr>
              <w:fldChar w:fldCharType="begin"/>
            </w:r>
            <w:r w:rsidR="009F0AA5">
              <w:rPr>
                <w:noProof/>
                <w:webHidden/>
              </w:rPr>
              <w:instrText xml:space="preserve"> PAGEREF _Toc527816472 \h </w:instrText>
            </w:r>
            <w:r>
              <w:rPr>
                <w:noProof/>
                <w:webHidden/>
              </w:rPr>
            </w:r>
            <w:r>
              <w:rPr>
                <w:noProof/>
                <w:webHidden/>
              </w:rPr>
              <w:fldChar w:fldCharType="separate"/>
            </w:r>
            <w:r w:rsidR="009F0AA5">
              <w:rPr>
                <w:noProof/>
                <w:webHidden/>
              </w:rPr>
              <w:t>15</w:t>
            </w:r>
            <w:r>
              <w:rPr>
                <w:noProof/>
                <w:webHidden/>
              </w:rPr>
              <w:fldChar w:fldCharType="end"/>
            </w:r>
          </w:hyperlink>
        </w:p>
        <w:p w:rsidR="009F0AA5" w:rsidRDefault="00F17BF7">
          <w:pPr>
            <w:pStyle w:val="TOC3"/>
            <w:tabs>
              <w:tab w:val="right" w:leader="dot" w:pos="9440"/>
            </w:tabs>
            <w:rPr>
              <w:noProof/>
            </w:rPr>
          </w:pPr>
          <w:hyperlink w:anchor="_Toc527816473" w:history="1">
            <w:r w:rsidR="009F0AA5" w:rsidRPr="00D80CDE">
              <w:rPr>
                <w:rStyle w:val="Hyperlink"/>
                <w:rFonts w:eastAsia="Times New Roman"/>
                <w:b/>
                <w:noProof/>
              </w:rPr>
              <w:t>Quick Ratio:</w:t>
            </w:r>
            <w:r w:rsidR="009F0AA5">
              <w:rPr>
                <w:noProof/>
                <w:webHidden/>
              </w:rPr>
              <w:tab/>
            </w:r>
            <w:r>
              <w:rPr>
                <w:noProof/>
                <w:webHidden/>
              </w:rPr>
              <w:fldChar w:fldCharType="begin"/>
            </w:r>
            <w:r w:rsidR="009F0AA5">
              <w:rPr>
                <w:noProof/>
                <w:webHidden/>
              </w:rPr>
              <w:instrText xml:space="preserve"> PAGEREF _Toc527816473 \h </w:instrText>
            </w:r>
            <w:r>
              <w:rPr>
                <w:noProof/>
                <w:webHidden/>
              </w:rPr>
            </w:r>
            <w:r>
              <w:rPr>
                <w:noProof/>
                <w:webHidden/>
              </w:rPr>
              <w:fldChar w:fldCharType="separate"/>
            </w:r>
            <w:r w:rsidR="009F0AA5">
              <w:rPr>
                <w:noProof/>
                <w:webHidden/>
              </w:rPr>
              <w:t>16</w:t>
            </w:r>
            <w:r>
              <w:rPr>
                <w:noProof/>
                <w:webHidden/>
              </w:rPr>
              <w:fldChar w:fldCharType="end"/>
            </w:r>
          </w:hyperlink>
        </w:p>
        <w:p w:rsidR="009F0AA5" w:rsidRDefault="00F17BF7">
          <w:pPr>
            <w:pStyle w:val="TOC2"/>
            <w:tabs>
              <w:tab w:val="right" w:leader="dot" w:pos="9440"/>
            </w:tabs>
            <w:rPr>
              <w:noProof/>
            </w:rPr>
          </w:pPr>
          <w:hyperlink w:anchor="_Toc527816474" w:history="1">
            <w:r w:rsidR="009F0AA5" w:rsidRPr="00D80CDE">
              <w:rPr>
                <w:rStyle w:val="Hyperlink"/>
                <w:rFonts w:ascii="Times New Roman" w:eastAsia="Times New Roman" w:hAnsi="Times New Roman"/>
                <w:b/>
                <w:noProof/>
              </w:rPr>
              <w:t>Activity ratio:</w:t>
            </w:r>
            <w:r w:rsidR="009F0AA5">
              <w:rPr>
                <w:noProof/>
                <w:webHidden/>
              </w:rPr>
              <w:tab/>
            </w:r>
            <w:r>
              <w:rPr>
                <w:noProof/>
                <w:webHidden/>
              </w:rPr>
              <w:fldChar w:fldCharType="begin"/>
            </w:r>
            <w:r w:rsidR="009F0AA5">
              <w:rPr>
                <w:noProof/>
                <w:webHidden/>
              </w:rPr>
              <w:instrText xml:space="preserve"> PAGEREF _Toc527816474 \h </w:instrText>
            </w:r>
            <w:r>
              <w:rPr>
                <w:noProof/>
                <w:webHidden/>
              </w:rPr>
            </w:r>
            <w:r>
              <w:rPr>
                <w:noProof/>
                <w:webHidden/>
              </w:rPr>
              <w:fldChar w:fldCharType="separate"/>
            </w:r>
            <w:r w:rsidR="009F0AA5">
              <w:rPr>
                <w:noProof/>
                <w:webHidden/>
              </w:rPr>
              <w:t>18</w:t>
            </w:r>
            <w:r>
              <w:rPr>
                <w:noProof/>
                <w:webHidden/>
              </w:rPr>
              <w:fldChar w:fldCharType="end"/>
            </w:r>
          </w:hyperlink>
        </w:p>
        <w:p w:rsidR="009F0AA5" w:rsidRDefault="00F17BF7">
          <w:pPr>
            <w:pStyle w:val="TOC3"/>
            <w:tabs>
              <w:tab w:val="right" w:leader="dot" w:pos="9440"/>
            </w:tabs>
            <w:rPr>
              <w:noProof/>
            </w:rPr>
          </w:pPr>
          <w:hyperlink w:anchor="_Toc527816475" w:history="1">
            <w:r w:rsidR="009F0AA5" w:rsidRPr="00D80CDE">
              <w:rPr>
                <w:rStyle w:val="Hyperlink"/>
                <w:b/>
                <w:noProof/>
              </w:rPr>
              <w:t>Account Receivable Turnover:</w:t>
            </w:r>
            <w:r w:rsidR="009F0AA5">
              <w:rPr>
                <w:noProof/>
                <w:webHidden/>
              </w:rPr>
              <w:tab/>
            </w:r>
            <w:r>
              <w:rPr>
                <w:noProof/>
                <w:webHidden/>
              </w:rPr>
              <w:fldChar w:fldCharType="begin"/>
            </w:r>
            <w:r w:rsidR="009F0AA5">
              <w:rPr>
                <w:noProof/>
                <w:webHidden/>
              </w:rPr>
              <w:instrText xml:space="preserve"> PAGEREF _Toc527816475 \h </w:instrText>
            </w:r>
            <w:r>
              <w:rPr>
                <w:noProof/>
                <w:webHidden/>
              </w:rPr>
            </w:r>
            <w:r>
              <w:rPr>
                <w:noProof/>
                <w:webHidden/>
              </w:rPr>
              <w:fldChar w:fldCharType="separate"/>
            </w:r>
            <w:r w:rsidR="009F0AA5">
              <w:rPr>
                <w:noProof/>
                <w:webHidden/>
              </w:rPr>
              <w:t>18</w:t>
            </w:r>
            <w:r>
              <w:rPr>
                <w:noProof/>
                <w:webHidden/>
              </w:rPr>
              <w:fldChar w:fldCharType="end"/>
            </w:r>
          </w:hyperlink>
        </w:p>
        <w:p w:rsidR="009F0AA5" w:rsidRDefault="00F17BF7">
          <w:pPr>
            <w:pStyle w:val="TOC3"/>
            <w:tabs>
              <w:tab w:val="right" w:leader="dot" w:pos="9440"/>
            </w:tabs>
            <w:rPr>
              <w:noProof/>
            </w:rPr>
          </w:pPr>
          <w:hyperlink w:anchor="_Toc527816476" w:history="1">
            <w:r w:rsidR="009F0AA5" w:rsidRPr="00D80CDE">
              <w:rPr>
                <w:rStyle w:val="Hyperlink"/>
                <w:rFonts w:eastAsia="Times New Roman"/>
                <w:b/>
                <w:noProof/>
              </w:rPr>
              <w:t>Inventory Turnover:</w:t>
            </w:r>
            <w:r w:rsidR="009F0AA5">
              <w:rPr>
                <w:noProof/>
                <w:webHidden/>
              </w:rPr>
              <w:tab/>
            </w:r>
            <w:r>
              <w:rPr>
                <w:noProof/>
                <w:webHidden/>
              </w:rPr>
              <w:fldChar w:fldCharType="begin"/>
            </w:r>
            <w:r w:rsidR="009F0AA5">
              <w:rPr>
                <w:noProof/>
                <w:webHidden/>
              </w:rPr>
              <w:instrText xml:space="preserve"> PAGEREF _Toc527816476 \h </w:instrText>
            </w:r>
            <w:r>
              <w:rPr>
                <w:noProof/>
                <w:webHidden/>
              </w:rPr>
            </w:r>
            <w:r>
              <w:rPr>
                <w:noProof/>
                <w:webHidden/>
              </w:rPr>
              <w:fldChar w:fldCharType="separate"/>
            </w:r>
            <w:r w:rsidR="009F0AA5">
              <w:rPr>
                <w:noProof/>
                <w:webHidden/>
              </w:rPr>
              <w:t>19</w:t>
            </w:r>
            <w:r>
              <w:rPr>
                <w:noProof/>
                <w:webHidden/>
              </w:rPr>
              <w:fldChar w:fldCharType="end"/>
            </w:r>
          </w:hyperlink>
        </w:p>
        <w:p w:rsidR="009F0AA5" w:rsidRDefault="00F17BF7">
          <w:pPr>
            <w:pStyle w:val="TOC3"/>
            <w:tabs>
              <w:tab w:val="right" w:leader="dot" w:pos="9440"/>
            </w:tabs>
            <w:rPr>
              <w:noProof/>
            </w:rPr>
          </w:pPr>
          <w:hyperlink w:anchor="_Toc527816477" w:history="1">
            <w:r w:rsidR="009F0AA5" w:rsidRPr="00D80CDE">
              <w:rPr>
                <w:rStyle w:val="Hyperlink"/>
                <w:rFonts w:eastAsia="Times New Roman"/>
                <w:b/>
                <w:noProof/>
              </w:rPr>
              <w:t>Accounts payable turnover:</w:t>
            </w:r>
            <w:r w:rsidR="009F0AA5">
              <w:rPr>
                <w:noProof/>
                <w:webHidden/>
              </w:rPr>
              <w:tab/>
            </w:r>
            <w:r>
              <w:rPr>
                <w:noProof/>
                <w:webHidden/>
              </w:rPr>
              <w:fldChar w:fldCharType="begin"/>
            </w:r>
            <w:r w:rsidR="009F0AA5">
              <w:rPr>
                <w:noProof/>
                <w:webHidden/>
              </w:rPr>
              <w:instrText xml:space="preserve"> PAGEREF _Toc527816477 \h </w:instrText>
            </w:r>
            <w:r>
              <w:rPr>
                <w:noProof/>
                <w:webHidden/>
              </w:rPr>
            </w:r>
            <w:r>
              <w:rPr>
                <w:noProof/>
                <w:webHidden/>
              </w:rPr>
              <w:fldChar w:fldCharType="separate"/>
            </w:r>
            <w:r w:rsidR="009F0AA5">
              <w:rPr>
                <w:noProof/>
                <w:webHidden/>
              </w:rPr>
              <w:t>20</w:t>
            </w:r>
            <w:r>
              <w:rPr>
                <w:noProof/>
                <w:webHidden/>
              </w:rPr>
              <w:fldChar w:fldCharType="end"/>
            </w:r>
          </w:hyperlink>
        </w:p>
        <w:p w:rsidR="009F0AA5" w:rsidRDefault="00F17BF7">
          <w:pPr>
            <w:pStyle w:val="TOC3"/>
            <w:tabs>
              <w:tab w:val="right" w:leader="dot" w:pos="9440"/>
            </w:tabs>
            <w:rPr>
              <w:noProof/>
            </w:rPr>
          </w:pPr>
          <w:hyperlink w:anchor="_Toc527816478" w:history="1">
            <w:r w:rsidR="009F0AA5" w:rsidRPr="00D80CDE">
              <w:rPr>
                <w:rStyle w:val="Hyperlink"/>
                <w:b/>
                <w:noProof/>
              </w:rPr>
              <w:t>Fixed Asset To Equity:</w:t>
            </w:r>
            <w:r w:rsidR="009F0AA5">
              <w:rPr>
                <w:noProof/>
                <w:webHidden/>
              </w:rPr>
              <w:tab/>
            </w:r>
            <w:r>
              <w:rPr>
                <w:noProof/>
                <w:webHidden/>
              </w:rPr>
              <w:fldChar w:fldCharType="begin"/>
            </w:r>
            <w:r w:rsidR="009F0AA5">
              <w:rPr>
                <w:noProof/>
                <w:webHidden/>
              </w:rPr>
              <w:instrText xml:space="preserve"> PAGEREF _Toc527816478 \h </w:instrText>
            </w:r>
            <w:r>
              <w:rPr>
                <w:noProof/>
                <w:webHidden/>
              </w:rPr>
            </w:r>
            <w:r>
              <w:rPr>
                <w:noProof/>
                <w:webHidden/>
              </w:rPr>
              <w:fldChar w:fldCharType="separate"/>
            </w:r>
            <w:r w:rsidR="009F0AA5">
              <w:rPr>
                <w:noProof/>
                <w:webHidden/>
              </w:rPr>
              <w:t>21</w:t>
            </w:r>
            <w:r>
              <w:rPr>
                <w:noProof/>
                <w:webHidden/>
              </w:rPr>
              <w:fldChar w:fldCharType="end"/>
            </w:r>
          </w:hyperlink>
        </w:p>
        <w:p w:rsidR="009F0AA5" w:rsidRDefault="00F17BF7">
          <w:pPr>
            <w:pStyle w:val="TOC3"/>
            <w:tabs>
              <w:tab w:val="right" w:leader="dot" w:pos="9440"/>
            </w:tabs>
            <w:rPr>
              <w:noProof/>
            </w:rPr>
          </w:pPr>
          <w:hyperlink w:anchor="_Toc527816479" w:history="1">
            <w:r w:rsidR="009F0AA5" w:rsidRPr="00D80CDE">
              <w:rPr>
                <w:rStyle w:val="Hyperlink"/>
                <w:b/>
                <w:noProof/>
              </w:rPr>
              <w:t>Asset to sales:</w:t>
            </w:r>
            <w:r w:rsidR="009F0AA5">
              <w:rPr>
                <w:noProof/>
                <w:webHidden/>
              </w:rPr>
              <w:tab/>
            </w:r>
            <w:r>
              <w:rPr>
                <w:noProof/>
                <w:webHidden/>
              </w:rPr>
              <w:fldChar w:fldCharType="begin"/>
            </w:r>
            <w:r w:rsidR="009F0AA5">
              <w:rPr>
                <w:noProof/>
                <w:webHidden/>
              </w:rPr>
              <w:instrText xml:space="preserve"> PAGEREF _Toc527816479 \h </w:instrText>
            </w:r>
            <w:r>
              <w:rPr>
                <w:noProof/>
                <w:webHidden/>
              </w:rPr>
            </w:r>
            <w:r>
              <w:rPr>
                <w:noProof/>
                <w:webHidden/>
              </w:rPr>
              <w:fldChar w:fldCharType="separate"/>
            </w:r>
            <w:r w:rsidR="009F0AA5">
              <w:rPr>
                <w:noProof/>
                <w:webHidden/>
              </w:rPr>
              <w:t>22</w:t>
            </w:r>
            <w:r>
              <w:rPr>
                <w:noProof/>
                <w:webHidden/>
              </w:rPr>
              <w:fldChar w:fldCharType="end"/>
            </w:r>
          </w:hyperlink>
        </w:p>
        <w:p w:rsidR="009F0AA5" w:rsidRDefault="00F17BF7">
          <w:pPr>
            <w:pStyle w:val="TOC3"/>
            <w:tabs>
              <w:tab w:val="right" w:leader="dot" w:pos="9440"/>
            </w:tabs>
            <w:rPr>
              <w:noProof/>
            </w:rPr>
          </w:pPr>
          <w:hyperlink w:anchor="_Toc527816480" w:history="1">
            <w:r w:rsidR="009F0AA5" w:rsidRPr="00D80CDE">
              <w:rPr>
                <w:rStyle w:val="Hyperlink"/>
                <w:b/>
                <w:noProof/>
              </w:rPr>
              <w:t>Asset turnover :</w:t>
            </w:r>
            <w:r w:rsidR="009F0AA5">
              <w:rPr>
                <w:noProof/>
                <w:webHidden/>
              </w:rPr>
              <w:tab/>
            </w:r>
            <w:r>
              <w:rPr>
                <w:noProof/>
                <w:webHidden/>
              </w:rPr>
              <w:fldChar w:fldCharType="begin"/>
            </w:r>
            <w:r w:rsidR="009F0AA5">
              <w:rPr>
                <w:noProof/>
                <w:webHidden/>
              </w:rPr>
              <w:instrText xml:space="preserve"> PAGEREF _Toc527816480 \h </w:instrText>
            </w:r>
            <w:r>
              <w:rPr>
                <w:noProof/>
                <w:webHidden/>
              </w:rPr>
            </w:r>
            <w:r>
              <w:rPr>
                <w:noProof/>
                <w:webHidden/>
              </w:rPr>
              <w:fldChar w:fldCharType="separate"/>
            </w:r>
            <w:r w:rsidR="009F0AA5">
              <w:rPr>
                <w:noProof/>
                <w:webHidden/>
              </w:rPr>
              <w:t>22</w:t>
            </w:r>
            <w:r>
              <w:rPr>
                <w:noProof/>
                <w:webHidden/>
              </w:rPr>
              <w:fldChar w:fldCharType="end"/>
            </w:r>
          </w:hyperlink>
        </w:p>
        <w:p w:rsidR="009F0AA5" w:rsidRDefault="00F17BF7">
          <w:pPr>
            <w:pStyle w:val="TOC3"/>
            <w:tabs>
              <w:tab w:val="right" w:leader="dot" w:pos="9440"/>
            </w:tabs>
            <w:rPr>
              <w:noProof/>
            </w:rPr>
          </w:pPr>
          <w:hyperlink w:anchor="_Toc527816481" w:history="1">
            <w:r w:rsidR="009F0AA5" w:rsidRPr="00D80CDE">
              <w:rPr>
                <w:rStyle w:val="Hyperlink"/>
                <w:b/>
                <w:noProof/>
              </w:rPr>
              <w:t>Average collection period:</w:t>
            </w:r>
            <w:r w:rsidR="009F0AA5">
              <w:rPr>
                <w:noProof/>
                <w:webHidden/>
              </w:rPr>
              <w:tab/>
            </w:r>
            <w:r>
              <w:rPr>
                <w:noProof/>
                <w:webHidden/>
              </w:rPr>
              <w:fldChar w:fldCharType="begin"/>
            </w:r>
            <w:r w:rsidR="009F0AA5">
              <w:rPr>
                <w:noProof/>
                <w:webHidden/>
              </w:rPr>
              <w:instrText xml:space="preserve"> PAGEREF _Toc527816481 \h </w:instrText>
            </w:r>
            <w:r>
              <w:rPr>
                <w:noProof/>
                <w:webHidden/>
              </w:rPr>
            </w:r>
            <w:r>
              <w:rPr>
                <w:noProof/>
                <w:webHidden/>
              </w:rPr>
              <w:fldChar w:fldCharType="separate"/>
            </w:r>
            <w:r w:rsidR="009F0AA5">
              <w:rPr>
                <w:noProof/>
                <w:webHidden/>
              </w:rPr>
              <w:t>23</w:t>
            </w:r>
            <w:r>
              <w:rPr>
                <w:noProof/>
                <w:webHidden/>
              </w:rPr>
              <w:fldChar w:fldCharType="end"/>
            </w:r>
          </w:hyperlink>
        </w:p>
        <w:p w:rsidR="009F0AA5" w:rsidRDefault="00F17BF7">
          <w:pPr>
            <w:pStyle w:val="TOC2"/>
            <w:tabs>
              <w:tab w:val="right" w:leader="dot" w:pos="9440"/>
            </w:tabs>
            <w:rPr>
              <w:noProof/>
            </w:rPr>
          </w:pPr>
          <w:hyperlink w:anchor="_Toc527816482" w:history="1">
            <w:r w:rsidR="009F0AA5" w:rsidRPr="00D80CDE">
              <w:rPr>
                <w:rStyle w:val="Hyperlink"/>
                <w:rFonts w:ascii="Times New Roman" w:eastAsia="Times New Roman" w:hAnsi="Times New Roman"/>
                <w:b/>
                <w:noProof/>
              </w:rPr>
              <w:t>Profitability ratio:</w:t>
            </w:r>
            <w:r w:rsidR="009F0AA5">
              <w:rPr>
                <w:noProof/>
                <w:webHidden/>
              </w:rPr>
              <w:tab/>
            </w:r>
            <w:r>
              <w:rPr>
                <w:noProof/>
                <w:webHidden/>
              </w:rPr>
              <w:fldChar w:fldCharType="begin"/>
            </w:r>
            <w:r w:rsidR="009F0AA5">
              <w:rPr>
                <w:noProof/>
                <w:webHidden/>
              </w:rPr>
              <w:instrText xml:space="preserve"> PAGEREF _Toc527816482 \h </w:instrText>
            </w:r>
            <w:r>
              <w:rPr>
                <w:noProof/>
                <w:webHidden/>
              </w:rPr>
            </w:r>
            <w:r>
              <w:rPr>
                <w:noProof/>
                <w:webHidden/>
              </w:rPr>
              <w:fldChar w:fldCharType="separate"/>
            </w:r>
            <w:r w:rsidR="009F0AA5">
              <w:rPr>
                <w:noProof/>
                <w:webHidden/>
              </w:rPr>
              <w:t>24</w:t>
            </w:r>
            <w:r>
              <w:rPr>
                <w:noProof/>
                <w:webHidden/>
              </w:rPr>
              <w:fldChar w:fldCharType="end"/>
            </w:r>
          </w:hyperlink>
        </w:p>
        <w:p w:rsidR="009F0AA5" w:rsidRDefault="00F17BF7">
          <w:pPr>
            <w:pStyle w:val="TOC3"/>
            <w:tabs>
              <w:tab w:val="right" w:leader="dot" w:pos="9440"/>
            </w:tabs>
            <w:rPr>
              <w:noProof/>
            </w:rPr>
          </w:pPr>
          <w:hyperlink w:anchor="_Toc527816483" w:history="1">
            <w:r w:rsidR="009F0AA5" w:rsidRPr="00D80CDE">
              <w:rPr>
                <w:rStyle w:val="Hyperlink"/>
                <w:b/>
                <w:noProof/>
              </w:rPr>
              <w:t>Gross Profit Percentage:</w:t>
            </w:r>
            <w:r w:rsidR="009F0AA5">
              <w:rPr>
                <w:noProof/>
                <w:webHidden/>
              </w:rPr>
              <w:tab/>
            </w:r>
            <w:r>
              <w:rPr>
                <w:noProof/>
                <w:webHidden/>
              </w:rPr>
              <w:fldChar w:fldCharType="begin"/>
            </w:r>
            <w:r w:rsidR="009F0AA5">
              <w:rPr>
                <w:noProof/>
                <w:webHidden/>
              </w:rPr>
              <w:instrText xml:space="preserve"> PAGEREF _Toc527816483 \h </w:instrText>
            </w:r>
            <w:r>
              <w:rPr>
                <w:noProof/>
                <w:webHidden/>
              </w:rPr>
            </w:r>
            <w:r>
              <w:rPr>
                <w:noProof/>
                <w:webHidden/>
              </w:rPr>
              <w:fldChar w:fldCharType="separate"/>
            </w:r>
            <w:r w:rsidR="009F0AA5">
              <w:rPr>
                <w:noProof/>
                <w:webHidden/>
              </w:rPr>
              <w:t>24</w:t>
            </w:r>
            <w:r>
              <w:rPr>
                <w:noProof/>
                <w:webHidden/>
              </w:rPr>
              <w:fldChar w:fldCharType="end"/>
            </w:r>
          </w:hyperlink>
        </w:p>
        <w:p w:rsidR="009F0AA5" w:rsidRDefault="00F17BF7">
          <w:pPr>
            <w:pStyle w:val="TOC3"/>
            <w:tabs>
              <w:tab w:val="right" w:leader="dot" w:pos="9440"/>
            </w:tabs>
            <w:rPr>
              <w:noProof/>
            </w:rPr>
          </w:pPr>
          <w:hyperlink w:anchor="_Toc527816484" w:history="1">
            <w:r w:rsidR="009F0AA5" w:rsidRPr="00D80CDE">
              <w:rPr>
                <w:rStyle w:val="Hyperlink"/>
                <w:b/>
                <w:noProof/>
              </w:rPr>
              <w:t>Net Profit Margin Ratio:</w:t>
            </w:r>
            <w:r w:rsidR="009F0AA5">
              <w:rPr>
                <w:noProof/>
                <w:webHidden/>
              </w:rPr>
              <w:tab/>
            </w:r>
            <w:r>
              <w:rPr>
                <w:noProof/>
                <w:webHidden/>
              </w:rPr>
              <w:fldChar w:fldCharType="begin"/>
            </w:r>
            <w:r w:rsidR="009F0AA5">
              <w:rPr>
                <w:noProof/>
                <w:webHidden/>
              </w:rPr>
              <w:instrText xml:space="preserve"> PAGEREF _Toc527816484 \h </w:instrText>
            </w:r>
            <w:r>
              <w:rPr>
                <w:noProof/>
                <w:webHidden/>
              </w:rPr>
            </w:r>
            <w:r>
              <w:rPr>
                <w:noProof/>
                <w:webHidden/>
              </w:rPr>
              <w:fldChar w:fldCharType="separate"/>
            </w:r>
            <w:r w:rsidR="009F0AA5">
              <w:rPr>
                <w:noProof/>
                <w:webHidden/>
              </w:rPr>
              <w:t>25</w:t>
            </w:r>
            <w:r>
              <w:rPr>
                <w:noProof/>
                <w:webHidden/>
              </w:rPr>
              <w:fldChar w:fldCharType="end"/>
            </w:r>
          </w:hyperlink>
        </w:p>
        <w:p w:rsidR="009F0AA5" w:rsidRDefault="00F17BF7">
          <w:pPr>
            <w:pStyle w:val="TOC3"/>
            <w:tabs>
              <w:tab w:val="right" w:leader="dot" w:pos="9440"/>
            </w:tabs>
            <w:rPr>
              <w:noProof/>
            </w:rPr>
          </w:pPr>
          <w:hyperlink w:anchor="_Toc527816485" w:history="1">
            <w:r w:rsidR="009F0AA5" w:rsidRPr="00D80CDE">
              <w:rPr>
                <w:rStyle w:val="Hyperlink"/>
                <w:b/>
                <w:noProof/>
              </w:rPr>
              <w:t>Rate of Return On Asset:</w:t>
            </w:r>
            <w:r w:rsidR="009F0AA5">
              <w:rPr>
                <w:noProof/>
                <w:webHidden/>
              </w:rPr>
              <w:tab/>
            </w:r>
            <w:r>
              <w:rPr>
                <w:noProof/>
                <w:webHidden/>
              </w:rPr>
              <w:fldChar w:fldCharType="begin"/>
            </w:r>
            <w:r w:rsidR="009F0AA5">
              <w:rPr>
                <w:noProof/>
                <w:webHidden/>
              </w:rPr>
              <w:instrText xml:space="preserve"> PAGEREF _Toc527816485 \h </w:instrText>
            </w:r>
            <w:r>
              <w:rPr>
                <w:noProof/>
                <w:webHidden/>
              </w:rPr>
            </w:r>
            <w:r>
              <w:rPr>
                <w:noProof/>
                <w:webHidden/>
              </w:rPr>
              <w:fldChar w:fldCharType="separate"/>
            </w:r>
            <w:r w:rsidR="009F0AA5">
              <w:rPr>
                <w:noProof/>
                <w:webHidden/>
              </w:rPr>
              <w:t>26</w:t>
            </w:r>
            <w:r>
              <w:rPr>
                <w:noProof/>
                <w:webHidden/>
              </w:rPr>
              <w:fldChar w:fldCharType="end"/>
            </w:r>
          </w:hyperlink>
        </w:p>
        <w:p w:rsidR="009F0AA5" w:rsidRDefault="00F17BF7">
          <w:pPr>
            <w:pStyle w:val="TOC3"/>
            <w:tabs>
              <w:tab w:val="right" w:leader="dot" w:pos="9440"/>
            </w:tabs>
            <w:rPr>
              <w:noProof/>
            </w:rPr>
          </w:pPr>
          <w:hyperlink w:anchor="_Toc527816486" w:history="1">
            <w:r w:rsidR="009F0AA5" w:rsidRPr="00D80CDE">
              <w:rPr>
                <w:rStyle w:val="Hyperlink"/>
                <w:b/>
                <w:noProof/>
              </w:rPr>
              <w:t>Rate of Return on Equity:</w:t>
            </w:r>
            <w:r w:rsidR="009F0AA5">
              <w:rPr>
                <w:noProof/>
                <w:webHidden/>
              </w:rPr>
              <w:tab/>
            </w:r>
            <w:r>
              <w:rPr>
                <w:noProof/>
                <w:webHidden/>
              </w:rPr>
              <w:fldChar w:fldCharType="begin"/>
            </w:r>
            <w:r w:rsidR="009F0AA5">
              <w:rPr>
                <w:noProof/>
                <w:webHidden/>
              </w:rPr>
              <w:instrText xml:space="preserve"> PAGEREF _Toc527816486 \h </w:instrText>
            </w:r>
            <w:r>
              <w:rPr>
                <w:noProof/>
                <w:webHidden/>
              </w:rPr>
            </w:r>
            <w:r>
              <w:rPr>
                <w:noProof/>
                <w:webHidden/>
              </w:rPr>
              <w:fldChar w:fldCharType="separate"/>
            </w:r>
            <w:r w:rsidR="009F0AA5">
              <w:rPr>
                <w:noProof/>
                <w:webHidden/>
              </w:rPr>
              <w:t>27</w:t>
            </w:r>
            <w:r>
              <w:rPr>
                <w:noProof/>
                <w:webHidden/>
              </w:rPr>
              <w:fldChar w:fldCharType="end"/>
            </w:r>
          </w:hyperlink>
        </w:p>
        <w:p w:rsidR="009F0AA5" w:rsidRDefault="00F17BF7">
          <w:pPr>
            <w:pStyle w:val="TOC3"/>
            <w:tabs>
              <w:tab w:val="right" w:leader="dot" w:pos="9440"/>
            </w:tabs>
            <w:rPr>
              <w:noProof/>
            </w:rPr>
          </w:pPr>
          <w:hyperlink w:anchor="_Toc527816487" w:history="1">
            <w:r w:rsidR="009F0AA5" w:rsidRPr="00D80CDE">
              <w:rPr>
                <w:rStyle w:val="Hyperlink"/>
                <w:b/>
                <w:noProof/>
              </w:rPr>
              <w:t>Earnings Per Share:</w:t>
            </w:r>
            <w:r w:rsidR="009F0AA5">
              <w:rPr>
                <w:noProof/>
                <w:webHidden/>
              </w:rPr>
              <w:tab/>
            </w:r>
            <w:r>
              <w:rPr>
                <w:noProof/>
                <w:webHidden/>
              </w:rPr>
              <w:fldChar w:fldCharType="begin"/>
            </w:r>
            <w:r w:rsidR="009F0AA5">
              <w:rPr>
                <w:noProof/>
                <w:webHidden/>
              </w:rPr>
              <w:instrText xml:space="preserve"> PAGEREF _Toc527816487 \h </w:instrText>
            </w:r>
            <w:r>
              <w:rPr>
                <w:noProof/>
                <w:webHidden/>
              </w:rPr>
            </w:r>
            <w:r>
              <w:rPr>
                <w:noProof/>
                <w:webHidden/>
              </w:rPr>
              <w:fldChar w:fldCharType="separate"/>
            </w:r>
            <w:r w:rsidR="009F0AA5">
              <w:rPr>
                <w:noProof/>
                <w:webHidden/>
              </w:rPr>
              <w:t>27</w:t>
            </w:r>
            <w:r>
              <w:rPr>
                <w:noProof/>
                <w:webHidden/>
              </w:rPr>
              <w:fldChar w:fldCharType="end"/>
            </w:r>
          </w:hyperlink>
        </w:p>
        <w:p w:rsidR="009F0AA5" w:rsidRDefault="00F17BF7">
          <w:pPr>
            <w:pStyle w:val="TOC2"/>
            <w:tabs>
              <w:tab w:val="right" w:leader="dot" w:pos="9440"/>
            </w:tabs>
            <w:rPr>
              <w:noProof/>
            </w:rPr>
          </w:pPr>
          <w:hyperlink w:anchor="_Toc527816488" w:history="1">
            <w:r w:rsidR="009F0AA5" w:rsidRPr="00D80CDE">
              <w:rPr>
                <w:rStyle w:val="Hyperlink"/>
                <w:rFonts w:eastAsia="Times New Roman"/>
                <w:b/>
                <w:noProof/>
              </w:rPr>
              <w:t>Coverage ratios:</w:t>
            </w:r>
            <w:r w:rsidR="009F0AA5">
              <w:rPr>
                <w:noProof/>
                <w:webHidden/>
              </w:rPr>
              <w:tab/>
            </w:r>
            <w:r>
              <w:rPr>
                <w:noProof/>
                <w:webHidden/>
              </w:rPr>
              <w:fldChar w:fldCharType="begin"/>
            </w:r>
            <w:r w:rsidR="009F0AA5">
              <w:rPr>
                <w:noProof/>
                <w:webHidden/>
              </w:rPr>
              <w:instrText xml:space="preserve"> PAGEREF _Toc527816488 \h </w:instrText>
            </w:r>
            <w:r>
              <w:rPr>
                <w:noProof/>
                <w:webHidden/>
              </w:rPr>
            </w:r>
            <w:r>
              <w:rPr>
                <w:noProof/>
                <w:webHidden/>
              </w:rPr>
              <w:fldChar w:fldCharType="separate"/>
            </w:r>
            <w:r w:rsidR="009F0AA5">
              <w:rPr>
                <w:noProof/>
                <w:webHidden/>
              </w:rPr>
              <w:t>29</w:t>
            </w:r>
            <w:r>
              <w:rPr>
                <w:noProof/>
                <w:webHidden/>
              </w:rPr>
              <w:fldChar w:fldCharType="end"/>
            </w:r>
          </w:hyperlink>
        </w:p>
        <w:p w:rsidR="009F0AA5" w:rsidRDefault="00F17BF7">
          <w:pPr>
            <w:pStyle w:val="TOC3"/>
            <w:tabs>
              <w:tab w:val="right" w:leader="dot" w:pos="9440"/>
            </w:tabs>
            <w:rPr>
              <w:noProof/>
            </w:rPr>
          </w:pPr>
          <w:hyperlink w:anchor="_Toc527816489" w:history="1">
            <w:r w:rsidR="009F0AA5" w:rsidRPr="00D80CDE">
              <w:rPr>
                <w:rStyle w:val="Hyperlink"/>
                <w:b/>
                <w:noProof/>
              </w:rPr>
              <w:t>Debt to Equity Ratio:</w:t>
            </w:r>
            <w:r w:rsidR="009F0AA5">
              <w:rPr>
                <w:noProof/>
                <w:webHidden/>
              </w:rPr>
              <w:tab/>
            </w:r>
            <w:r>
              <w:rPr>
                <w:noProof/>
                <w:webHidden/>
              </w:rPr>
              <w:fldChar w:fldCharType="begin"/>
            </w:r>
            <w:r w:rsidR="009F0AA5">
              <w:rPr>
                <w:noProof/>
                <w:webHidden/>
              </w:rPr>
              <w:instrText xml:space="preserve"> PAGEREF _Toc527816489 \h </w:instrText>
            </w:r>
            <w:r>
              <w:rPr>
                <w:noProof/>
                <w:webHidden/>
              </w:rPr>
            </w:r>
            <w:r>
              <w:rPr>
                <w:noProof/>
                <w:webHidden/>
              </w:rPr>
              <w:fldChar w:fldCharType="separate"/>
            </w:r>
            <w:r w:rsidR="009F0AA5">
              <w:rPr>
                <w:noProof/>
                <w:webHidden/>
              </w:rPr>
              <w:t>29</w:t>
            </w:r>
            <w:r>
              <w:rPr>
                <w:noProof/>
                <w:webHidden/>
              </w:rPr>
              <w:fldChar w:fldCharType="end"/>
            </w:r>
          </w:hyperlink>
        </w:p>
        <w:p w:rsidR="009F0AA5" w:rsidRDefault="00F17BF7">
          <w:pPr>
            <w:pStyle w:val="TOC3"/>
            <w:tabs>
              <w:tab w:val="right" w:leader="dot" w:pos="9440"/>
            </w:tabs>
            <w:rPr>
              <w:noProof/>
            </w:rPr>
          </w:pPr>
          <w:hyperlink w:anchor="_Toc527816490" w:history="1">
            <w:r w:rsidR="009F0AA5" w:rsidRPr="00D80CDE">
              <w:rPr>
                <w:rStyle w:val="Hyperlink"/>
                <w:b/>
                <w:noProof/>
              </w:rPr>
              <w:t>Debt to Total Asset:</w:t>
            </w:r>
            <w:r w:rsidR="009F0AA5">
              <w:rPr>
                <w:noProof/>
                <w:webHidden/>
              </w:rPr>
              <w:tab/>
            </w:r>
            <w:r>
              <w:rPr>
                <w:noProof/>
                <w:webHidden/>
              </w:rPr>
              <w:fldChar w:fldCharType="begin"/>
            </w:r>
            <w:r w:rsidR="009F0AA5">
              <w:rPr>
                <w:noProof/>
                <w:webHidden/>
              </w:rPr>
              <w:instrText xml:space="preserve"> PAGEREF _Toc527816490 \h </w:instrText>
            </w:r>
            <w:r>
              <w:rPr>
                <w:noProof/>
                <w:webHidden/>
              </w:rPr>
            </w:r>
            <w:r>
              <w:rPr>
                <w:noProof/>
                <w:webHidden/>
              </w:rPr>
              <w:fldChar w:fldCharType="separate"/>
            </w:r>
            <w:r w:rsidR="009F0AA5">
              <w:rPr>
                <w:noProof/>
                <w:webHidden/>
              </w:rPr>
              <w:t>30</w:t>
            </w:r>
            <w:r>
              <w:rPr>
                <w:noProof/>
                <w:webHidden/>
              </w:rPr>
              <w:fldChar w:fldCharType="end"/>
            </w:r>
          </w:hyperlink>
        </w:p>
        <w:p w:rsidR="009F0AA5" w:rsidRDefault="00F17BF7">
          <w:pPr>
            <w:pStyle w:val="TOC2"/>
            <w:tabs>
              <w:tab w:val="right" w:leader="dot" w:pos="9440"/>
            </w:tabs>
            <w:rPr>
              <w:noProof/>
            </w:rPr>
          </w:pPr>
          <w:hyperlink w:anchor="_Toc527816491" w:history="1">
            <w:r w:rsidR="009F0AA5" w:rsidRPr="00D80CDE">
              <w:rPr>
                <w:rStyle w:val="Hyperlink"/>
                <w:b/>
                <w:noProof/>
              </w:rPr>
              <w:t>Industry Average:</w:t>
            </w:r>
            <w:r w:rsidR="009F0AA5">
              <w:rPr>
                <w:noProof/>
                <w:webHidden/>
              </w:rPr>
              <w:tab/>
            </w:r>
            <w:r>
              <w:rPr>
                <w:noProof/>
                <w:webHidden/>
              </w:rPr>
              <w:fldChar w:fldCharType="begin"/>
            </w:r>
            <w:r w:rsidR="009F0AA5">
              <w:rPr>
                <w:noProof/>
                <w:webHidden/>
              </w:rPr>
              <w:instrText xml:space="preserve"> PAGEREF _Toc527816491 \h </w:instrText>
            </w:r>
            <w:r>
              <w:rPr>
                <w:noProof/>
                <w:webHidden/>
              </w:rPr>
            </w:r>
            <w:r>
              <w:rPr>
                <w:noProof/>
                <w:webHidden/>
              </w:rPr>
              <w:fldChar w:fldCharType="separate"/>
            </w:r>
            <w:r w:rsidR="009F0AA5">
              <w:rPr>
                <w:noProof/>
                <w:webHidden/>
              </w:rPr>
              <w:t>31</w:t>
            </w:r>
            <w:r>
              <w:rPr>
                <w:noProof/>
                <w:webHidden/>
              </w:rPr>
              <w:fldChar w:fldCharType="end"/>
            </w:r>
          </w:hyperlink>
        </w:p>
        <w:p w:rsidR="009F0AA5" w:rsidRDefault="00F17BF7">
          <w:pPr>
            <w:pStyle w:val="TOC1"/>
            <w:tabs>
              <w:tab w:val="right" w:leader="dot" w:pos="9440"/>
            </w:tabs>
            <w:rPr>
              <w:noProof/>
            </w:rPr>
          </w:pPr>
          <w:hyperlink w:anchor="_Toc527816492" w:history="1">
            <w:r w:rsidR="009F0AA5" w:rsidRPr="00D80CDE">
              <w:rPr>
                <w:rStyle w:val="Hyperlink"/>
                <w:b/>
                <w:noProof/>
              </w:rPr>
              <w:t>Conclusion:</w:t>
            </w:r>
            <w:r w:rsidR="009F0AA5">
              <w:rPr>
                <w:noProof/>
                <w:webHidden/>
              </w:rPr>
              <w:tab/>
            </w:r>
            <w:r>
              <w:rPr>
                <w:noProof/>
                <w:webHidden/>
              </w:rPr>
              <w:fldChar w:fldCharType="begin"/>
            </w:r>
            <w:r w:rsidR="009F0AA5">
              <w:rPr>
                <w:noProof/>
                <w:webHidden/>
              </w:rPr>
              <w:instrText xml:space="preserve"> PAGEREF _Toc527816492 \h </w:instrText>
            </w:r>
            <w:r>
              <w:rPr>
                <w:noProof/>
                <w:webHidden/>
              </w:rPr>
            </w:r>
            <w:r>
              <w:rPr>
                <w:noProof/>
                <w:webHidden/>
              </w:rPr>
              <w:fldChar w:fldCharType="separate"/>
            </w:r>
            <w:r w:rsidR="009F0AA5">
              <w:rPr>
                <w:noProof/>
                <w:webHidden/>
              </w:rPr>
              <w:t>33</w:t>
            </w:r>
            <w:r>
              <w:rPr>
                <w:noProof/>
                <w:webHidden/>
              </w:rPr>
              <w:fldChar w:fldCharType="end"/>
            </w:r>
          </w:hyperlink>
        </w:p>
        <w:p w:rsidR="009F0AA5" w:rsidRDefault="00F17BF7">
          <w:pPr>
            <w:pStyle w:val="TOC1"/>
            <w:tabs>
              <w:tab w:val="right" w:leader="dot" w:pos="9440"/>
            </w:tabs>
            <w:rPr>
              <w:noProof/>
            </w:rPr>
          </w:pPr>
          <w:hyperlink w:anchor="_Toc527816493" w:history="1">
            <w:r w:rsidR="009F0AA5" w:rsidRPr="00D80CDE">
              <w:rPr>
                <w:rStyle w:val="Hyperlink"/>
                <w:b/>
                <w:noProof/>
              </w:rPr>
              <w:t>References</w:t>
            </w:r>
            <w:r w:rsidR="009F0AA5">
              <w:rPr>
                <w:noProof/>
                <w:webHidden/>
              </w:rPr>
              <w:tab/>
            </w:r>
            <w:r>
              <w:rPr>
                <w:noProof/>
                <w:webHidden/>
              </w:rPr>
              <w:fldChar w:fldCharType="begin"/>
            </w:r>
            <w:r w:rsidR="009F0AA5">
              <w:rPr>
                <w:noProof/>
                <w:webHidden/>
              </w:rPr>
              <w:instrText xml:space="preserve"> PAGEREF _Toc527816493 \h </w:instrText>
            </w:r>
            <w:r>
              <w:rPr>
                <w:noProof/>
                <w:webHidden/>
              </w:rPr>
            </w:r>
            <w:r>
              <w:rPr>
                <w:noProof/>
                <w:webHidden/>
              </w:rPr>
              <w:fldChar w:fldCharType="separate"/>
            </w:r>
            <w:r w:rsidR="009F0AA5">
              <w:rPr>
                <w:noProof/>
                <w:webHidden/>
              </w:rPr>
              <w:t>34</w:t>
            </w:r>
            <w:r>
              <w:rPr>
                <w:noProof/>
                <w:webHidden/>
              </w:rPr>
              <w:fldChar w:fldCharType="end"/>
            </w:r>
          </w:hyperlink>
        </w:p>
        <w:p w:rsidR="009F0AA5" w:rsidRDefault="00F17BF7">
          <w:r>
            <w:fldChar w:fldCharType="end"/>
          </w:r>
        </w:p>
      </w:sdtContent>
    </w:sdt>
    <w:p w:rsidR="00A379A7" w:rsidRDefault="00A379A7">
      <w:pPr>
        <w:spacing w:line="240" w:lineRule="auto"/>
        <w:jc w:val="both"/>
        <w:rPr>
          <w:rFonts w:ascii="Times New Roman" w:hAnsi="Times New Roman" w:cs="Times New Roman"/>
          <w:sz w:val="24"/>
          <w:szCs w:val="24"/>
        </w:rPr>
      </w:pPr>
    </w:p>
    <w:p w:rsidR="004071F0" w:rsidRDefault="004071F0" w:rsidP="004071F0">
      <w:pPr>
        <w:jc w:val="both"/>
        <w:rPr>
          <w:rFonts w:ascii="Times New Roman" w:eastAsia="Times New Roman" w:hAnsi="Times New Roman"/>
          <w:b/>
          <w:sz w:val="24"/>
          <w:szCs w:val="24"/>
        </w:rPr>
      </w:pPr>
      <w:bookmarkStart w:id="1" w:name="_GoBack"/>
      <w:bookmarkEnd w:id="1"/>
    </w:p>
    <w:p w:rsidR="004071F0" w:rsidRDefault="004071F0" w:rsidP="004071F0">
      <w:pPr>
        <w:jc w:val="both"/>
        <w:rPr>
          <w:rFonts w:ascii="Times New Roman" w:eastAsia="Times New Roman" w:hAnsi="Times New Roman"/>
          <w:b/>
          <w:sz w:val="24"/>
          <w:szCs w:val="24"/>
        </w:rPr>
      </w:pPr>
    </w:p>
    <w:p w:rsidR="004071F0" w:rsidRDefault="004071F0"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EE7BDA" w:rsidRDefault="00EE7BDA" w:rsidP="004071F0">
      <w:pPr>
        <w:jc w:val="both"/>
        <w:rPr>
          <w:rFonts w:ascii="Times New Roman" w:eastAsia="Times New Roman" w:hAnsi="Times New Roman"/>
          <w:b/>
          <w:sz w:val="24"/>
          <w:szCs w:val="24"/>
        </w:rPr>
      </w:pPr>
    </w:p>
    <w:p w:rsidR="00C4726E" w:rsidRPr="007071E7" w:rsidRDefault="00C4726E" w:rsidP="007071E7">
      <w:pPr>
        <w:pStyle w:val="Heading1"/>
        <w:jc w:val="center"/>
        <w:rPr>
          <w:b/>
          <w:u w:val="single"/>
        </w:rPr>
      </w:pPr>
      <w:bookmarkStart w:id="2" w:name="_Toc527816454"/>
      <w:r w:rsidRPr="007071E7">
        <w:rPr>
          <w:b/>
          <w:u w:val="single"/>
        </w:rPr>
        <w:lastRenderedPageBreak/>
        <w:t>Executive Summery</w:t>
      </w:r>
      <w:bookmarkEnd w:id="2"/>
    </w:p>
    <w:p w:rsidR="00C4726E" w:rsidRDefault="00C4726E" w:rsidP="00C4726E">
      <w:pPr>
        <w:spacing w:line="240" w:lineRule="auto"/>
        <w:jc w:val="both"/>
        <w:rPr>
          <w:rFonts w:ascii="Times New Roman" w:hAnsi="Times New Roman" w:cs="Times New Roman"/>
          <w:sz w:val="24"/>
          <w:szCs w:val="24"/>
        </w:rPr>
      </w:pPr>
    </w:p>
    <w:p w:rsidR="00C4726E" w:rsidRPr="00166C31" w:rsidRDefault="00011E62" w:rsidP="00687D59">
      <w:pPr>
        <w:spacing w:line="360" w:lineRule="auto"/>
        <w:jc w:val="both"/>
        <w:rPr>
          <w:rFonts w:ascii="Times New Roman" w:hAnsi="Times New Roman" w:cs="Times New Roman"/>
          <w:sz w:val="24"/>
          <w:szCs w:val="24"/>
        </w:rPr>
      </w:pPr>
      <w:r w:rsidRPr="00166C31">
        <w:rPr>
          <w:rFonts w:ascii="Times New Roman" w:hAnsi="Times New Roman" w:cs="Times New Roman"/>
          <w:sz w:val="24"/>
          <w:szCs w:val="24"/>
        </w:rPr>
        <w:t>Performance analysis is very important for a company or a business or a individual. Because every organization want to know about it performance whether they are doing good or not, whether they are going with international standard or not. To calculate or to know about performance of a company there are few tools or formulas available. By using these tools it can be possible to analyze an organizations performance. By doing this analysis it can</w:t>
      </w:r>
      <w:r w:rsidR="00F65244">
        <w:rPr>
          <w:rFonts w:ascii="Times New Roman" w:hAnsi="Times New Roman" w:cs="Times New Roman"/>
          <w:sz w:val="24"/>
          <w:szCs w:val="24"/>
        </w:rPr>
        <w:t xml:space="preserve"> be</w:t>
      </w:r>
      <w:r w:rsidRPr="00166C31">
        <w:rPr>
          <w:rFonts w:ascii="Times New Roman" w:hAnsi="Times New Roman" w:cs="Times New Roman"/>
          <w:sz w:val="24"/>
          <w:szCs w:val="24"/>
        </w:rPr>
        <w:t xml:space="preserve"> understand how a company </w:t>
      </w:r>
      <w:r w:rsidR="00687D59" w:rsidRPr="00166C31">
        <w:rPr>
          <w:rFonts w:ascii="Times New Roman" w:hAnsi="Times New Roman" w:cs="Times New Roman"/>
          <w:sz w:val="24"/>
          <w:szCs w:val="24"/>
        </w:rPr>
        <w:t>manages</w:t>
      </w:r>
      <w:r w:rsidRPr="00166C31">
        <w:rPr>
          <w:rFonts w:ascii="Times New Roman" w:hAnsi="Times New Roman" w:cs="Times New Roman"/>
          <w:sz w:val="24"/>
          <w:szCs w:val="24"/>
        </w:rPr>
        <w:t xml:space="preserve"> its asset, equity, or how revenues generates, how debt or liabilities are handled, what is</w:t>
      </w:r>
      <w:r w:rsidR="00F65244">
        <w:rPr>
          <w:rFonts w:ascii="Times New Roman" w:hAnsi="Times New Roman" w:cs="Times New Roman"/>
          <w:sz w:val="24"/>
          <w:szCs w:val="24"/>
        </w:rPr>
        <w:t xml:space="preserve"> the</w:t>
      </w:r>
      <w:r w:rsidRPr="00166C31">
        <w:rPr>
          <w:rFonts w:ascii="Times New Roman" w:hAnsi="Times New Roman" w:cs="Times New Roman"/>
          <w:sz w:val="24"/>
          <w:szCs w:val="24"/>
        </w:rPr>
        <w:t xml:space="preserve"> proportion of debt and asset etc. </w:t>
      </w:r>
      <w:r w:rsidR="009A5DC0" w:rsidRPr="00166C31">
        <w:rPr>
          <w:rFonts w:ascii="Times New Roman" w:hAnsi="Times New Roman" w:cs="Times New Roman"/>
          <w:sz w:val="24"/>
          <w:szCs w:val="24"/>
        </w:rPr>
        <w:t xml:space="preserve">I am assigned to do Linde Bangladesh Limited’s performance </w:t>
      </w:r>
      <w:r w:rsidR="00687D59" w:rsidRPr="00166C31">
        <w:rPr>
          <w:rFonts w:ascii="Times New Roman" w:hAnsi="Times New Roman" w:cs="Times New Roman"/>
          <w:sz w:val="24"/>
          <w:szCs w:val="24"/>
        </w:rPr>
        <w:t>analysis</w:t>
      </w:r>
      <w:r w:rsidR="00F65244">
        <w:rPr>
          <w:rFonts w:ascii="Times New Roman" w:hAnsi="Times New Roman" w:cs="Times New Roman"/>
          <w:sz w:val="24"/>
          <w:szCs w:val="24"/>
        </w:rPr>
        <w:t xml:space="preserve"> and I</w:t>
      </w:r>
      <w:r w:rsidR="009A5DC0" w:rsidRPr="00166C31">
        <w:rPr>
          <w:rFonts w:ascii="Times New Roman" w:hAnsi="Times New Roman" w:cs="Times New Roman"/>
          <w:sz w:val="24"/>
          <w:szCs w:val="24"/>
        </w:rPr>
        <w:t xml:space="preserve"> have selected to do my </w:t>
      </w:r>
      <w:r w:rsidR="00687D59" w:rsidRPr="00166C31">
        <w:rPr>
          <w:rFonts w:ascii="Times New Roman" w:hAnsi="Times New Roman" w:cs="Times New Roman"/>
          <w:sz w:val="24"/>
          <w:szCs w:val="24"/>
        </w:rPr>
        <w:t>internship</w:t>
      </w:r>
      <w:r w:rsidR="009A5DC0" w:rsidRPr="00166C31">
        <w:rPr>
          <w:rFonts w:ascii="Times New Roman" w:hAnsi="Times New Roman" w:cs="Times New Roman"/>
          <w:sz w:val="24"/>
          <w:szCs w:val="24"/>
        </w:rPr>
        <w:t xml:space="preserve"> in this company for three months. There I have learned how to deal with shareholders, how to issue duplicate shares, how demat share, how company issues dividends etc. For this performance analysis of Linde I have tried to collect related information as much as possible. I have talked to employees of Linde about breakdown any information and also this report. So for performance analysis I have select two years that is 2016 and 2017. I have collected Linde’s annual report and income statement of 2016 and 2017 and other related information. </w:t>
      </w:r>
      <w:r w:rsidR="00F9219F" w:rsidRPr="00166C31">
        <w:rPr>
          <w:rFonts w:ascii="Times New Roman" w:hAnsi="Times New Roman" w:cs="Times New Roman"/>
          <w:sz w:val="24"/>
          <w:szCs w:val="24"/>
        </w:rPr>
        <w:t xml:space="preserve">Then I have listed some ratios formula and calculate with Linde’s value. This is how I have calculated all the </w:t>
      </w:r>
      <w:r w:rsidR="00687D59" w:rsidRPr="00166C31">
        <w:rPr>
          <w:rFonts w:ascii="Times New Roman" w:hAnsi="Times New Roman" w:cs="Times New Roman"/>
          <w:sz w:val="24"/>
          <w:szCs w:val="24"/>
        </w:rPr>
        <w:t>ratios</w:t>
      </w:r>
      <w:r w:rsidR="00F9219F" w:rsidRPr="00166C31">
        <w:rPr>
          <w:rFonts w:ascii="Times New Roman" w:hAnsi="Times New Roman" w:cs="Times New Roman"/>
          <w:sz w:val="24"/>
          <w:szCs w:val="24"/>
        </w:rPr>
        <w:t xml:space="preserve"> I needed then I have compared values with two selected years. I have came </w:t>
      </w:r>
      <w:r w:rsidR="003B72B4" w:rsidRPr="00166C31">
        <w:rPr>
          <w:rFonts w:ascii="Times New Roman" w:hAnsi="Times New Roman" w:cs="Times New Roman"/>
          <w:sz w:val="24"/>
          <w:szCs w:val="24"/>
        </w:rPr>
        <w:t>out</w:t>
      </w:r>
      <w:r w:rsidR="00F9219F" w:rsidRPr="00166C31">
        <w:rPr>
          <w:rFonts w:ascii="Times New Roman" w:hAnsi="Times New Roman" w:cs="Times New Roman"/>
          <w:sz w:val="24"/>
          <w:szCs w:val="24"/>
        </w:rPr>
        <w:t xml:space="preserve"> with positive and negative variances that will help me to see the progress of Linde from 2016 to 2017. </w:t>
      </w:r>
      <w:r w:rsidR="002071AC" w:rsidRPr="00166C31">
        <w:rPr>
          <w:rFonts w:ascii="Times New Roman" w:hAnsi="Times New Roman" w:cs="Times New Roman"/>
          <w:sz w:val="24"/>
          <w:szCs w:val="24"/>
        </w:rPr>
        <w:t>And lastly I have compared the ratios with industry average.</w:t>
      </w:r>
    </w:p>
    <w:p w:rsidR="00687D59" w:rsidRPr="00166C31" w:rsidRDefault="00687D59" w:rsidP="00687D59">
      <w:pPr>
        <w:spacing w:line="360" w:lineRule="auto"/>
        <w:jc w:val="both"/>
        <w:rPr>
          <w:rFonts w:ascii="Times New Roman" w:hAnsi="Times New Roman" w:cs="Times New Roman"/>
          <w:sz w:val="24"/>
          <w:szCs w:val="24"/>
        </w:rPr>
      </w:pPr>
      <w:r w:rsidRPr="00166C31">
        <w:rPr>
          <w:rFonts w:ascii="Times New Roman" w:hAnsi="Times New Roman" w:cs="Times New Roman"/>
          <w:sz w:val="24"/>
          <w:szCs w:val="24"/>
        </w:rPr>
        <w:t>Linde is multinational company, so this company has huge information and complexity. I have analysis with</w:t>
      </w:r>
      <w:r w:rsidR="00F65244">
        <w:rPr>
          <w:rFonts w:ascii="Times New Roman" w:hAnsi="Times New Roman" w:cs="Times New Roman"/>
          <w:sz w:val="24"/>
          <w:szCs w:val="24"/>
        </w:rPr>
        <w:t xml:space="preserve"> limited information. Though having limited </w:t>
      </w:r>
      <w:r w:rsidR="007F7B68">
        <w:rPr>
          <w:rFonts w:ascii="Times New Roman" w:hAnsi="Times New Roman" w:cs="Times New Roman"/>
          <w:sz w:val="24"/>
          <w:szCs w:val="24"/>
        </w:rPr>
        <w:t>resources I have donr</w:t>
      </w:r>
      <w:r w:rsidR="00F65244">
        <w:rPr>
          <w:rFonts w:ascii="Times New Roman" w:hAnsi="Times New Roman" w:cs="Times New Roman"/>
          <w:sz w:val="24"/>
          <w:szCs w:val="24"/>
        </w:rPr>
        <w:t xml:space="preserve"> this report and tried to make </w:t>
      </w:r>
      <w:r w:rsidR="007931CD">
        <w:rPr>
          <w:rFonts w:ascii="Times New Roman" w:hAnsi="Times New Roman" w:cs="Times New Roman"/>
          <w:sz w:val="24"/>
          <w:szCs w:val="24"/>
        </w:rPr>
        <w:t xml:space="preserve">it as much correct as possible. Overall I </w:t>
      </w:r>
      <w:r w:rsidR="00F65244">
        <w:rPr>
          <w:rFonts w:ascii="Times New Roman" w:hAnsi="Times New Roman" w:cs="Times New Roman"/>
          <w:sz w:val="24"/>
          <w:szCs w:val="24"/>
        </w:rPr>
        <w:t>can</w:t>
      </w:r>
      <w:r w:rsidRPr="00166C31">
        <w:rPr>
          <w:rFonts w:ascii="Times New Roman" w:hAnsi="Times New Roman" w:cs="Times New Roman"/>
          <w:sz w:val="24"/>
          <w:szCs w:val="24"/>
        </w:rPr>
        <w:t xml:space="preserve"> see that almost results are preferable for the company and industry. </w:t>
      </w:r>
    </w:p>
    <w:p w:rsidR="00C4726E" w:rsidRDefault="00C4726E">
      <w:pPr>
        <w:spacing w:after="200" w:line="276" w:lineRule="auto"/>
        <w:rPr>
          <w:rFonts w:ascii="Times New Roman" w:eastAsia="Times New Roman" w:hAnsi="Times New Roman" w:cs="Times New Roman"/>
          <w:b/>
          <w:color w:val="003399"/>
          <w:sz w:val="28"/>
          <w:u w:val="single"/>
        </w:rPr>
      </w:pPr>
    </w:p>
    <w:p w:rsidR="00A379A7" w:rsidRDefault="00A379A7">
      <w:pPr>
        <w:keepNext/>
        <w:keepLines/>
        <w:spacing w:before="200" w:after="0" w:line="240" w:lineRule="auto"/>
        <w:jc w:val="both"/>
        <w:rPr>
          <w:rFonts w:ascii="Times New Roman" w:eastAsia="Times New Roman" w:hAnsi="Times New Roman" w:cs="Times New Roman"/>
          <w:b/>
          <w:color w:val="003399"/>
          <w:sz w:val="28"/>
          <w:u w:val="single"/>
        </w:rPr>
      </w:pPr>
    </w:p>
    <w:p w:rsidR="00C4726E" w:rsidRDefault="00C4726E">
      <w:pPr>
        <w:spacing w:after="0" w:line="240" w:lineRule="auto"/>
        <w:jc w:val="both"/>
        <w:rPr>
          <w:rFonts w:ascii="Times New Roman" w:eastAsia="Times New Roman" w:hAnsi="Times New Roman"/>
          <w:b/>
          <w:sz w:val="80"/>
          <w:szCs w:val="80"/>
        </w:rPr>
      </w:pPr>
    </w:p>
    <w:p w:rsidR="00A379A7" w:rsidRPr="00166C31" w:rsidRDefault="001418D9" w:rsidP="00166C31">
      <w:pPr>
        <w:pStyle w:val="Heading1"/>
        <w:rPr>
          <w:rFonts w:eastAsia="Times New Roman"/>
          <w:b/>
          <w:color w:val="1F497D" w:themeColor="text2"/>
        </w:rPr>
      </w:pPr>
      <w:bookmarkStart w:id="3" w:name="_Toc527816455"/>
      <w:r w:rsidRPr="00166C31">
        <w:rPr>
          <w:rFonts w:eastAsia="Times New Roman"/>
          <w:b/>
          <w:color w:val="1F497D" w:themeColor="text2"/>
          <w:u w:val="single"/>
        </w:rPr>
        <w:lastRenderedPageBreak/>
        <w:t>Introduction</w:t>
      </w:r>
      <w:r w:rsidR="006737EC" w:rsidRPr="00166C31">
        <w:rPr>
          <w:rFonts w:eastAsia="Times New Roman"/>
          <w:b/>
          <w:color w:val="1F497D" w:themeColor="text2"/>
        </w:rPr>
        <w:t>:</w:t>
      </w:r>
      <w:bookmarkEnd w:id="3"/>
    </w:p>
    <w:p w:rsidR="000A070E" w:rsidRPr="00613A3D" w:rsidRDefault="000A070E" w:rsidP="001E5B99">
      <w:pPr>
        <w:spacing w:line="360" w:lineRule="auto"/>
        <w:jc w:val="both"/>
        <w:rPr>
          <w:rFonts w:ascii="Times New Roman" w:hAnsi="Times New Roman" w:cs="Times New Roman"/>
          <w:sz w:val="24"/>
          <w:szCs w:val="24"/>
        </w:rPr>
      </w:pPr>
      <w:r w:rsidRPr="00613A3D">
        <w:rPr>
          <w:rFonts w:ascii="Times New Roman" w:hAnsi="Times New Roman" w:cs="Times New Roman"/>
          <w:sz w:val="24"/>
          <w:szCs w:val="24"/>
        </w:rPr>
        <w:t xml:space="preserve">I am Naznin Ahmed student of United </w:t>
      </w:r>
      <w:r w:rsidR="009F0AA5" w:rsidRPr="00613A3D">
        <w:rPr>
          <w:rFonts w:ascii="Times New Roman" w:hAnsi="Times New Roman" w:cs="Times New Roman"/>
          <w:sz w:val="24"/>
          <w:szCs w:val="24"/>
        </w:rPr>
        <w:t>International</w:t>
      </w:r>
      <w:r w:rsidRPr="00613A3D">
        <w:rPr>
          <w:rFonts w:ascii="Times New Roman" w:hAnsi="Times New Roman" w:cs="Times New Roman"/>
          <w:sz w:val="24"/>
          <w:szCs w:val="24"/>
        </w:rPr>
        <w:t xml:space="preserve"> University. I am doing BBA in AIS. For completing this program I need submit a internship report on “Performance analysis of Linde Bangladesh Limited”. I will submit this report to</w:t>
      </w:r>
      <w:r w:rsidR="008057F5">
        <w:rPr>
          <w:rFonts w:ascii="Times New Roman" w:hAnsi="Times New Roman" w:cs="Times New Roman"/>
          <w:sz w:val="24"/>
          <w:szCs w:val="24"/>
        </w:rPr>
        <w:t xml:space="preserve"> Dr</w:t>
      </w:r>
      <w:r w:rsidR="005771F1" w:rsidRPr="00613A3D">
        <w:rPr>
          <w:rFonts w:ascii="Times New Roman" w:hAnsi="Times New Roman" w:cs="Times New Roman"/>
          <w:sz w:val="24"/>
          <w:szCs w:val="24"/>
        </w:rPr>
        <w:t>.</w:t>
      </w:r>
      <w:r w:rsidRPr="00613A3D">
        <w:rPr>
          <w:rFonts w:ascii="Times New Roman" w:hAnsi="Times New Roman" w:cs="Times New Roman"/>
          <w:sz w:val="24"/>
          <w:szCs w:val="24"/>
        </w:rPr>
        <w:t xml:space="preserve"> James Bakul Sarkar, who is my supervisor. For this internship report I have been joined as an intern at Linde. I have been there for three months. As I have to make this report so I needed to collect information, data, etc which I have collected from Linde company. </w:t>
      </w:r>
    </w:p>
    <w:p w:rsidR="003732AA" w:rsidRPr="00166C31" w:rsidRDefault="005771F1" w:rsidP="00166C31">
      <w:pPr>
        <w:pStyle w:val="Heading1"/>
        <w:rPr>
          <w:rFonts w:eastAsia="Times New Roman"/>
          <w:b/>
          <w:color w:val="1F497D" w:themeColor="text2"/>
          <w:u w:val="single"/>
        </w:rPr>
      </w:pPr>
      <w:bookmarkStart w:id="4" w:name="_Toc527816456"/>
      <w:r w:rsidRPr="00166C31">
        <w:rPr>
          <w:rFonts w:eastAsia="Times New Roman"/>
          <w:b/>
          <w:color w:val="1F497D" w:themeColor="text2"/>
          <w:u w:val="single"/>
        </w:rPr>
        <w:t>Background:</w:t>
      </w:r>
      <w:bookmarkEnd w:id="4"/>
    </w:p>
    <w:p w:rsidR="005771F1" w:rsidRPr="00613A3D" w:rsidRDefault="005771F1" w:rsidP="001E5B99">
      <w:pPr>
        <w:spacing w:after="0" w:line="360" w:lineRule="auto"/>
        <w:jc w:val="both"/>
        <w:rPr>
          <w:rFonts w:ascii="Times New Roman" w:eastAsia="Times New Roman" w:hAnsi="Times New Roman" w:cs="Times New Roman"/>
          <w:color w:val="000000" w:themeColor="text1"/>
          <w:sz w:val="24"/>
          <w:szCs w:val="24"/>
        </w:rPr>
      </w:pPr>
      <w:r w:rsidRPr="00613A3D">
        <w:rPr>
          <w:rFonts w:ascii="Times New Roman" w:eastAsia="Times New Roman" w:hAnsi="Times New Roman" w:cs="Times New Roman"/>
          <w:color w:val="000000" w:themeColor="text1"/>
          <w:sz w:val="24"/>
          <w:szCs w:val="24"/>
        </w:rPr>
        <w:t xml:space="preserve">In this report Performance analysis of Linde </w:t>
      </w:r>
      <w:r w:rsidR="009F0AA5" w:rsidRPr="00613A3D">
        <w:rPr>
          <w:rFonts w:ascii="Times New Roman" w:eastAsia="Times New Roman" w:hAnsi="Times New Roman" w:cs="Times New Roman"/>
          <w:color w:val="000000" w:themeColor="text1"/>
          <w:sz w:val="24"/>
          <w:szCs w:val="24"/>
        </w:rPr>
        <w:t>Bangladesh</w:t>
      </w:r>
      <w:r w:rsidRPr="00613A3D">
        <w:rPr>
          <w:rFonts w:ascii="Times New Roman" w:eastAsia="Times New Roman" w:hAnsi="Times New Roman" w:cs="Times New Roman"/>
          <w:color w:val="000000" w:themeColor="text1"/>
          <w:sz w:val="24"/>
          <w:szCs w:val="24"/>
        </w:rPr>
        <w:t xml:space="preserve"> has been showed. By this report I want to analyze Linde’s performance and compare the results with its previous year and also with</w:t>
      </w:r>
      <w:r w:rsidR="008057F5">
        <w:rPr>
          <w:rFonts w:ascii="Times New Roman" w:eastAsia="Times New Roman" w:hAnsi="Times New Roman" w:cs="Times New Roman"/>
          <w:color w:val="000000" w:themeColor="text1"/>
          <w:sz w:val="24"/>
          <w:szCs w:val="24"/>
        </w:rPr>
        <w:t xml:space="preserve"> industry average</w:t>
      </w:r>
      <w:r w:rsidRPr="00613A3D">
        <w:rPr>
          <w:rFonts w:ascii="Times New Roman" w:eastAsia="Times New Roman" w:hAnsi="Times New Roman" w:cs="Times New Roman"/>
          <w:color w:val="000000" w:themeColor="text1"/>
          <w:sz w:val="24"/>
          <w:szCs w:val="24"/>
        </w:rPr>
        <w:t>. According to this report, the analysis may show the real picture of Linde’s performance.</w:t>
      </w:r>
    </w:p>
    <w:p w:rsidR="003732AA" w:rsidRPr="00166C31" w:rsidRDefault="003732AA" w:rsidP="00166C31">
      <w:pPr>
        <w:pStyle w:val="Heading1"/>
        <w:rPr>
          <w:rFonts w:eastAsia="Times New Roman"/>
          <w:b/>
          <w:color w:val="1F497D" w:themeColor="text2"/>
          <w:u w:val="single"/>
        </w:rPr>
      </w:pPr>
      <w:bookmarkStart w:id="5" w:name="_Toc527816457"/>
      <w:r w:rsidRPr="00166C31">
        <w:rPr>
          <w:rFonts w:eastAsia="Times New Roman"/>
          <w:b/>
          <w:color w:val="1F497D" w:themeColor="text2"/>
          <w:u w:val="single"/>
        </w:rPr>
        <w:t>Limitations:</w:t>
      </w:r>
      <w:bookmarkEnd w:id="5"/>
    </w:p>
    <w:p w:rsidR="001E5B99" w:rsidRPr="00AA04CD" w:rsidRDefault="003732AA" w:rsidP="00AA04CD">
      <w:pPr>
        <w:spacing w:after="0" w:line="360" w:lineRule="auto"/>
        <w:jc w:val="both"/>
        <w:rPr>
          <w:rFonts w:ascii="Times New Roman" w:eastAsia="Times New Roman" w:hAnsi="Times New Roman" w:cs="Times New Roman"/>
          <w:color w:val="000000" w:themeColor="text1"/>
          <w:sz w:val="24"/>
          <w:szCs w:val="24"/>
        </w:rPr>
      </w:pPr>
      <w:r w:rsidRPr="00613A3D">
        <w:rPr>
          <w:rFonts w:ascii="Times New Roman" w:eastAsia="Times New Roman" w:hAnsi="Times New Roman" w:cs="Times New Roman"/>
          <w:color w:val="000000" w:themeColor="text1"/>
          <w:sz w:val="24"/>
          <w:szCs w:val="24"/>
        </w:rPr>
        <w:t xml:space="preserve">This study may not be perfect as there was lack of internal </w:t>
      </w:r>
      <w:r w:rsidR="009F0AA5" w:rsidRPr="00613A3D">
        <w:rPr>
          <w:rFonts w:ascii="Times New Roman" w:eastAsia="Times New Roman" w:hAnsi="Times New Roman" w:cs="Times New Roman"/>
          <w:color w:val="000000" w:themeColor="text1"/>
          <w:sz w:val="24"/>
          <w:szCs w:val="24"/>
        </w:rPr>
        <w:t>information</w:t>
      </w:r>
      <w:r w:rsidRPr="00613A3D">
        <w:rPr>
          <w:rFonts w:ascii="Times New Roman" w:eastAsia="Times New Roman" w:hAnsi="Times New Roman" w:cs="Times New Roman"/>
          <w:color w:val="000000" w:themeColor="text1"/>
          <w:sz w:val="24"/>
          <w:szCs w:val="24"/>
        </w:rPr>
        <w:t xml:space="preserve"> and time. And this is </w:t>
      </w:r>
      <w:r w:rsidR="00166C31" w:rsidRPr="00613A3D">
        <w:rPr>
          <w:rFonts w:ascii="Times New Roman" w:eastAsia="Times New Roman" w:hAnsi="Times New Roman" w:cs="Times New Roman"/>
          <w:color w:val="000000" w:themeColor="text1"/>
          <w:sz w:val="24"/>
          <w:szCs w:val="24"/>
        </w:rPr>
        <w:t>based</w:t>
      </w:r>
      <w:r w:rsidRPr="00613A3D">
        <w:rPr>
          <w:rFonts w:ascii="Times New Roman" w:eastAsia="Times New Roman" w:hAnsi="Times New Roman" w:cs="Times New Roman"/>
          <w:color w:val="000000" w:themeColor="text1"/>
          <w:sz w:val="24"/>
          <w:szCs w:val="24"/>
        </w:rPr>
        <w:t xml:space="preserve"> on some basic information and formulas. So there might not any details analysis of Linde</w:t>
      </w:r>
      <w:r w:rsidRPr="00613A3D">
        <w:rPr>
          <w:rFonts w:ascii="Times New Roman" w:eastAsia="Times New Roman" w:hAnsi="Times New Roman" w:cs="Times New Roman"/>
          <w:color w:val="0033CC"/>
          <w:sz w:val="24"/>
          <w:szCs w:val="24"/>
        </w:rPr>
        <w:t>.</w:t>
      </w:r>
    </w:p>
    <w:p w:rsidR="00AA04CD" w:rsidRPr="00AA04CD" w:rsidRDefault="00AA04CD" w:rsidP="00AA04CD">
      <w:pPr>
        <w:pStyle w:val="Heading1"/>
        <w:rPr>
          <w:b/>
          <w:u w:val="single"/>
        </w:rPr>
      </w:pPr>
      <w:bookmarkStart w:id="6" w:name="_Toc527816458"/>
      <w:r w:rsidRPr="00AA04CD">
        <w:rPr>
          <w:b/>
          <w:szCs w:val="32"/>
          <w:u w:val="single"/>
        </w:rPr>
        <w:t>Organizational Background:</w:t>
      </w:r>
      <w:bookmarkEnd w:id="6"/>
    </w:p>
    <w:p w:rsidR="00371E12" w:rsidRPr="00166C31" w:rsidRDefault="00371E12" w:rsidP="00166C31">
      <w:pPr>
        <w:pStyle w:val="Heading1"/>
        <w:rPr>
          <w:rFonts w:eastAsia="Times New Roman"/>
          <w:b/>
          <w:color w:val="1F497D" w:themeColor="text2"/>
          <w:u w:val="single"/>
        </w:rPr>
      </w:pPr>
      <w:bookmarkStart w:id="7" w:name="_Toc527816459"/>
      <w:r w:rsidRPr="00166C31">
        <w:rPr>
          <w:rFonts w:eastAsia="Times New Roman"/>
          <w:b/>
          <w:color w:val="1F497D" w:themeColor="text2"/>
          <w:u w:val="single"/>
        </w:rPr>
        <w:t>History:</w:t>
      </w:r>
      <w:bookmarkEnd w:id="7"/>
    </w:p>
    <w:p w:rsidR="000B18DA" w:rsidRPr="00613A3D" w:rsidRDefault="000B18DA" w:rsidP="001E5B99">
      <w:pPr>
        <w:spacing w:before="100" w:after="100" w:line="360" w:lineRule="auto"/>
        <w:jc w:val="both"/>
        <w:rPr>
          <w:rFonts w:ascii="Times New Roman" w:eastAsia="Times New Roman" w:hAnsi="Times New Roman" w:cs="Times New Roman"/>
          <w:b/>
          <w:sz w:val="24"/>
          <w:szCs w:val="24"/>
        </w:rPr>
      </w:pPr>
      <w:r w:rsidRPr="00613A3D">
        <w:rPr>
          <w:rFonts w:ascii="Times New Roman" w:eastAsia="Times New Roman" w:hAnsi="Times New Roman" w:cs="Times New Roman"/>
          <w:sz w:val="24"/>
          <w:szCs w:val="24"/>
        </w:rPr>
        <w:t xml:space="preserve">Linde Bangladesh Limited is one of the famous gas and engineering company of The Linde Group in the world. </w:t>
      </w:r>
      <w:r w:rsidR="00920FB7" w:rsidRPr="00613A3D">
        <w:rPr>
          <w:rFonts w:ascii="Times New Roman" w:eastAsia="Times New Roman" w:hAnsi="Times New Roman" w:cs="Times New Roman"/>
          <w:sz w:val="24"/>
          <w:szCs w:val="24"/>
        </w:rPr>
        <w:t>Gases are</w:t>
      </w:r>
      <w:r w:rsidRPr="00613A3D">
        <w:rPr>
          <w:rFonts w:ascii="Times New Roman" w:eastAsia="Times New Roman" w:hAnsi="Times New Roman" w:cs="Times New Roman"/>
          <w:sz w:val="24"/>
          <w:szCs w:val="24"/>
        </w:rPr>
        <w:t xml:space="preserve"> the most profitable companies. Its products and services can be found in most of the industries. In more than 100 countries Linde group has companies over 600. This group has three divisions such as Industrial gases, healthcare, </w:t>
      </w:r>
      <w:r w:rsidR="00920FB7" w:rsidRPr="00613A3D">
        <w:rPr>
          <w:rFonts w:ascii="Times New Roman" w:eastAsia="Times New Roman" w:hAnsi="Times New Roman" w:cs="Times New Roman"/>
          <w:sz w:val="24"/>
          <w:szCs w:val="24"/>
        </w:rPr>
        <w:t>engineering</w:t>
      </w:r>
      <w:r w:rsidRPr="00613A3D">
        <w:rPr>
          <w:rFonts w:ascii="Times New Roman" w:eastAsia="Times New Roman" w:hAnsi="Times New Roman" w:cs="Times New Roman"/>
          <w:sz w:val="24"/>
          <w:szCs w:val="24"/>
        </w:rPr>
        <w:t xml:space="preserve">. This group has prepared strategy for </w:t>
      </w:r>
      <w:r w:rsidR="00920FB7" w:rsidRPr="00613A3D">
        <w:rPr>
          <w:rFonts w:ascii="Times New Roman" w:eastAsia="Times New Roman" w:hAnsi="Times New Roman" w:cs="Times New Roman"/>
          <w:sz w:val="24"/>
          <w:szCs w:val="24"/>
        </w:rPr>
        <w:t>extended</w:t>
      </w:r>
      <w:r w:rsidRPr="00613A3D">
        <w:rPr>
          <w:rFonts w:ascii="Times New Roman" w:eastAsia="Times New Roman" w:hAnsi="Times New Roman" w:cs="Times New Roman"/>
          <w:sz w:val="24"/>
          <w:szCs w:val="24"/>
        </w:rPr>
        <w:t xml:space="preserve"> outgrowth and concentrates on progression of its business.</w:t>
      </w:r>
      <w:r w:rsidR="001A7FF2" w:rsidRPr="00613A3D">
        <w:rPr>
          <w:rFonts w:ascii="Times New Roman" w:eastAsia="Times New Roman" w:hAnsi="Times New Roman" w:cs="Times New Roman"/>
          <w:sz w:val="24"/>
          <w:szCs w:val="24"/>
        </w:rPr>
        <w:t xml:space="preserve"> Linde is very responsible to their customers, employees, shareholders, vendors and to everyone related to this </w:t>
      </w:r>
      <w:r w:rsidR="00920FB7" w:rsidRPr="00613A3D">
        <w:rPr>
          <w:rFonts w:ascii="Times New Roman" w:eastAsia="Times New Roman" w:hAnsi="Times New Roman" w:cs="Times New Roman"/>
          <w:sz w:val="24"/>
          <w:szCs w:val="24"/>
        </w:rPr>
        <w:t>group. This group always produces or serves</w:t>
      </w:r>
      <w:r w:rsidR="001A7FF2" w:rsidRPr="00613A3D">
        <w:rPr>
          <w:rFonts w:ascii="Times New Roman" w:eastAsia="Times New Roman" w:hAnsi="Times New Roman" w:cs="Times New Roman"/>
          <w:sz w:val="24"/>
          <w:szCs w:val="24"/>
        </w:rPr>
        <w:t xml:space="preserve"> quality to their </w:t>
      </w:r>
      <w:r w:rsidR="00920FB7" w:rsidRPr="00613A3D">
        <w:rPr>
          <w:rFonts w:ascii="Times New Roman" w:eastAsia="Times New Roman" w:hAnsi="Times New Roman" w:cs="Times New Roman"/>
          <w:sz w:val="24"/>
          <w:szCs w:val="24"/>
        </w:rPr>
        <w:t>customers</w:t>
      </w:r>
      <w:r w:rsidR="001A7FF2" w:rsidRPr="00613A3D">
        <w:rPr>
          <w:rFonts w:ascii="Times New Roman" w:eastAsia="Times New Roman" w:hAnsi="Times New Roman" w:cs="Times New Roman"/>
          <w:sz w:val="24"/>
          <w:szCs w:val="24"/>
        </w:rPr>
        <w:t>. The very big and profitable industry Gases play a important role in most of the sector of various industries</w:t>
      </w:r>
      <w:r w:rsidR="001A7FF2" w:rsidRPr="00613A3D">
        <w:rPr>
          <w:rFonts w:ascii="Times New Roman" w:eastAsia="Times New Roman" w:hAnsi="Times New Roman" w:cs="Times New Roman"/>
          <w:b/>
          <w:sz w:val="24"/>
          <w:szCs w:val="24"/>
        </w:rPr>
        <w:t>.</w:t>
      </w:r>
    </w:p>
    <w:p w:rsidR="001A7FF2" w:rsidRDefault="001A7FF2" w:rsidP="001E5B99">
      <w:pPr>
        <w:spacing w:before="100" w:after="100" w:line="360" w:lineRule="auto"/>
        <w:jc w:val="both"/>
        <w:rPr>
          <w:rFonts w:ascii="Times New Roman" w:eastAsia="Times New Roman" w:hAnsi="Times New Roman"/>
          <w:b/>
          <w:sz w:val="24"/>
        </w:rPr>
      </w:pPr>
      <w:r w:rsidRPr="00613A3D">
        <w:rPr>
          <w:rFonts w:ascii="Times New Roman" w:hAnsi="Times New Roman" w:cs="Times New Roman"/>
          <w:color w:val="000000" w:themeColor="text1"/>
          <w:sz w:val="24"/>
          <w:szCs w:val="24"/>
        </w:rPr>
        <w:lastRenderedPageBreak/>
        <w:t xml:space="preserve">Linde’s inventor was Carl von. He had the quality of endurance for implements his ideas. And he also had the quality of </w:t>
      </w:r>
      <w:r w:rsidR="00920FB7" w:rsidRPr="00613A3D">
        <w:rPr>
          <w:rFonts w:ascii="Times New Roman" w:hAnsi="Times New Roman" w:cs="Times New Roman"/>
          <w:color w:val="000000" w:themeColor="text1"/>
          <w:sz w:val="24"/>
          <w:szCs w:val="24"/>
        </w:rPr>
        <w:t>reorganization;</w:t>
      </w:r>
      <w:r w:rsidRPr="00613A3D">
        <w:rPr>
          <w:rFonts w:ascii="Times New Roman" w:hAnsi="Times New Roman" w:cs="Times New Roman"/>
          <w:color w:val="000000" w:themeColor="text1"/>
          <w:sz w:val="24"/>
          <w:szCs w:val="24"/>
        </w:rPr>
        <w:t xml:space="preserve"> he always tried to fulfill his customers needs, wants</w:t>
      </w:r>
      <w:r>
        <w:rPr>
          <w:rFonts w:cs="Arial"/>
          <w:color w:val="000000" w:themeColor="text1"/>
        </w:rPr>
        <w:t xml:space="preserve">. </w:t>
      </w:r>
    </w:p>
    <w:p w:rsidR="00371E12" w:rsidRPr="0089355B" w:rsidRDefault="00371E12" w:rsidP="0089355B">
      <w:pPr>
        <w:pStyle w:val="Heading2"/>
        <w:rPr>
          <w:rFonts w:eastAsia="Times New Roman"/>
          <w:b/>
          <w:sz w:val="24"/>
          <w:u w:val="single"/>
        </w:rPr>
      </w:pPr>
      <w:r>
        <w:rPr>
          <w:rFonts w:eastAsia="Times New Roman"/>
        </w:rPr>
        <w:t xml:space="preserve"> </w:t>
      </w:r>
      <w:bookmarkStart w:id="8" w:name="_Toc527816460"/>
      <w:r w:rsidRPr="0089355B">
        <w:rPr>
          <w:rFonts w:eastAsia="Times New Roman"/>
          <w:b/>
          <w:u w:val="single"/>
        </w:rPr>
        <w:t>Linde at a Glance:</w:t>
      </w:r>
      <w:bookmarkEnd w:id="8"/>
    </w:p>
    <w:p w:rsidR="00840876" w:rsidRPr="0089355B" w:rsidRDefault="00371E12" w:rsidP="0089355B">
      <w:pPr>
        <w:numPr>
          <w:ilvl w:val="0"/>
          <w:numId w:val="2"/>
        </w:numPr>
        <w:spacing w:before="100" w:after="100" w:line="360" w:lineRule="auto"/>
        <w:ind w:left="630" w:hanging="360"/>
        <w:jc w:val="both"/>
        <w:rPr>
          <w:rFonts w:ascii="Times New Roman" w:eastAsia="Times New Roman" w:hAnsi="Times New Roman" w:cs="Times New Roman"/>
          <w:b/>
          <w:color w:val="222226"/>
          <w:sz w:val="24"/>
          <w:szCs w:val="24"/>
        </w:rPr>
      </w:pPr>
      <w:r w:rsidRPr="00613A3D">
        <w:rPr>
          <w:rFonts w:ascii="Times New Roman" w:eastAsia="Times New Roman" w:hAnsi="Times New Roman" w:cs="Times New Roman"/>
          <w:b/>
          <w:color w:val="222226"/>
          <w:sz w:val="24"/>
          <w:szCs w:val="24"/>
        </w:rPr>
        <w:t xml:space="preserve">1879–1890: </w:t>
      </w:r>
      <w:r w:rsidRPr="00613A3D">
        <w:rPr>
          <w:rFonts w:ascii="Times New Roman" w:eastAsia="Times New Roman" w:hAnsi="Times New Roman" w:cs="Times New Roman"/>
          <w:color w:val="222226"/>
          <w:sz w:val="24"/>
          <w:szCs w:val="24"/>
        </w:rPr>
        <w:t>international leader</w:t>
      </w:r>
      <w:r w:rsidR="00920FB7" w:rsidRPr="00613A3D">
        <w:rPr>
          <w:rFonts w:ascii="Times New Roman" w:eastAsia="Times New Roman" w:hAnsi="Times New Roman" w:cs="Times New Roman"/>
          <w:color w:val="222226"/>
          <w:sz w:val="24"/>
          <w:szCs w:val="24"/>
        </w:rPr>
        <w:t xml:space="preserve"> or pioneer of refrigeration</w:t>
      </w:r>
    </w:p>
    <w:p w:rsidR="00840876" w:rsidRPr="0089355B" w:rsidRDefault="00371E12" w:rsidP="0089355B">
      <w:pPr>
        <w:numPr>
          <w:ilvl w:val="0"/>
          <w:numId w:val="2"/>
        </w:numPr>
        <w:spacing w:after="0" w:line="360" w:lineRule="auto"/>
        <w:ind w:left="630" w:hanging="360"/>
        <w:jc w:val="both"/>
        <w:rPr>
          <w:rFonts w:ascii="Times New Roman" w:eastAsia="Times New Roman" w:hAnsi="Times New Roman" w:cs="Times New Roman"/>
          <w:b/>
          <w:color w:val="222226"/>
          <w:sz w:val="24"/>
          <w:szCs w:val="24"/>
        </w:rPr>
      </w:pPr>
      <w:r w:rsidRPr="00613A3D">
        <w:rPr>
          <w:rFonts w:ascii="Times New Roman" w:eastAsia="Times New Roman" w:hAnsi="Times New Roman" w:cs="Times New Roman"/>
          <w:b/>
          <w:color w:val="222226"/>
          <w:sz w:val="24"/>
          <w:szCs w:val="24"/>
        </w:rPr>
        <w:t xml:space="preserve">1891–1934: </w:t>
      </w:r>
      <w:r w:rsidR="00920FB7" w:rsidRPr="00613A3D">
        <w:rPr>
          <w:rFonts w:ascii="Times New Roman" w:eastAsia="Times New Roman" w:hAnsi="Times New Roman" w:cs="Times New Roman"/>
          <w:color w:val="222226"/>
          <w:sz w:val="24"/>
          <w:szCs w:val="24"/>
        </w:rPr>
        <w:t xml:space="preserve"> air liquefaction,</w:t>
      </w:r>
      <w:r w:rsidRPr="00613A3D">
        <w:rPr>
          <w:rFonts w:ascii="Times New Roman" w:eastAsia="Times New Roman" w:hAnsi="Times New Roman" w:cs="Times New Roman"/>
          <w:color w:val="222226"/>
          <w:sz w:val="24"/>
          <w:szCs w:val="24"/>
        </w:rPr>
        <w:t xml:space="preserve"> air separation</w:t>
      </w:r>
    </w:p>
    <w:p w:rsidR="00840876" w:rsidRPr="0089355B" w:rsidRDefault="00371E12" w:rsidP="0089355B">
      <w:pPr>
        <w:numPr>
          <w:ilvl w:val="0"/>
          <w:numId w:val="2"/>
        </w:numPr>
        <w:spacing w:after="0" w:line="360" w:lineRule="auto"/>
        <w:ind w:left="630" w:hanging="360"/>
        <w:jc w:val="both"/>
        <w:rPr>
          <w:rFonts w:ascii="Times New Roman" w:eastAsia="Times New Roman" w:hAnsi="Times New Roman" w:cs="Times New Roman"/>
          <w:b/>
          <w:color w:val="222226"/>
          <w:sz w:val="24"/>
          <w:szCs w:val="24"/>
        </w:rPr>
      </w:pPr>
      <w:r w:rsidRPr="00613A3D">
        <w:rPr>
          <w:rFonts w:ascii="Times New Roman" w:eastAsia="Times New Roman" w:hAnsi="Times New Roman" w:cs="Times New Roman"/>
          <w:b/>
          <w:color w:val="222226"/>
          <w:sz w:val="24"/>
          <w:szCs w:val="24"/>
        </w:rPr>
        <w:t xml:space="preserve">1935–1974: </w:t>
      </w:r>
      <w:r w:rsidR="00920FB7" w:rsidRPr="00613A3D">
        <w:rPr>
          <w:rFonts w:ascii="Times New Roman" w:hAnsi="Times New Roman" w:cs="Times New Roman"/>
          <w:bCs/>
          <w:color w:val="222222"/>
          <w:sz w:val="24"/>
          <w:szCs w:val="24"/>
          <w:shd w:val="clear" w:color="auto" w:fill="FFFFFF"/>
        </w:rPr>
        <w:t>economic warfare</w:t>
      </w:r>
      <w:r w:rsidRPr="00613A3D">
        <w:rPr>
          <w:rFonts w:ascii="Times New Roman" w:eastAsia="Times New Roman" w:hAnsi="Times New Roman" w:cs="Times New Roman"/>
          <w:color w:val="222226"/>
          <w:sz w:val="24"/>
          <w:szCs w:val="24"/>
        </w:rPr>
        <w:t xml:space="preserve">, </w:t>
      </w:r>
      <w:r w:rsidR="00920FB7" w:rsidRPr="00613A3D">
        <w:rPr>
          <w:rFonts w:ascii="Times New Roman" w:eastAsia="Times New Roman" w:hAnsi="Times New Roman" w:cs="Times New Roman"/>
          <w:color w:val="222226"/>
          <w:sz w:val="24"/>
          <w:szCs w:val="24"/>
        </w:rPr>
        <w:t xml:space="preserve">bad economic condition </w:t>
      </w:r>
      <w:r w:rsidRPr="00613A3D">
        <w:rPr>
          <w:rFonts w:ascii="Times New Roman" w:eastAsia="Times New Roman" w:hAnsi="Times New Roman" w:cs="Times New Roman"/>
          <w:color w:val="222226"/>
          <w:sz w:val="24"/>
          <w:szCs w:val="24"/>
        </w:rPr>
        <w:t xml:space="preserve">and </w:t>
      </w:r>
      <w:r w:rsidR="00920FB7" w:rsidRPr="00613A3D">
        <w:rPr>
          <w:rFonts w:ascii="Times New Roman" w:hAnsi="Times New Roman" w:cs="Times New Roman"/>
          <w:color w:val="222222"/>
          <w:sz w:val="24"/>
          <w:szCs w:val="24"/>
          <w:shd w:val="clear" w:color="auto" w:fill="FFFFFF"/>
        </w:rPr>
        <w:t>development of the </w:t>
      </w:r>
      <w:r w:rsidR="00920FB7" w:rsidRPr="00613A3D">
        <w:rPr>
          <w:rFonts w:ascii="Times New Roman" w:hAnsi="Times New Roman" w:cs="Times New Roman"/>
          <w:bCs/>
          <w:color w:val="222222"/>
          <w:sz w:val="24"/>
          <w:szCs w:val="24"/>
          <w:shd w:val="clear" w:color="auto" w:fill="FFFFFF"/>
        </w:rPr>
        <w:t>economie</w:t>
      </w:r>
      <w:r w:rsidR="00920FB7" w:rsidRPr="00613A3D">
        <w:rPr>
          <w:rFonts w:ascii="Times New Roman" w:hAnsi="Times New Roman" w:cs="Times New Roman"/>
          <w:b/>
          <w:bCs/>
          <w:color w:val="222222"/>
          <w:sz w:val="24"/>
          <w:szCs w:val="24"/>
          <w:shd w:val="clear" w:color="auto" w:fill="FFFFFF"/>
        </w:rPr>
        <w:t>s</w:t>
      </w:r>
    </w:p>
    <w:p w:rsidR="00840876" w:rsidRPr="0089355B" w:rsidRDefault="00371E12" w:rsidP="0089355B">
      <w:pPr>
        <w:numPr>
          <w:ilvl w:val="0"/>
          <w:numId w:val="2"/>
        </w:numPr>
        <w:spacing w:after="0" w:line="360" w:lineRule="auto"/>
        <w:ind w:left="630" w:hanging="360"/>
        <w:jc w:val="both"/>
        <w:rPr>
          <w:rFonts w:ascii="Times New Roman" w:eastAsia="Times New Roman" w:hAnsi="Times New Roman" w:cs="Times New Roman"/>
          <w:b/>
          <w:color w:val="222226"/>
          <w:sz w:val="24"/>
          <w:szCs w:val="24"/>
        </w:rPr>
      </w:pPr>
      <w:r w:rsidRPr="00613A3D">
        <w:rPr>
          <w:rFonts w:ascii="Times New Roman" w:eastAsia="Times New Roman" w:hAnsi="Times New Roman" w:cs="Times New Roman"/>
          <w:b/>
          <w:color w:val="222226"/>
          <w:sz w:val="24"/>
          <w:szCs w:val="24"/>
        </w:rPr>
        <w:t>1975-2004:</w:t>
      </w:r>
      <w:r w:rsidR="00840876" w:rsidRPr="00613A3D">
        <w:rPr>
          <w:rFonts w:ascii="Times New Roman" w:eastAsia="Times New Roman" w:hAnsi="Times New Roman" w:cs="Times New Roman"/>
          <w:b/>
          <w:color w:val="222226"/>
          <w:sz w:val="24"/>
          <w:szCs w:val="24"/>
        </w:rPr>
        <w:t xml:space="preserve"> </w:t>
      </w:r>
      <w:r w:rsidR="00840876" w:rsidRPr="00613A3D">
        <w:rPr>
          <w:rFonts w:ascii="Times New Roman" w:eastAsia="Times New Roman" w:hAnsi="Times New Roman" w:cs="Times New Roman"/>
          <w:color w:val="222226"/>
          <w:sz w:val="24"/>
          <w:szCs w:val="24"/>
        </w:rPr>
        <w:t>Linde started its business world widely</w:t>
      </w:r>
      <w:r w:rsidRPr="00613A3D">
        <w:rPr>
          <w:rFonts w:ascii="Times New Roman" w:eastAsia="Times New Roman" w:hAnsi="Times New Roman" w:cs="Times New Roman"/>
          <w:color w:val="000000"/>
          <w:sz w:val="24"/>
          <w:szCs w:val="24"/>
        </w:rPr>
        <w:t>.</w:t>
      </w:r>
    </w:p>
    <w:p w:rsidR="00371E12" w:rsidRPr="00613A3D" w:rsidRDefault="00371E12" w:rsidP="00B70C6E">
      <w:pPr>
        <w:numPr>
          <w:ilvl w:val="0"/>
          <w:numId w:val="2"/>
        </w:numPr>
        <w:spacing w:after="200" w:line="360" w:lineRule="auto"/>
        <w:ind w:left="630" w:hanging="360"/>
        <w:jc w:val="both"/>
        <w:rPr>
          <w:rFonts w:ascii="Times New Roman" w:eastAsia="Times New Roman" w:hAnsi="Times New Roman" w:cs="Times New Roman"/>
          <w:b/>
          <w:color w:val="000000"/>
          <w:sz w:val="24"/>
          <w:szCs w:val="24"/>
        </w:rPr>
      </w:pPr>
      <w:r w:rsidRPr="00613A3D">
        <w:rPr>
          <w:rFonts w:ascii="Times New Roman" w:eastAsia="Times New Roman" w:hAnsi="Times New Roman" w:cs="Times New Roman"/>
          <w:b/>
          <w:sz w:val="24"/>
          <w:szCs w:val="24"/>
        </w:rPr>
        <w:t xml:space="preserve">In 2006: </w:t>
      </w:r>
      <w:hyperlink r:id="rId12">
        <w:r w:rsidRPr="00613A3D">
          <w:rPr>
            <w:rFonts w:ascii="Times New Roman" w:eastAsia="Times New Roman" w:hAnsi="Times New Roman" w:cs="Times New Roman"/>
            <w:color w:val="000000"/>
            <w:sz w:val="24"/>
            <w:szCs w:val="24"/>
          </w:rPr>
          <w:t>The Linde Bangladesh Group</w:t>
        </w:r>
      </w:hyperlink>
      <w:r w:rsidRPr="00613A3D">
        <w:rPr>
          <w:rFonts w:ascii="Times New Roman" w:eastAsia="Times New Roman" w:hAnsi="Times New Roman" w:cs="Times New Roman"/>
          <w:color w:val="000000"/>
          <w:sz w:val="24"/>
          <w:szCs w:val="24"/>
        </w:rPr>
        <w:t xml:space="preserve"> </w:t>
      </w:r>
      <w:r w:rsidR="00840876" w:rsidRPr="00613A3D">
        <w:rPr>
          <w:rFonts w:ascii="Times New Roman" w:eastAsia="Times New Roman" w:hAnsi="Times New Roman" w:cs="Times New Roman"/>
          <w:color w:val="000000"/>
          <w:sz w:val="24"/>
          <w:szCs w:val="24"/>
        </w:rPr>
        <w:t xml:space="preserve">was bought </w:t>
      </w:r>
      <w:r w:rsidRPr="00613A3D">
        <w:rPr>
          <w:rFonts w:ascii="Times New Roman" w:eastAsia="Times New Roman" w:hAnsi="Times New Roman" w:cs="Times New Roman"/>
          <w:color w:val="000000"/>
          <w:sz w:val="24"/>
          <w:szCs w:val="24"/>
        </w:rPr>
        <w:t>for €11.7 billion</w:t>
      </w:r>
      <w:r w:rsidR="00840876" w:rsidRPr="00613A3D">
        <w:rPr>
          <w:rFonts w:ascii="Times New Roman" w:eastAsia="Times New Roman" w:hAnsi="Times New Roman" w:cs="Times New Roman"/>
          <w:color w:val="000000"/>
          <w:sz w:val="24"/>
          <w:szCs w:val="24"/>
        </w:rPr>
        <w:t>.</w:t>
      </w:r>
    </w:p>
    <w:p w:rsidR="008E422B" w:rsidRDefault="00371E12" w:rsidP="00B70C6E">
      <w:pPr>
        <w:numPr>
          <w:ilvl w:val="0"/>
          <w:numId w:val="2"/>
        </w:numPr>
        <w:spacing w:after="200" w:line="360" w:lineRule="auto"/>
        <w:ind w:left="630" w:hanging="360"/>
        <w:jc w:val="both"/>
        <w:rPr>
          <w:rFonts w:ascii="Times New Roman" w:eastAsia="Times New Roman" w:hAnsi="Times New Roman" w:cs="Times New Roman"/>
          <w:b/>
          <w:sz w:val="24"/>
          <w:szCs w:val="24"/>
        </w:rPr>
      </w:pPr>
      <w:r w:rsidRPr="00613A3D">
        <w:rPr>
          <w:rFonts w:ascii="Times New Roman" w:eastAsia="Times New Roman" w:hAnsi="Times New Roman" w:cs="Times New Roman"/>
          <w:b/>
          <w:color w:val="000000"/>
          <w:sz w:val="24"/>
          <w:szCs w:val="24"/>
        </w:rPr>
        <w:t xml:space="preserve">In 2011: </w:t>
      </w:r>
      <w:r w:rsidR="00A93556" w:rsidRPr="00613A3D">
        <w:rPr>
          <w:rFonts w:ascii="Times New Roman" w:eastAsia="Times New Roman" w:hAnsi="Times New Roman" w:cs="Times New Roman"/>
          <w:color w:val="000000"/>
          <w:sz w:val="24"/>
          <w:szCs w:val="24"/>
        </w:rPr>
        <w:t xml:space="preserve">In </w:t>
      </w:r>
      <w:hyperlink r:id="rId13">
        <w:r w:rsidR="00A93556" w:rsidRPr="00613A3D">
          <w:rPr>
            <w:rFonts w:ascii="Times New Roman" w:eastAsia="Times New Roman" w:hAnsi="Times New Roman" w:cs="Times New Roman"/>
            <w:color w:val="000000"/>
            <w:sz w:val="24"/>
            <w:szCs w:val="24"/>
          </w:rPr>
          <w:t>Celeron</w:t>
        </w:r>
      </w:hyperlink>
      <w:r w:rsidR="00A93556" w:rsidRPr="00613A3D">
        <w:rPr>
          <w:rFonts w:ascii="Times New Roman" w:eastAsia="Times New Roman" w:hAnsi="Times New Roman" w:cs="Times New Roman"/>
          <w:color w:val="000000"/>
          <w:sz w:val="24"/>
          <w:szCs w:val="24"/>
        </w:rPr>
        <w:t xml:space="preserve">, </w:t>
      </w:r>
      <w:hyperlink r:id="rId14">
        <w:r w:rsidR="00A93556" w:rsidRPr="00613A3D">
          <w:rPr>
            <w:rFonts w:ascii="Times New Roman" w:eastAsia="Times New Roman" w:hAnsi="Times New Roman" w:cs="Times New Roman"/>
            <w:color w:val="000000"/>
            <w:sz w:val="24"/>
            <w:szCs w:val="24"/>
          </w:rPr>
          <w:t>Banten</w:t>
        </w:r>
      </w:hyperlink>
      <w:r w:rsidR="00A93556" w:rsidRPr="00613A3D">
        <w:rPr>
          <w:rFonts w:ascii="Times New Roman" w:hAnsi="Times New Roman" w:cs="Times New Roman"/>
          <w:sz w:val="24"/>
          <w:szCs w:val="24"/>
        </w:rPr>
        <w:t xml:space="preserve"> </w:t>
      </w:r>
      <w:r w:rsidR="00A93556" w:rsidRPr="00613A3D">
        <w:rPr>
          <w:rFonts w:ascii="Times New Roman" w:eastAsia="Times New Roman" w:hAnsi="Times New Roman" w:cs="Times New Roman"/>
          <w:color w:val="000000"/>
          <w:sz w:val="24"/>
          <w:szCs w:val="24"/>
        </w:rPr>
        <w:t xml:space="preserve">they were planning </w:t>
      </w:r>
      <w:r w:rsidRPr="00613A3D">
        <w:rPr>
          <w:rFonts w:ascii="Times New Roman" w:eastAsia="Times New Roman" w:hAnsi="Times New Roman" w:cs="Times New Roman"/>
          <w:color w:val="000000"/>
          <w:sz w:val="24"/>
          <w:szCs w:val="24"/>
        </w:rPr>
        <w:t xml:space="preserve">to </w:t>
      </w:r>
      <w:r w:rsidR="00A93556" w:rsidRPr="00613A3D">
        <w:rPr>
          <w:rFonts w:ascii="Times New Roman" w:eastAsia="Times New Roman" w:hAnsi="Times New Roman" w:cs="Times New Roman"/>
          <w:color w:val="000000"/>
          <w:sz w:val="24"/>
          <w:szCs w:val="24"/>
        </w:rPr>
        <w:t>assemble</w:t>
      </w:r>
      <w:r w:rsidRPr="00613A3D">
        <w:rPr>
          <w:rFonts w:ascii="Times New Roman" w:eastAsia="Times New Roman" w:hAnsi="Times New Roman" w:cs="Times New Roman"/>
          <w:color w:val="000000"/>
          <w:sz w:val="24"/>
          <w:szCs w:val="24"/>
        </w:rPr>
        <w:t xml:space="preserve"> an air separation plant</w:t>
      </w:r>
      <w:r w:rsidRPr="00840876">
        <w:rPr>
          <w:rFonts w:ascii="Times New Roman" w:eastAsia="Times New Roman" w:hAnsi="Times New Roman" w:cs="Times New Roman"/>
          <w:b/>
          <w:sz w:val="24"/>
          <w:szCs w:val="24"/>
        </w:rPr>
        <w:t>.</w:t>
      </w:r>
    </w:p>
    <w:p w:rsidR="008E422B" w:rsidRPr="0089355B" w:rsidRDefault="008E422B" w:rsidP="0089355B">
      <w:pPr>
        <w:pStyle w:val="Heading2"/>
        <w:rPr>
          <w:rFonts w:eastAsia="Times New Roman" w:cs="Times New Roman"/>
          <w:b/>
          <w:sz w:val="24"/>
          <w:szCs w:val="24"/>
          <w:u w:val="single"/>
        </w:rPr>
      </w:pPr>
      <w:bookmarkStart w:id="9" w:name="_Toc527816461"/>
      <w:r w:rsidRPr="0089355B">
        <w:rPr>
          <w:rFonts w:eastAsia="Times New Roman"/>
          <w:b/>
          <w:u w:val="single"/>
        </w:rPr>
        <w:t>Nature of Business:</w:t>
      </w:r>
      <w:bookmarkEnd w:id="9"/>
    </w:p>
    <w:p w:rsidR="008E422B" w:rsidRPr="008E422B" w:rsidRDefault="008E422B" w:rsidP="001E5B99">
      <w:pPr>
        <w:spacing w:after="0" w:line="360" w:lineRule="auto"/>
        <w:jc w:val="both"/>
        <w:rPr>
          <w:rFonts w:ascii="Times New Roman" w:eastAsia="Times New Roman" w:hAnsi="Times New Roman"/>
          <w:sz w:val="24"/>
        </w:rPr>
      </w:pPr>
      <w:r w:rsidRPr="008E422B">
        <w:rPr>
          <w:rFonts w:ascii="Times New Roman" w:eastAsia="Times New Roman" w:hAnsi="Times New Roman"/>
          <w:sz w:val="24"/>
        </w:rPr>
        <w:t>The Linde group is related to manufacturing and supply of industrial and medical gas, welding products and equipment’s and ancillary equipment. The Company also earns rental from cylinder used by the customers and from vacuum insulated evaporators installed at customer’s premises.</w:t>
      </w:r>
    </w:p>
    <w:p w:rsidR="008E422B" w:rsidRPr="0089355B" w:rsidRDefault="008E422B" w:rsidP="0089355B">
      <w:pPr>
        <w:pStyle w:val="Heading2"/>
        <w:rPr>
          <w:rFonts w:eastAsia="Times New Roman"/>
          <w:b/>
          <w:u w:val="single"/>
        </w:rPr>
      </w:pPr>
      <w:bookmarkStart w:id="10" w:name="_Toc527816462"/>
      <w:r w:rsidRPr="0089355B">
        <w:rPr>
          <w:rFonts w:eastAsia="Times New Roman"/>
          <w:b/>
          <w:u w:val="single"/>
        </w:rPr>
        <w:t>Linde Bangladesh Achievements at a Glance:</w:t>
      </w:r>
      <w:bookmarkEnd w:id="10"/>
    </w:p>
    <w:p w:rsidR="008E422B" w:rsidRPr="001E5B99" w:rsidRDefault="008E422B" w:rsidP="00B70C6E">
      <w:pPr>
        <w:pStyle w:val="ListParagraph"/>
        <w:numPr>
          <w:ilvl w:val="0"/>
          <w:numId w:val="12"/>
        </w:numPr>
        <w:spacing w:after="200" w:line="360" w:lineRule="auto"/>
        <w:jc w:val="both"/>
        <w:rPr>
          <w:rFonts w:ascii="Times New Roman" w:eastAsia="Times New Roman" w:hAnsi="Times New Roman"/>
          <w:color w:val="333333"/>
          <w:sz w:val="24"/>
        </w:rPr>
      </w:pPr>
      <w:r w:rsidRPr="001E5B99">
        <w:rPr>
          <w:rFonts w:ascii="Times New Roman" w:eastAsia="Times New Roman" w:hAnsi="Times New Roman"/>
          <w:b/>
          <w:sz w:val="24"/>
        </w:rPr>
        <w:t>1958:</w:t>
      </w:r>
      <w:r w:rsidRPr="001E5B99">
        <w:rPr>
          <w:rFonts w:ascii="Times New Roman" w:eastAsia="Times New Roman" w:hAnsi="Times New Roman"/>
          <w:color w:val="333333"/>
          <w:sz w:val="24"/>
        </w:rPr>
        <w:t xml:space="preserve"> Pakistan Oxygen Limited had start</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sz w:val="24"/>
        </w:rPr>
        <w:t>1971:</w:t>
      </w:r>
      <w:r>
        <w:rPr>
          <w:rFonts w:ascii="Times New Roman" w:eastAsia="Times New Roman" w:hAnsi="Times New Roman"/>
          <w:color w:val="333333"/>
          <w:sz w:val="24"/>
        </w:rPr>
        <w:t xml:space="preserve"> Gave a new name to (BOL) Bangladesh oxygen Limited.</w:t>
      </w:r>
    </w:p>
    <w:p w:rsidR="008E422B" w:rsidRPr="00001CEE" w:rsidRDefault="008E422B" w:rsidP="00B70C6E">
      <w:pPr>
        <w:numPr>
          <w:ilvl w:val="0"/>
          <w:numId w:val="3"/>
        </w:numPr>
        <w:spacing w:after="200" w:line="360" w:lineRule="auto"/>
        <w:ind w:left="720" w:hanging="360"/>
        <w:jc w:val="both"/>
        <w:rPr>
          <w:rFonts w:ascii="Times New Roman" w:eastAsia="Times New Roman" w:hAnsi="Times New Roman"/>
          <w:b/>
          <w:color w:val="333333"/>
          <w:sz w:val="24"/>
        </w:rPr>
      </w:pPr>
      <w:r w:rsidRPr="00001CEE">
        <w:rPr>
          <w:rFonts w:ascii="Times New Roman" w:eastAsia="Times New Roman" w:hAnsi="Times New Roman"/>
          <w:b/>
          <w:color w:val="333333"/>
          <w:sz w:val="24"/>
        </w:rPr>
        <w:t>1973:</w:t>
      </w:r>
      <w:r w:rsidRPr="00001CEE">
        <w:rPr>
          <w:rFonts w:ascii="Times New Roman" w:eastAsia="Times New Roman" w:hAnsi="Times New Roman"/>
          <w:color w:val="333333"/>
          <w:sz w:val="24"/>
        </w:rPr>
        <w:t xml:space="preserve">  received the approval from Government for joint stock companies </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sidRPr="00001CEE">
        <w:rPr>
          <w:rFonts w:ascii="Times New Roman" w:eastAsia="Times New Roman" w:hAnsi="Times New Roman"/>
          <w:b/>
          <w:color w:val="333333"/>
          <w:sz w:val="24"/>
        </w:rPr>
        <w:t>1976:</w:t>
      </w:r>
      <w:r w:rsidRPr="00001CEE">
        <w:rPr>
          <w:rFonts w:ascii="Times New Roman" w:eastAsia="Times New Roman" w:hAnsi="Times New Roman"/>
          <w:color w:val="333333"/>
          <w:sz w:val="24"/>
        </w:rPr>
        <w:t xml:space="preserve"> </w:t>
      </w:r>
      <w:r>
        <w:rPr>
          <w:rFonts w:ascii="Times New Roman" w:eastAsia="Times New Roman" w:hAnsi="Times New Roman"/>
          <w:color w:val="333333"/>
          <w:sz w:val="24"/>
        </w:rPr>
        <w:t>Introduced CO2 plant for the first time</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 xml:space="preserve">1979: </w:t>
      </w:r>
      <w:r>
        <w:rPr>
          <w:rFonts w:ascii="Times New Roman" w:eastAsia="Times New Roman" w:hAnsi="Times New Roman"/>
          <w:color w:val="333333"/>
          <w:sz w:val="24"/>
        </w:rPr>
        <w:t>Welding training centre had begun its journey.</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1995:</w:t>
      </w:r>
      <w:r>
        <w:rPr>
          <w:rFonts w:ascii="Times New Roman" w:eastAsia="Times New Roman" w:hAnsi="Times New Roman"/>
          <w:color w:val="333333"/>
          <w:sz w:val="24"/>
        </w:rPr>
        <w:t xml:space="preserve">  “Bangladesh Oxygen Limited” replaced by this name “Linde Bangladesh Limited”.</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 xml:space="preserve">1997: </w:t>
      </w:r>
      <w:r>
        <w:rPr>
          <w:rFonts w:ascii="Times New Roman" w:eastAsia="Times New Roman" w:hAnsi="Times New Roman"/>
          <w:color w:val="333333"/>
          <w:sz w:val="24"/>
        </w:rPr>
        <w:t>ASU plant had specially made in Rupganj</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 xml:space="preserve">1999: </w:t>
      </w:r>
      <w:r>
        <w:rPr>
          <w:rFonts w:ascii="Times New Roman" w:eastAsia="Times New Roman" w:hAnsi="Times New Roman"/>
          <w:color w:val="333333"/>
          <w:sz w:val="24"/>
        </w:rPr>
        <w:t>Shitalpur plant had been brought.</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2000:</w:t>
      </w:r>
      <w:r>
        <w:rPr>
          <w:rFonts w:ascii="Times New Roman" w:eastAsia="Times New Roman" w:hAnsi="Times New Roman"/>
          <w:color w:val="333333"/>
          <w:sz w:val="24"/>
        </w:rPr>
        <w:t xml:space="preserve"> LPG and ASPEN plant had built.</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2004:</w:t>
      </w:r>
      <w:r>
        <w:rPr>
          <w:rFonts w:ascii="Times New Roman" w:eastAsia="Times New Roman" w:hAnsi="Times New Roman"/>
          <w:color w:val="333333"/>
          <w:sz w:val="24"/>
        </w:rPr>
        <w:t xml:space="preserve"> They had changed into </w:t>
      </w:r>
      <w:r w:rsidR="009F0AA5">
        <w:rPr>
          <w:rFonts w:ascii="Times New Roman" w:eastAsia="Times New Roman" w:hAnsi="Times New Roman"/>
          <w:color w:val="333333"/>
          <w:sz w:val="24"/>
        </w:rPr>
        <w:t>their</w:t>
      </w:r>
      <w:r>
        <w:rPr>
          <w:rFonts w:ascii="Times New Roman" w:eastAsia="Times New Roman" w:hAnsi="Times New Roman"/>
          <w:color w:val="333333"/>
          <w:sz w:val="24"/>
        </w:rPr>
        <w:t xml:space="preserve"> new corporate office. </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lastRenderedPageBreak/>
        <w:t>2006</w:t>
      </w:r>
      <w:r>
        <w:rPr>
          <w:rFonts w:ascii="Times New Roman" w:eastAsia="Times New Roman" w:hAnsi="Times New Roman"/>
          <w:color w:val="333333"/>
          <w:sz w:val="24"/>
        </w:rPr>
        <w:t>: The plan had been Brought in by Linde</w:t>
      </w:r>
    </w:p>
    <w:p w:rsidR="008E422B" w:rsidRDefault="008E422B" w:rsidP="00B70C6E">
      <w:pPr>
        <w:numPr>
          <w:ilvl w:val="0"/>
          <w:numId w:val="3"/>
        </w:numPr>
        <w:spacing w:after="200" w:line="360" w:lineRule="auto"/>
        <w:ind w:left="720" w:hanging="360"/>
        <w:jc w:val="both"/>
        <w:rPr>
          <w:rFonts w:ascii="Times New Roman" w:eastAsia="Times New Roman" w:hAnsi="Times New Roman"/>
          <w:color w:val="333333"/>
          <w:sz w:val="24"/>
        </w:rPr>
      </w:pPr>
      <w:r>
        <w:rPr>
          <w:rFonts w:ascii="Times New Roman" w:eastAsia="Times New Roman" w:hAnsi="Times New Roman"/>
          <w:b/>
          <w:color w:val="333333"/>
          <w:sz w:val="24"/>
        </w:rPr>
        <w:t>2010</w:t>
      </w:r>
      <w:r>
        <w:rPr>
          <w:rFonts w:ascii="Times New Roman" w:eastAsia="Times New Roman" w:hAnsi="Times New Roman"/>
          <w:color w:val="333333"/>
          <w:sz w:val="24"/>
        </w:rPr>
        <w:t>: 100 Core BDT Profit was earned.</w:t>
      </w:r>
    </w:p>
    <w:p w:rsidR="00371E12" w:rsidRPr="00A90E31" w:rsidRDefault="00371E12" w:rsidP="00A90E31">
      <w:pPr>
        <w:pStyle w:val="Heading2"/>
        <w:rPr>
          <w:rFonts w:eastAsia="Times New Roman"/>
          <w:b/>
          <w:u w:val="single"/>
        </w:rPr>
      </w:pPr>
      <w:bookmarkStart w:id="11" w:name="_Toc527814560"/>
      <w:bookmarkStart w:id="12" w:name="_Toc527816463"/>
      <w:r w:rsidRPr="00A90E31">
        <w:rPr>
          <w:rFonts w:eastAsia="Times New Roman"/>
          <w:b/>
          <w:u w:val="single"/>
        </w:rPr>
        <w:t>Linde Worldwide:</w:t>
      </w:r>
      <w:bookmarkEnd w:id="11"/>
      <w:bookmarkEnd w:id="12"/>
    </w:p>
    <w:p w:rsidR="001E5B99" w:rsidRDefault="00371E12" w:rsidP="001E5B99">
      <w:pPr>
        <w:spacing w:after="200" w:line="360" w:lineRule="auto"/>
        <w:jc w:val="both"/>
        <w:rPr>
          <w:rFonts w:ascii="Times New Roman" w:eastAsia="Times New Roman" w:hAnsi="Times New Roman"/>
          <w:b/>
          <w:color w:val="003399"/>
          <w:sz w:val="28"/>
          <w:u w:val="single"/>
        </w:rPr>
      </w:pPr>
      <w:r w:rsidRPr="00371E12">
        <w:rPr>
          <w:rFonts w:ascii="Times New Roman" w:eastAsia="Times New Roman" w:hAnsi="Times New Roman"/>
          <w:b/>
          <w:noProof/>
          <w:color w:val="003399"/>
          <w:sz w:val="28"/>
          <w:u w:val="single"/>
        </w:rPr>
        <w:drawing>
          <wp:inline distT="0" distB="0" distL="0" distR="0">
            <wp:extent cx="5695950" cy="5057775"/>
            <wp:effectExtent l="0" t="0" r="0" b="0"/>
            <wp:docPr id="1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9355B" w:rsidRDefault="0089355B" w:rsidP="001E5B99">
      <w:pPr>
        <w:spacing w:after="200" w:line="360" w:lineRule="auto"/>
        <w:jc w:val="both"/>
        <w:rPr>
          <w:rFonts w:ascii="Times New Roman" w:eastAsia="Times New Roman" w:hAnsi="Times New Roman"/>
          <w:b/>
          <w:color w:val="003399"/>
          <w:sz w:val="28"/>
          <w:u w:val="single"/>
        </w:rPr>
      </w:pPr>
    </w:p>
    <w:p w:rsidR="006E0236" w:rsidRDefault="006E0236" w:rsidP="00A90E31">
      <w:pPr>
        <w:pStyle w:val="Heading2"/>
        <w:rPr>
          <w:rFonts w:eastAsia="Times New Roman"/>
          <w:b/>
          <w:u w:val="single"/>
        </w:rPr>
      </w:pPr>
    </w:p>
    <w:p w:rsidR="00CB0BEC" w:rsidRDefault="00CB0BEC" w:rsidP="00A90E31">
      <w:pPr>
        <w:pStyle w:val="Heading2"/>
        <w:rPr>
          <w:rFonts w:eastAsia="Times New Roman"/>
          <w:b/>
          <w:u w:val="single"/>
        </w:rPr>
      </w:pPr>
      <w:bookmarkStart w:id="13" w:name="_Toc527816464"/>
    </w:p>
    <w:p w:rsidR="00CB0BEC" w:rsidRDefault="00CB0BEC" w:rsidP="00A90E31">
      <w:pPr>
        <w:pStyle w:val="Heading2"/>
        <w:rPr>
          <w:rFonts w:eastAsia="Times New Roman"/>
          <w:b/>
          <w:u w:val="single"/>
        </w:rPr>
      </w:pPr>
    </w:p>
    <w:p w:rsidR="00CB0BEC" w:rsidRPr="00CB0BEC" w:rsidRDefault="00CB0BEC" w:rsidP="00CB0BEC"/>
    <w:p w:rsidR="000B10FA" w:rsidRPr="00A90E31" w:rsidRDefault="000B10FA" w:rsidP="00A90E31">
      <w:pPr>
        <w:pStyle w:val="Heading2"/>
        <w:rPr>
          <w:rFonts w:eastAsia="Times New Roman"/>
          <w:b/>
          <w:u w:val="single"/>
        </w:rPr>
      </w:pPr>
      <w:r w:rsidRPr="00A90E31">
        <w:rPr>
          <w:rFonts w:eastAsia="Times New Roman"/>
          <w:b/>
          <w:u w:val="single"/>
        </w:rPr>
        <w:lastRenderedPageBreak/>
        <w:t>About Linde Bangladesh Limited :</w:t>
      </w:r>
      <w:bookmarkEnd w:id="13"/>
    </w:p>
    <w:p w:rsidR="00A90E31" w:rsidRDefault="00A90E31" w:rsidP="001E5B99">
      <w:pPr>
        <w:spacing w:after="200" w:line="360" w:lineRule="auto"/>
        <w:jc w:val="both"/>
        <w:rPr>
          <w:rFonts w:ascii="Times New Roman" w:eastAsia="Times New Roman" w:hAnsi="Times New Roman" w:cs="Times New Roman"/>
          <w:sz w:val="24"/>
          <w:szCs w:val="24"/>
        </w:rPr>
      </w:pPr>
    </w:p>
    <w:p w:rsidR="00C4726E" w:rsidRPr="00A90E31" w:rsidRDefault="000B10FA" w:rsidP="00A90E31">
      <w:pPr>
        <w:spacing w:after="200" w:line="360" w:lineRule="auto"/>
        <w:jc w:val="both"/>
        <w:rPr>
          <w:color w:val="000000" w:themeColor="text1"/>
        </w:rPr>
      </w:pPr>
      <w:r w:rsidRPr="001220DF">
        <w:rPr>
          <w:rFonts w:ascii="Times New Roman" w:eastAsia="Times New Roman" w:hAnsi="Times New Roman" w:cs="Times New Roman"/>
          <w:sz w:val="24"/>
          <w:szCs w:val="24"/>
        </w:rPr>
        <w:t xml:space="preserve">Linde is a multinational company. Linde is a member of a linde group. Linde has started journey from 1950 in Bangladesh. From then to now Linde’s products became very important for most of the industries in Bangladesh. And the turnover of the Linde has crossed 3.19 Billion BDT. Linde Bangladesh has three key </w:t>
      </w:r>
      <w:r w:rsidR="00FD7A2F" w:rsidRPr="001220DF">
        <w:rPr>
          <w:rFonts w:ascii="Times New Roman" w:eastAsia="Times New Roman" w:hAnsi="Times New Roman" w:cs="Times New Roman"/>
          <w:sz w:val="24"/>
          <w:szCs w:val="24"/>
        </w:rPr>
        <w:t>establishments</w:t>
      </w:r>
      <w:r w:rsidRPr="001220DF">
        <w:rPr>
          <w:rFonts w:ascii="Times New Roman" w:eastAsia="Times New Roman" w:hAnsi="Times New Roman" w:cs="Times New Roman"/>
          <w:sz w:val="24"/>
          <w:szCs w:val="24"/>
        </w:rPr>
        <w:t xml:space="preserve"> at Tejgaon, Rupgonj, </w:t>
      </w:r>
      <w:r w:rsidR="00FD7A2F" w:rsidRPr="001220DF">
        <w:rPr>
          <w:rFonts w:ascii="Times New Roman" w:eastAsia="Times New Roman" w:hAnsi="Times New Roman" w:cs="Times New Roman"/>
          <w:sz w:val="24"/>
          <w:szCs w:val="24"/>
        </w:rPr>
        <w:t>and</w:t>
      </w:r>
      <w:r w:rsidRPr="001220DF">
        <w:rPr>
          <w:rFonts w:ascii="Times New Roman" w:eastAsia="Times New Roman" w:hAnsi="Times New Roman" w:cs="Times New Roman"/>
          <w:sz w:val="24"/>
          <w:szCs w:val="24"/>
        </w:rPr>
        <w:t xml:space="preserve"> shitalpur, 18 sales center all over the country and customers over 35000. 80 tons of ASU gases per day and 23100 MT of Welding Electrons per year is generated by Linde Bangladesh. Its products are </w:t>
      </w:r>
      <w:r w:rsidRPr="001220DF">
        <w:rPr>
          <w:rFonts w:ascii="Times New Roman" w:hAnsi="Times New Roman" w:cs="Times New Roman"/>
          <w:color w:val="000000" w:themeColor="text1"/>
          <w:sz w:val="24"/>
          <w:szCs w:val="24"/>
        </w:rPr>
        <w:t>include liquid and gaseous Oxygen and Nitrogen, Argon, Acetylene, Carbon Dioxide, Dry Ice, Refrigerant Gases, Lamp gas and other gas mixtures, Medical Oxygen, Nitrous Oxide, Entonox, medical equipment and accessories, Welding Electrodes, gas and arc welding equipments and accessories, welding training and services. As Linde Bangladesh is member of Linde</w:t>
      </w:r>
      <w:r>
        <w:rPr>
          <w:color w:val="000000" w:themeColor="text1"/>
        </w:rPr>
        <w:t xml:space="preserve"> </w:t>
      </w:r>
      <w:r w:rsidRPr="001220DF">
        <w:rPr>
          <w:rFonts w:ascii="Times New Roman" w:hAnsi="Times New Roman" w:cs="Times New Roman"/>
          <w:color w:val="000000" w:themeColor="text1"/>
          <w:sz w:val="24"/>
          <w:szCs w:val="24"/>
        </w:rPr>
        <w:t>group so this company is also very caring to their cu</w:t>
      </w:r>
      <w:r w:rsidR="00FD7A2F" w:rsidRPr="001220DF">
        <w:rPr>
          <w:rFonts w:ascii="Times New Roman" w:hAnsi="Times New Roman" w:cs="Times New Roman"/>
          <w:color w:val="000000" w:themeColor="text1"/>
          <w:sz w:val="24"/>
          <w:szCs w:val="24"/>
        </w:rPr>
        <w:t>s</w:t>
      </w:r>
      <w:r w:rsidRPr="001220DF">
        <w:rPr>
          <w:rFonts w:ascii="Times New Roman" w:hAnsi="Times New Roman" w:cs="Times New Roman"/>
          <w:color w:val="000000" w:themeColor="text1"/>
          <w:sz w:val="24"/>
          <w:szCs w:val="24"/>
        </w:rPr>
        <w:t>tomers</w:t>
      </w:r>
      <w:r w:rsidR="00FD7A2F" w:rsidRPr="001220DF">
        <w:rPr>
          <w:rFonts w:ascii="Times New Roman" w:hAnsi="Times New Roman" w:cs="Times New Roman"/>
          <w:color w:val="000000" w:themeColor="text1"/>
          <w:sz w:val="24"/>
          <w:szCs w:val="24"/>
        </w:rPr>
        <w:t xml:space="preserve"> </w:t>
      </w:r>
      <w:r w:rsidRPr="001220DF">
        <w:rPr>
          <w:rFonts w:ascii="Times New Roman" w:hAnsi="Times New Roman" w:cs="Times New Roman"/>
          <w:color w:val="000000" w:themeColor="text1"/>
          <w:sz w:val="24"/>
          <w:szCs w:val="24"/>
        </w:rPr>
        <w:t>and others related to this company and always make sure the quality of service</w:t>
      </w:r>
      <w:r>
        <w:rPr>
          <w:color w:val="000000" w:themeColor="text1"/>
        </w:rPr>
        <w:t>.</w:t>
      </w:r>
    </w:p>
    <w:p w:rsidR="00A90E31" w:rsidRPr="00A90E31" w:rsidRDefault="00A90E31" w:rsidP="00A90E31">
      <w:pPr>
        <w:pStyle w:val="Heading1"/>
        <w:rPr>
          <w:b/>
          <w:u w:val="single"/>
        </w:rPr>
      </w:pPr>
      <w:bookmarkStart w:id="14" w:name="_Toc527816465"/>
      <w:r w:rsidRPr="00A90E31">
        <w:rPr>
          <w:b/>
          <w:u w:val="single"/>
        </w:rPr>
        <w:t>Objective of the Study:</w:t>
      </w:r>
      <w:bookmarkEnd w:id="14"/>
    </w:p>
    <w:p w:rsidR="00A90E31" w:rsidRDefault="00A90E31" w:rsidP="001E5B99">
      <w:pPr>
        <w:spacing w:line="360" w:lineRule="auto"/>
        <w:jc w:val="both"/>
        <w:rPr>
          <w:rFonts w:ascii="Times New Roman" w:eastAsia="Times New Roman" w:hAnsi="Times New Roman"/>
          <w:b/>
          <w:color w:val="0033CC"/>
          <w:sz w:val="28"/>
          <w:u w:val="single"/>
        </w:rPr>
      </w:pPr>
    </w:p>
    <w:p w:rsidR="00A379A7" w:rsidRPr="00A90E31" w:rsidRDefault="00C4726E" w:rsidP="00A90E31">
      <w:pPr>
        <w:pStyle w:val="Heading3"/>
        <w:rPr>
          <w:rFonts w:eastAsia="Times New Roman"/>
          <w:b/>
          <w:u w:val="single"/>
        </w:rPr>
      </w:pPr>
      <w:bookmarkStart w:id="15" w:name="_Toc527816466"/>
      <w:r w:rsidRPr="00A90E31">
        <w:rPr>
          <w:rFonts w:eastAsia="Times New Roman"/>
          <w:b/>
          <w:u w:val="single"/>
        </w:rPr>
        <w:t>Primary (or Academic ) Objective</w:t>
      </w:r>
      <w:r w:rsidR="001418D9" w:rsidRPr="00A90E31">
        <w:rPr>
          <w:rFonts w:eastAsia="Times New Roman"/>
          <w:b/>
          <w:u w:val="single"/>
        </w:rPr>
        <w:t>:</w:t>
      </w:r>
      <w:bookmarkEnd w:id="15"/>
    </w:p>
    <w:p w:rsidR="00A379A7" w:rsidRDefault="001418D9" w:rsidP="001E5B99">
      <w:pPr>
        <w:spacing w:line="360" w:lineRule="auto"/>
        <w:jc w:val="both"/>
        <w:rPr>
          <w:rFonts w:ascii="Times New Roman" w:eastAsia="Times New Roman" w:hAnsi="Times New Roman"/>
          <w:sz w:val="24"/>
        </w:rPr>
      </w:pPr>
      <w:r>
        <w:rPr>
          <w:rFonts w:ascii="Times New Roman" w:eastAsia="Times New Roman" w:hAnsi="Times New Roman"/>
          <w:color w:val="000000"/>
          <w:sz w:val="24"/>
        </w:rPr>
        <w:t xml:space="preserve">The </w:t>
      </w:r>
      <w:r w:rsidR="00AF2CDE">
        <w:rPr>
          <w:rFonts w:ascii="Times New Roman" w:eastAsia="Times New Roman" w:hAnsi="Times New Roman"/>
          <w:color w:val="000000"/>
          <w:sz w:val="24"/>
        </w:rPr>
        <w:t xml:space="preserve">primary </w:t>
      </w:r>
      <w:r w:rsidR="006E6113">
        <w:rPr>
          <w:rFonts w:ascii="Times New Roman" w:eastAsia="Times New Roman" w:hAnsi="Times New Roman"/>
          <w:color w:val="000000"/>
          <w:sz w:val="24"/>
        </w:rPr>
        <w:t>objective of this</w:t>
      </w:r>
      <w:r>
        <w:rPr>
          <w:rFonts w:ascii="Times New Roman" w:eastAsia="Times New Roman" w:hAnsi="Times New Roman"/>
          <w:color w:val="000000"/>
          <w:sz w:val="24"/>
        </w:rPr>
        <w:t xml:space="preserve"> report is to analyze the </w:t>
      </w:r>
      <w:r w:rsidR="006E6113">
        <w:rPr>
          <w:rFonts w:ascii="Times New Roman" w:eastAsia="Times New Roman" w:hAnsi="Times New Roman"/>
          <w:color w:val="000000"/>
          <w:sz w:val="24"/>
        </w:rPr>
        <w:t xml:space="preserve">performance </w:t>
      </w:r>
      <w:r>
        <w:rPr>
          <w:rFonts w:ascii="Times New Roman" w:eastAsia="Times New Roman" w:hAnsi="Times New Roman"/>
          <w:sz w:val="24"/>
        </w:rPr>
        <w:t>of</w:t>
      </w:r>
      <w:r w:rsidR="006E6113">
        <w:rPr>
          <w:rFonts w:ascii="Times New Roman" w:eastAsia="Times New Roman" w:hAnsi="Times New Roman"/>
          <w:sz w:val="24"/>
        </w:rPr>
        <w:t xml:space="preserve"> Linde Company by using various tools or formulas to complete my internship report.</w:t>
      </w:r>
    </w:p>
    <w:p w:rsidR="00A379A7" w:rsidRPr="00A90E31" w:rsidRDefault="00C4726E" w:rsidP="00A90E31">
      <w:pPr>
        <w:pStyle w:val="Heading3"/>
        <w:rPr>
          <w:rFonts w:eastAsia="Times New Roman"/>
          <w:b/>
          <w:u w:val="single"/>
        </w:rPr>
      </w:pPr>
      <w:bookmarkStart w:id="16" w:name="_Toc527816467"/>
      <w:r w:rsidRPr="00A90E31">
        <w:rPr>
          <w:rFonts w:eastAsia="Times New Roman"/>
          <w:b/>
          <w:u w:val="single"/>
        </w:rPr>
        <w:t>Secondary (or Study) Objectives</w:t>
      </w:r>
      <w:r w:rsidR="001418D9" w:rsidRPr="00A90E31">
        <w:rPr>
          <w:rFonts w:eastAsia="Times New Roman"/>
          <w:b/>
          <w:u w:val="single"/>
        </w:rPr>
        <w:t>:</w:t>
      </w:r>
      <w:bookmarkEnd w:id="16"/>
    </w:p>
    <w:p w:rsidR="00A379A7" w:rsidRPr="006E6113" w:rsidRDefault="001418D9" w:rsidP="00B70C6E">
      <w:pPr>
        <w:numPr>
          <w:ilvl w:val="0"/>
          <w:numId w:val="1"/>
        </w:numPr>
        <w:spacing w:after="200" w:line="360" w:lineRule="auto"/>
        <w:ind w:left="1080" w:hanging="360"/>
        <w:jc w:val="both"/>
        <w:rPr>
          <w:rFonts w:ascii="Times New Roman" w:eastAsia="Times New Roman" w:hAnsi="Times New Roman"/>
          <w:b/>
          <w:sz w:val="24"/>
        </w:rPr>
      </w:pPr>
      <w:r>
        <w:rPr>
          <w:rFonts w:ascii="Times New Roman" w:eastAsia="Times New Roman" w:hAnsi="Times New Roman"/>
          <w:color w:val="000000"/>
          <w:sz w:val="24"/>
        </w:rPr>
        <w:t xml:space="preserve">To </w:t>
      </w:r>
      <w:r w:rsidR="006E6113">
        <w:rPr>
          <w:rFonts w:ascii="Times New Roman" w:eastAsia="Times New Roman" w:hAnsi="Times New Roman"/>
          <w:color w:val="000000"/>
          <w:sz w:val="24"/>
        </w:rPr>
        <w:t>know about the performance of Linde</w:t>
      </w:r>
    </w:p>
    <w:p w:rsidR="006E6113" w:rsidRDefault="006E6113" w:rsidP="00B70C6E">
      <w:pPr>
        <w:numPr>
          <w:ilvl w:val="0"/>
          <w:numId w:val="1"/>
        </w:numPr>
        <w:spacing w:after="200" w:line="360" w:lineRule="auto"/>
        <w:ind w:left="1080" w:hanging="360"/>
        <w:jc w:val="both"/>
        <w:rPr>
          <w:rFonts w:ascii="Times New Roman" w:eastAsia="Times New Roman" w:hAnsi="Times New Roman"/>
          <w:b/>
          <w:sz w:val="24"/>
        </w:rPr>
      </w:pPr>
      <w:r>
        <w:rPr>
          <w:rFonts w:ascii="Times New Roman" w:eastAsia="Times New Roman" w:hAnsi="Times New Roman"/>
          <w:color w:val="000000"/>
          <w:sz w:val="24"/>
        </w:rPr>
        <w:t>Compare Linde’s Performance with Industry average</w:t>
      </w:r>
    </w:p>
    <w:p w:rsidR="00A379A7" w:rsidRDefault="006E6113" w:rsidP="00B70C6E">
      <w:pPr>
        <w:numPr>
          <w:ilvl w:val="0"/>
          <w:numId w:val="1"/>
        </w:numPr>
        <w:spacing w:after="200" w:line="360" w:lineRule="auto"/>
        <w:ind w:left="1080" w:hanging="360"/>
        <w:jc w:val="both"/>
        <w:rPr>
          <w:rFonts w:ascii="Times New Roman" w:eastAsia="Times New Roman" w:hAnsi="Times New Roman"/>
          <w:sz w:val="24"/>
        </w:rPr>
      </w:pPr>
      <w:r>
        <w:rPr>
          <w:rFonts w:ascii="Times New Roman" w:eastAsia="Times New Roman" w:hAnsi="Times New Roman"/>
          <w:sz w:val="24"/>
        </w:rPr>
        <w:t>To see about</w:t>
      </w:r>
      <w:r w:rsidR="001418D9">
        <w:rPr>
          <w:rFonts w:ascii="Times New Roman" w:eastAsia="Times New Roman" w:hAnsi="Times New Roman"/>
          <w:sz w:val="24"/>
        </w:rPr>
        <w:t xml:space="preserve"> different Financial Ratio</w:t>
      </w:r>
      <w:r>
        <w:rPr>
          <w:rFonts w:ascii="Times New Roman" w:eastAsia="Times New Roman" w:hAnsi="Times New Roman"/>
          <w:sz w:val="24"/>
        </w:rPr>
        <w:t xml:space="preserve"> of Linde</w:t>
      </w:r>
    </w:p>
    <w:p w:rsidR="00FF331E" w:rsidRPr="001220DF" w:rsidRDefault="001418D9" w:rsidP="00B70C6E">
      <w:pPr>
        <w:numPr>
          <w:ilvl w:val="0"/>
          <w:numId w:val="1"/>
        </w:numPr>
        <w:spacing w:after="200" w:line="360" w:lineRule="auto"/>
        <w:ind w:left="1080" w:hanging="360"/>
        <w:jc w:val="both"/>
        <w:rPr>
          <w:rFonts w:ascii="Times New Roman" w:eastAsia="Times New Roman" w:hAnsi="Times New Roman"/>
          <w:sz w:val="24"/>
        </w:rPr>
      </w:pPr>
      <w:r>
        <w:rPr>
          <w:rFonts w:ascii="Times New Roman" w:eastAsia="Times New Roman" w:hAnsi="Times New Roman"/>
          <w:sz w:val="24"/>
        </w:rPr>
        <w:t xml:space="preserve">Compare </w:t>
      </w:r>
      <w:r w:rsidR="006E6113">
        <w:rPr>
          <w:rFonts w:ascii="Times New Roman" w:eastAsia="Times New Roman" w:hAnsi="Times New Roman"/>
          <w:sz w:val="24"/>
        </w:rPr>
        <w:t>two year performance</w:t>
      </w:r>
    </w:p>
    <w:p w:rsidR="00A90E31" w:rsidRPr="00A90E31" w:rsidRDefault="00A90E31" w:rsidP="00A90E31">
      <w:pPr>
        <w:pStyle w:val="Heading1"/>
        <w:rPr>
          <w:rFonts w:eastAsiaTheme="minorEastAsia"/>
          <w:b/>
          <w:u w:val="single"/>
        </w:rPr>
      </w:pPr>
      <w:bookmarkStart w:id="17" w:name="_Toc527816468"/>
      <w:r w:rsidRPr="00A90E31">
        <w:rPr>
          <w:b/>
          <w:u w:val="single"/>
        </w:rPr>
        <w:t>Methodology of the study:</w:t>
      </w:r>
      <w:bookmarkEnd w:id="17"/>
    </w:p>
    <w:p w:rsidR="005A0B82" w:rsidRPr="001220DF" w:rsidRDefault="005A0B82" w:rsidP="00B70C6E">
      <w:pPr>
        <w:pStyle w:val="ListParagraph"/>
        <w:numPr>
          <w:ilvl w:val="0"/>
          <w:numId w:val="11"/>
        </w:numPr>
        <w:spacing w:line="360" w:lineRule="auto"/>
        <w:jc w:val="both"/>
        <w:rPr>
          <w:rFonts w:ascii="Times New Roman" w:eastAsia="Times New Roman" w:hAnsi="Times New Roman"/>
          <w:color w:val="000000" w:themeColor="text1"/>
          <w:sz w:val="24"/>
          <w:szCs w:val="24"/>
        </w:rPr>
      </w:pPr>
      <w:r w:rsidRPr="001220DF">
        <w:rPr>
          <w:rFonts w:ascii="Times New Roman" w:eastAsia="Times New Roman" w:hAnsi="Times New Roman"/>
          <w:color w:val="000000" w:themeColor="text1"/>
          <w:sz w:val="24"/>
          <w:szCs w:val="24"/>
        </w:rPr>
        <w:t>Both Primary and secondary data has been used in this report.</w:t>
      </w:r>
    </w:p>
    <w:p w:rsidR="00B83963" w:rsidRPr="001220DF" w:rsidRDefault="00B83963" w:rsidP="00B70C6E">
      <w:pPr>
        <w:pStyle w:val="ListParagraph"/>
        <w:numPr>
          <w:ilvl w:val="0"/>
          <w:numId w:val="11"/>
        </w:numPr>
        <w:spacing w:line="360" w:lineRule="auto"/>
        <w:jc w:val="both"/>
        <w:rPr>
          <w:rFonts w:ascii="Times New Roman" w:eastAsia="Times New Roman" w:hAnsi="Times New Roman"/>
          <w:color w:val="000000" w:themeColor="text1"/>
          <w:sz w:val="24"/>
          <w:szCs w:val="24"/>
        </w:rPr>
      </w:pPr>
      <w:r w:rsidRPr="001220DF">
        <w:rPr>
          <w:rFonts w:ascii="Times New Roman" w:eastAsia="Times New Roman" w:hAnsi="Times New Roman"/>
          <w:color w:val="000000" w:themeColor="text1"/>
          <w:sz w:val="24"/>
          <w:szCs w:val="24"/>
        </w:rPr>
        <w:lastRenderedPageBreak/>
        <w:t>Data has been collected from annual report of Linde, and from employees of Linde</w:t>
      </w:r>
    </w:p>
    <w:p w:rsidR="00B83963" w:rsidRPr="001220DF" w:rsidRDefault="00B83963" w:rsidP="00B70C6E">
      <w:pPr>
        <w:pStyle w:val="ListParagraph"/>
        <w:numPr>
          <w:ilvl w:val="0"/>
          <w:numId w:val="11"/>
        </w:numPr>
        <w:spacing w:line="360" w:lineRule="auto"/>
        <w:jc w:val="both"/>
        <w:rPr>
          <w:rFonts w:ascii="Times New Roman" w:eastAsia="Times New Roman" w:hAnsi="Times New Roman"/>
          <w:color w:val="000000" w:themeColor="text1"/>
          <w:sz w:val="24"/>
          <w:szCs w:val="24"/>
        </w:rPr>
      </w:pPr>
      <w:r w:rsidRPr="001220DF">
        <w:rPr>
          <w:rFonts w:ascii="Times New Roman" w:eastAsia="Times New Roman" w:hAnsi="Times New Roman"/>
          <w:color w:val="000000" w:themeColor="text1"/>
          <w:sz w:val="24"/>
          <w:szCs w:val="24"/>
        </w:rPr>
        <w:t>Sample size has been  2</w:t>
      </w:r>
    </w:p>
    <w:p w:rsidR="00B83963" w:rsidRPr="001220DF" w:rsidRDefault="006E0236" w:rsidP="00B70C6E">
      <w:pPr>
        <w:pStyle w:val="ListParagraph"/>
        <w:numPr>
          <w:ilvl w:val="0"/>
          <w:numId w:val="11"/>
        </w:numPr>
        <w:spacing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Non probability sampling techni</w:t>
      </w:r>
      <w:r w:rsidR="00B83963" w:rsidRPr="001220DF">
        <w:rPr>
          <w:rFonts w:ascii="Times New Roman" w:eastAsia="Times New Roman" w:hAnsi="Times New Roman"/>
          <w:color w:val="000000" w:themeColor="text1"/>
          <w:sz w:val="24"/>
          <w:szCs w:val="24"/>
        </w:rPr>
        <w:t>que has been used</w:t>
      </w:r>
    </w:p>
    <w:p w:rsidR="00A379A7" w:rsidRPr="001220DF" w:rsidRDefault="00B83963" w:rsidP="00B70C6E">
      <w:pPr>
        <w:pStyle w:val="ListParagraph"/>
        <w:numPr>
          <w:ilvl w:val="0"/>
          <w:numId w:val="11"/>
        </w:numPr>
        <w:spacing w:line="360" w:lineRule="auto"/>
        <w:jc w:val="both"/>
        <w:rPr>
          <w:rFonts w:ascii="Times New Roman" w:eastAsia="Times New Roman" w:hAnsi="Times New Roman"/>
          <w:color w:val="000000" w:themeColor="text1"/>
          <w:sz w:val="24"/>
          <w:szCs w:val="24"/>
        </w:rPr>
      </w:pPr>
      <w:r w:rsidRPr="001220DF">
        <w:rPr>
          <w:rFonts w:ascii="Times New Roman" w:eastAsia="Times New Roman" w:hAnsi="Times New Roman"/>
          <w:color w:val="000000" w:themeColor="text1"/>
          <w:sz w:val="24"/>
          <w:szCs w:val="24"/>
        </w:rPr>
        <w:t xml:space="preserve">Data has been analyzed and compared </w:t>
      </w:r>
    </w:p>
    <w:p w:rsidR="00A379A7" w:rsidRPr="00521C97" w:rsidRDefault="00521C97" w:rsidP="00521C97">
      <w:pPr>
        <w:pStyle w:val="Heading1"/>
        <w:rPr>
          <w:b/>
          <w:u w:val="single"/>
        </w:rPr>
      </w:pPr>
      <w:bookmarkStart w:id="18" w:name="_Toc527816469"/>
      <w:r w:rsidRPr="00521C97">
        <w:rPr>
          <w:b/>
          <w:u w:val="single"/>
        </w:rPr>
        <w:t>Findings of the Study:</w:t>
      </w:r>
      <w:bookmarkEnd w:id="18"/>
    </w:p>
    <w:p w:rsidR="00521C97" w:rsidRDefault="00521C97">
      <w:pPr>
        <w:spacing w:after="0" w:line="240" w:lineRule="auto"/>
        <w:jc w:val="both"/>
        <w:rPr>
          <w:rFonts w:ascii="Times New Roman" w:eastAsia="Times New Roman" w:hAnsi="Times New Roman"/>
          <w:b/>
          <w:sz w:val="28"/>
        </w:rPr>
      </w:pPr>
    </w:p>
    <w:p w:rsidR="00A379A7" w:rsidRPr="001220DF" w:rsidRDefault="001220D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Here is Linde’s balance sheet and income statement for analysis.</w:t>
      </w:r>
    </w:p>
    <w:p w:rsidR="00A379A7" w:rsidRDefault="00A379A7">
      <w:pPr>
        <w:spacing w:after="0" w:line="240" w:lineRule="auto"/>
        <w:jc w:val="both"/>
        <w:rPr>
          <w:rFonts w:ascii="Times New Roman" w:eastAsia="Times New Roman" w:hAnsi="Times New Roman"/>
          <w:b/>
          <w:sz w:val="28"/>
        </w:rPr>
      </w:pPr>
    </w:p>
    <w:p w:rsidR="00A379A7" w:rsidRDefault="00A379A7">
      <w:pPr>
        <w:spacing w:after="0" w:line="240" w:lineRule="auto"/>
        <w:jc w:val="both"/>
        <w:rPr>
          <w:rFonts w:ascii="Times New Roman" w:eastAsia="Times New Roman" w:hAnsi="Times New Roman"/>
          <w:b/>
          <w:sz w:val="28"/>
        </w:rPr>
      </w:pPr>
    </w:p>
    <w:p w:rsidR="005638B8" w:rsidRDefault="005638B8">
      <w:pPr>
        <w:spacing w:after="0" w:line="240" w:lineRule="auto"/>
        <w:jc w:val="both"/>
        <w:rPr>
          <w:rFonts w:ascii="Times New Roman" w:eastAsia="Times New Roman" w:hAnsi="Times New Roman"/>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1"/>
        <w:gridCol w:w="1139"/>
        <w:gridCol w:w="1110"/>
        <w:gridCol w:w="1217"/>
        <w:gridCol w:w="1284"/>
      </w:tblGrid>
      <w:tr w:rsidR="00233AEB" w:rsidTr="00563E5D">
        <w:trPr>
          <w:trHeight w:val="908"/>
        </w:trPr>
        <w:tc>
          <w:tcPr>
            <w:tcW w:w="0" w:type="auto"/>
            <w:gridSpan w:val="5"/>
          </w:tcPr>
          <w:p w:rsidR="00233AEB" w:rsidRPr="00F32B77" w:rsidRDefault="00233AEB" w:rsidP="00F32B77">
            <w:pPr>
              <w:pStyle w:val="Heading5"/>
              <w:jc w:val="center"/>
              <w:rPr>
                <w:b/>
              </w:rPr>
            </w:pPr>
            <w:r w:rsidRPr="00F32B77">
              <w:rPr>
                <w:b/>
              </w:rPr>
              <w:t>LINDE BANGLADESH LTD.</w:t>
            </w:r>
          </w:p>
          <w:p w:rsidR="00233AEB" w:rsidRPr="00F32B77" w:rsidRDefault="00233AEB" w:rsidP="00F32B77">
            <w:pPr>
              <w:pStyle w:val="Heading5"/>
              <w:jc w:val="center"/>
              <w:rPr>
                <w:b/>
              </w:rPr>
            </w:pPr>
            <w:r w:rsidRPr="00F32B77">
              <w:rPr>
                <w:b/>
              </w:rPr>
              <w:t>Balance Sheet - Two-Year Comparison</w:t>
            </w:r>
          </w:p>
          <w:p w:rsidR="00233AEB" w:rsidRDefault="00233AEB">
            <w:pPr>
              <w:spacing w:after="0" w:line="240" w:lineRule="auto"/>
              <w:jc w:val="both"/>
              <w:rPr>
                <w:rFonts w:ascii="Times New Roman" w:eastAsia="Times New Roman" w:hAnsi="Times New Roman"/>
                <w:b/>
                <w:sz w:val="28"/>
              </w:rPr>
            </w:pPr>
          </w:p>
        </w:tc>
      </w:tr>
      <w:tr w:rsidR="00233AEB" w:rsidTr="00563E5D">
        <w:trPr>
          <w:trHeight w:val="737"/>
        </w:trPr>
        <w:tc>
          <w:tcPr>
            <w:tcW w:w="0" w:type="auto"/>
          </w:tcPr>
          <w:p w:rsidR="00233AEB" w:rsidRDefault="00233AEB" w:rsidP="00233AEB">
            <w:r>
              <w:rPr>
                <w:rFonts w:ascii="Arial" w:hAnsi="Arial" w:cs="Arial"/>
                <w:b/>
                <w:bCs/>
              </w:rPr>
              <w:t>Assets</w:t>
            </w:r>
          </w:p>
        </w:tc>
        <w:tc>
          <w:tcPr>
            <w:tcW w:w="0" w:type="auto"/>
          </w:tcPr>
          <w:p w:rsidR="00233AEB" w:rsidRPr="003A5FF1" w:rsidRDefault="00233AEB" w:rsidP="00233AEB">
            <w:pPr>
              <w:autoSpaceDE w:val="0"/>
              <w:autoSpaceDN w:val="0"/>
              <w:adjustRightInd w:val="0"/>
              <w:jc w:val="right"/>
              <w:rPr>
                <w:rFonts w:cs="LindeDaxGlobal-Regular"/>
                <w:b/>
              </w:rPr>
            </w:pPr>
            <w:r w:rsidRPr="003A5FF1">
              <w:rPr>
                <w:rFonts w:cs="LindeDaxGlobal-Regular"/>
                <w:b/>
              </w:rPr>
              <w:t xml:space="preserve">2017 </w:t>
            </w:r>
          </w:p>
          <w:p w:rsidR="00233AEB" w:rsidRPr="003A5FF1" w:rsidRDefault="00233AEB" w:rsidP="00233AEB">
            <w:pPr>
              <w:autoSpaceDE w:val="0"/>
              <w:autoSpaceDN w:val="0"/>
              <w:adjustRightInd w:val="0"/>
              <w:jc w:val="right"/>
              <w:rPr>
                <w:rFonts w:cs="LindeDaxGlobal-Regular"/>
                <w:b/>
              </w:rPr>
            </w:pPr>
            <w:r w:rsidRPr="003A5FF1">
              <w:rPr>
                <w:rFonts w:cs="LindeDaxGlobal-Regular"/>
                <w:b/>
              </w:rPr>
              <w:t xml:space="preserve"> ‘000 Taka</w:t>
            </w:r>
          </w:p>
        </w:tc>
        <w:tc>
          <w:tcPr>
            <w:tcW w:w="0" w:type="auto"/>
          </w:tcPr>
          <w:p w:rsidR="00233AEB" w:rsidRPr="003A5FF1" w:rsidRDefault="00233AEB" w:rsidP="00233AEB">
            <w:pPr>
              <w:jc w:val="right"/>
              <w:rPr>
                <w:rFonts w:cs="LindeDaxGlobal-Regular"/>
                <w:b/>
              </w:rPr>
            </w:pPr>
            <w:r w:rsidRPr="003A5FF1">
              <w:rPr>
                <w:rFonts w:cs="LindeDaxGlobal-Regular"/>
                <w:b/>
              </w:rPr>
              <w:t>2016</w:t>
            </w:r>
          </w:p>
          <w:p w:rsidR="00233AEB" w:rsidRPr="003A5FF1" w:rsidRDefault="00233AEB" w:rsidP="00233AEB">
            <w:pPr>
              <w:jc w:val="right"/>
              <w:rPr>
                <w:b/>
              </w:rPr>
            </w:pPr>
            <w:r w:rsidRPr="003A5FF1">
              <w:rPr>
                <w:rFonts w:cs="LindeDaxGlobal-Regular"/>
                <w:b/>
              </w:rPr>
              <w:t>‘000 Taka</w:t>
            </w:r>
          </w:p>
        </w:tc>
        <w:tc>
          <w:tcPr>
            <w:tcW w:w="0" w:type="auto"/>
          </w:tcPr>
          <w:p w:rsidR="00233AEB" w:rsidRDefault="00233AEB" w:rsidP="00233AEB">
            <w:pPr>
              <w:jc w:val="right"/>
            </w:pPr>
            <w:r>
              <w:rPr>
                <w:rFonts w:ascii="Arial" w:hAnsi="Arial" w:cs="Arial"/>
                <w:b/>
                <w:bCs/>
                <w:sz w:val="20"/>
                <w:szCs w:val="20"/>
              </w:rPr>
              <w:t>$ Variance</w:t>
            </w:r>
          </w:p>
        </w:tc>
        <w:tc>
          <w:tcPr>
            <w:tcW w:w="0" w:type="auto"/>
          </w:tcPr>
          <w:p w:rsidR="00233AEB" w:rsidRDefault="00233AEB" w:rsidP="00233AEB">
            <w:pPr>
              <w:jc w:val="right"/>
            </w:pPr>
            <w:r>
              <w:rPr>
                <w:rFonts w:ascii="Arial" w:hAnsi="Arial" w:cs="Arial"/>
                <w:b/>
                <w:bCs/>
                <w:sz w:val="20"/>
                <w:szCs w:val="20"/>
              </w:rPr>
              <w:t>% Variance</w:t>
            </w:r>
          </w:p>
        </w:tc>
      </w:tr>
      <w:tr w:rsidR="00233AEB" w:rsidTr="00563E5D">
        <w:tc>
          <w:tcPr>
            <w:tcW w:w="0" w:type="auto"/>
          </w:tcPr>
          <w:p w:rsidR="00233AEB" w:rsidRPr="00AA74A2" w:rsidRDefault="00233AEB" w:rsidP="00233AEB">
            <w:r w:rsidRPr="00AA74A2">
              <w:rPr>
                <w:rFonts w:cs="LindeDaxGlobal-Light"/>
              </w:rPr>
              <w:t>Property, plant and equipment</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3,218,638</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2,543,935</w:t>
            </w:r>
          </w:p>
        </w:tc>
        <w:tc>
          <w:tcPr>
            <w:tcW w:w="0" w:type="auto"/>
          </w:tcPr>
          <w:p w:rsidR="00233AEB" w:rsidRDefault="00233AEB" w:rsidP="00233AEB">
            <w:pPr>
              <w:jc w:val="right"/>
            </w:pPr>
            <w:r w:rsidRPr="001573D8">
              <w:t>674</w:t>
            </w:r>
            <w:r>
              <w:t>,</w:t>
            </w:r>
            <w:r w:rsidRPr="001573D8">
              <w:t>703</w:t>
            </w:r>
          </w:p>
        </w:tc>
        <w:tc>
          <w:tcPr>
            <w:tcW w:w="0" w:type="auto"/>
          </w:tcPr>
          <w:p w:rsidR="00233AEB" w:rsidRDefault="00233AEB" w:rsidP="00233AEB">
            <w:pPr>
              <w:jc w:val="right"/>
            </w:pPr>
            <w:r>
              <w:t>26.52%</w:t>
            </w:r>
          </w:p>
        </w:tc>
      </w:tr>
      <w:tr w:rsidR="00233AEB" w:rsidTr="00563E5D">
        <w:tc>
          <w:tcPr>
            <w:tcW w:w="0" w:type="auto"/>
          </w:tcPr>
          <w:p w:rsidR="00233AEB" w:rsidRPr="00AA74A2" w:rsidRDefault="00233AEB" w:rsidP="00233AEB">
            <w:r w:rsidRPr="00AA74A2">
              <w:rPr>
                <w:rFonts w:cs="LindeDaxGlobal-Light"/>
              </w:rPr>
              <w:t>Intangible assets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18,699</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26,412</w:t>
            </w:r>
          </w:p>
        </w:tc>
        <w:tc>
          <w:tcPr>
            <w:tcW w:w="0" w:type="auto"/>
          </w:tcPr>
          <w:p w:rsidR="00233AEB" w:rsidRDefault="00233AEB" w:rsidP="00233AEB">
            <w:pPr>
              <w:jc w:val="right"/>
            </w:pPr>
            <w:r>
              <w:t>(</w:t>
            </w:r>
            <w:r w:rsidRPr="00DD006E">
              <w:t>7</w:t>
            </w:r>
            <w:r>
              <w:t>,</w:t>
            </w:r>
            <w:r w:rsidRPr="00DD006E">
              <w:t>713</w:t>
            </w:r>
            <w:r>
              <w:t>)</w:t>
            </w:r>
          </w:p>
        </w:tc>
        <w:tc>
          <w:tcPr>
            <w:tcW w:w="0" w:type="auto"/>
          </w:tcPr>
          <w:p w:rsidR="00233AEB" w:rsidRDefault="00233AEB" w:rsidP="00233AEB">
            <w:pPr>
              <w:jc w:val="right"/>
            </w:pPr>
            <w:r>
              <w:t>(29.20)%</w:t>
            </w:r>
          </w:p>
        </w:tc>
      </w:tr>
      <w:tr w:rsidR="00233AEB" w:rsidTr="00563E5D">
        <w:tc>
          <w:tcPr>
            <w:tcW w:w="0" w:type="auto"/>
          </w:tcPr>
          <w:p w:rsidR="00233AEB" w:rsidRPr="00AA74A2" w:rsidRDefault="00233AEB" w:rsidP="00233AEB">
            <w:pPr>
              <w:rPr>
                <w:rFonts w:cs="LindeDaxGlobal-Light"/>
              </w:rPr>
            </w:pPr>
          </w:p>
        </w:tc>
        <w:tc>
          <w:tcPr>
            <w:tcW w:w="0" w:type="auto"/>
          </w:tcPr>
          <w:p w:rsidR="00233AEB" w:rsidRPr="004C55FF" w:rsidRDefault="00233AEB" w:rsidP="00233AEB">
            <w:pPr>
              <w:jc w:val="right"/>
              <w:rPr>
                <w:rFonts w:cs="LindeDaxGlobal-Light"/>
                <w:color w:val="000000" w:themeColor="text1"/>
              </w:rPr>
            </w:pPr>
          </w:p>
        </w:tc>
        <w:tc>
          <w:tcPr>
            <w:tcW w:w="0" w:type="auto"/>
          </w:tcPr>
          <w:p w:rsidR="00233AEB" w:rsidRPr="004C55FF" w:rsidRDefault="00233AEB" w:rsidP="00233AEB">
            <w:pPr>
              <w:jc w:val="right"/>
              <w:rPr>
                <w:rFonts w:cs="LindeDaxGlobal-Light"/>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AA74A2" w:rsidRDefault="00233AEB" w:rsidP="00233AEB">
            <w:r w:rsidRPr="00AA74A2">
              <w:rPr>
                <w:rFonts w:cs="LindeDaxGlobal-Light"/>
              </w:rPr>
              <w:t>Advances, deposits and prepayments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80,500</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74,390</w:t>
            </w:r>
          </w:p>
        </w:tc>
        <w:tc>
          <w:tcPr>
            <w:tcW w:w="0" w:type="auto"/>
          </w:tcPr>
          <w:p w:rsidR="00233AEB" w:rsidRDefault="00233AEB" w:rsidP="00233AEB">
            <w:pPr>
              <w:jc w:val="right"/>
            </w:pPr>
            <w:r w:rsidRPr="00B00E90">
              <w:t>6</w:t>
            </w:r>
            <w:r>
              <w:t>,</w:t>
            </w:r>
            <w:r w:rsidRPr="00B00E90">
              <w:t>110</w:t>
            </w:r>
          </w:p>
        </w:tc>
        <w:tc>
          <w:tcPr>
            <w:tcW w:w="0" w:type="auto"/>
          </w:tcPr>
          <w:p w:rsidR="00233AEB" w:rsidRDefault="00233AEB" w:rsidP="00233AEB">
            <w:pPr>
              <w:jc w:val="right"/>
            </w:pPr>
            <w:r>
              <w:t>8.21%</w:t>
            </w:r>
          </w:p>
        </w:tc>
      </w:tr>
      <w:tr w:rsidR="00233AEB" w:rsidTr="00563E5D">
        <w:tc>
          <w:tcPr>
            <w:tcW w:w="0" w:type="auto"/>
          </w:tcPr>
          <w:p w:rsidR="00233AEB" w:rsidRPr="00AA74A2" w:rsidRDefault="00233AEB" w:rsidP="00233AEB">
            <w:pPr>
              <w:rPr>
                <w:b/>
              </w:rPr>
            </w:pPr>
            <w:r w:rsidRPr="00AA74A2">
              <w:rPr>
                <w:rFonts w:cs="LindeDaxGlobal-Regular"/>
                <w:b/>
              </w:rPr>
              <w:t>Non-current assets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3,317,837</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2,644,737</w:t>
            </w:r>
          </w:p>
        </w:tc>
        <w:tc>
          <w:tcPr>
            <w:tcW w:w="0" w:type="auto"/>
          </w:tcPr>
          <w:p w:rsidR="00233AEB" w:rsidRDefault="00233AEB" w:rsidP="00233AEB">
            <w:pPr>
              <w:jc w:val="right"/>
            </w:pPr>
            <w:r w:rsidRPr="00B47018">
              <w:t>673</w:t>
            </w:r>
            <w:r>
              <w:t>,</w:t>
            </w:r>
            <w:r w:rsidRPr="00B47018">
              <w:t>100</w:t>
            </w:r>
          </w:p>
        </w:tc>
        <w:tc>
          <w:tcPr>
            <w:tcW w:w="0" w:type="auto"/>
          </w:tcPr>
          <w:p w:rsidR="00233AEB" w:rsidRDefault="00233AEB" w:rsidP="00233AEB">
            <w:pPr>
              <w:jc w:val="right"/>
            </w:pPr>
            <w:r>
              <w:t>25.45%</w:t>
            </w:r>
          </w:p>
        </w:tc>
      </w:tr>
      <w:tr w:rsidR="00233AEB" w:rsidTr="00563E5D">
        <w:tc>
          <w:tcPr>
            <w:tcW w:w="0" w:type="auto"/>
          </w:tcPr>
          <w:p w:rsidR="00233AEB" w:rsidRPr="00AA74A2" w:rsidRDefault="00233AEB" w:rsidP="00233AEB">
            <w:r w:rsidRPr="00AA74A2">
              <w:rPr>
                <w:rFonts w:cs="LindeDaxGlobal-Light"/>
              </w:rPr>
              <w:t>Inventories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683,575</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728,622</w:t>
            </w:r>
          </w:p>
        </w:tc>
        <w:tc>
          <w:tcPr>
            <w:tcW w:w="0" w:type="auto"/>
          </w:tcPr>
          <w:p w:rsidR="00233AEB" w:rsidRDefault="00233AEB" w:rsidP="00233AEB">
            <w:pPr>
              <w:jc w:val="right"/>
            </w:pPr>
            <w:r>
              <w:t>(</w:t>
            </w:r>
            <w:r w:rsidRPr="00B47018">
              <w:t>45</w:t>
            </w:r>
            <w:r>
              <w:t>,</w:t>
            </w:r>
            <w:r w:rsidRPr="00B47018">
              <w:t>047</w:t>
            </w:r>
            <w:r>
              <w:t>)</w:t>
            </w:r>
          </w:p>
        </w:tc>
        <w:tc>
          <w:tcPr>
            <w:tcW w:w="0" w:type="auto"/>
          </w:tcPr>
          <w:p w:rsidR="00233AEB" w:rsidRDefault="00233AEB" w:rsidP="00233AEB">
            <w:pPr>
              <w:jc w:val="right"/>
            </w:pPr>
            <w:r>
              <w:t>(6.18)%%</w:t>
            </w:r>
          </w:p>
        </w:tc>
      </w:tr>
      <w:tr w:rsidR="00233AEB" w:rsidTr="00563E5D">
        <w:tc>
          <w:tcPr>
            <w:tcW w:w="0" w:type="auto"/>
          </w:tcPr>
          <w:p w:rsidR="00233AEB" w:rsidRPr="00AA74A2" w:rsidRDefault="00233AEB" w:rsidP="00233AEB">
            <w:r w:rsidRPr="00AA74A2">
              <w:rPr>
                <w:rFonts w:cs="LindeDaxGlobal-Light"/>
              </w:rPr>
              <w:t>Trade and other receivables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608,505</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487,824</w:t>
            </w:r>
          </w:p>
        </w:tc>
        <w:tc>
          <w:tcPr>
            <w:tcW w:w="0" w:type="auto"/>
          </w:tcPr>
          <w:p w:rsidR="00233AEB" w:rsidRDefault="00233AEB" w:rsidP="00233AEB">
            <w:pPr>
              <w:jc w:val="right"/>
            </w:pPr>
            <w:r w:rsidRPr="00B47018">
              <w:t>120</w:t>
            </w:r>
            <w:r>
              <w:t>,</w:t>
            </w:r>
            <w:r w:rsidRPr="00B47018">
              <w:t>681</w:t>
            </w:r>
          </w:p>
        </w:tc>
        <w:tc>
          <w:tcPr>
            <w:tcW w:w="0" w:type="auto"/>
          </w:tcPr>
          <w:p w:rsidR="00233AEB" w:rsidRDefault="00233AEB" w:rsidP="00233AEB">
            <w:pPr>
              <w:jc w:val="right"/>
            </w:pPr>
            <w:r>
              <w:t>24.74%</w:t>
            </w:r>
          </w:p>
        </w:tc>
      </w:tr>
      <w:tr w:rsidR="00233AEB" w:rsidTr="00563E5D">
        <w:tc>
          <w:tcPr>
            <w:tcW w:w="0" w:type="auto"/>
          </w:tcPr>
          <w:p w:rsidR="00233AEB" w:rsidRPr="00AA74A2" w:rsidRDefault="00233AEB" w:rsidP="00233AEB">
            <w:r w:rsidRPr="00AA74A2">
              <w:rPr>
                <w:rFonts w:cs="LindeDaxGlobal-Light"/>
              </w:rPr>
              <w:t>Advances, deposits and prepayments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180,886</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217,181</w:t>
            </w:r>
          </w:p>
        </w:tc>
        <w:tc>
          <w:tcPr>
            <w:tcW w:w="0" w:type="auto"/>
          </w:tcPr>
          <w:p w:rsidR="00233AEB" w:rsidRDefault="00233AEB" w:rsidP="00233AEB">
            <w:pPr>
              <w:jc w:val="right"/>
            </w:pPr>
            <w:r>
              <w:t>(36,295)</w:t>
            </w:r>
          </w:p>
        </w:tc>
        <w:tc>
          <w:tcPr>
            <w:tcW w:w="0" w:type="auto"/>
          </w:tcPr>
          <w:p w:rsidR="00233AEB" w:rsidRDefault="00233AEB" w:rsidP="00233AEB">
            <w:pPr>
              <w:jc w:val="right"/>
            </w:pPr>
            <w:r>
              <w:t>16.71%</w:t>
            </w:r>
          </w:p>
        </w:tc>
      </w:tr>
      <w:tr w:rsidR="00233AEB" w:rsidTr="00563E5D">
        <w:tc>
          <w:tcPr>
            <w:tcW w:w="0" w:type="auto"/>
          </w:tcPr>
          <w:p w:rsidR="00233AEB" w:rsidRPr="00AA74A2" w:rsidRDefault="00233AEB" w:rsidP="00233AEB">
            <w:r w:rsidRPr="00AA74A2">
              <w:rPr>
                <w:rFonts w:cs="LindeDaxGlobal-Light"/>
              </w:rPr>
              <w:t>Investment</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10,535</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10,299</w:t>
            </w:r>
          </w:p>
        </w:tc>
        <w:tc>
          <w:tcPr>
            <w:tcW w:w="0" w:type="auto"/>
          </w:tcPr>
          <w:p w:rsidR="00233AEB" w:rsidRDefault="00233AEB" w:rsidP="00233AEB">
            <w:pPr>
              <w:jc w:val="right"/>
            </w:pPr>
            <w:r>
              <w:t>236</w:t>
            </w:r>
          </w:p>
        </w:tc>
        <w:tc>
          <w:tcPr>
            <w:tcW w:w="0" w:type="auto"/>
          </w:tcPr>
          <w:p w:rsidR="00233AEB" w:rsidRDefault="00233AEB" w:rsidP="00233AEB">
            <w:pPr>
              <w:jc w:val="right"/>
            </w:pPr>
            <w:r>
              <w:t>2.29%</w:t>
            </w:r>
          </w:p>
        </w:tc>
      </w:tr>
      <w:tr w:rsidR="00233AEB" w:rsidTr="00563E5D">
        <w:tc>
          <w:tcPr>
            <w:tcW w:w="0" w:type="auto"/>
          </w:tcPr>
          <w:p w:rsidR="00233AEB" w:rsidRPr="00AA74A2" w:rsidRDefault="00233AEB" w:rsidP="00233AEB">
            <w:r w:rsidRPr="00AA74A2">
              <w:rPr>
                <w:rFonts w:cs="LindeDaxGlobal-Light"/>
              </w:rPr>
              <w:t>Current tax assets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11,113</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w:t>
            </w:r>
          </w:p>
        </w:tc>
        <w:tc>
          <w:tcPr>
            <w:tcW w:w="0" w:type="auto"/>
          </w:tcPr>
          <w:p w:rsidR="00233AEB" w:rsidRDefault="00233AEB" w:rsidP="00233AEB">
            <w:pPr>
              <w:jc w:val="right"/>
            </w:pPr>
            <w:r>
              <w:t>11,113</w:t>
            </w:r>
          </w:p>
        </w:tc>
        <w:tc>
          <w:tcPr>
            <w:tcW w:w="0" w:type="auto"/>
          </w:tcPr>
          <w:p w:rsidR="00233AEB" w:rsidRDefault="00233AEB" w:rsidP="00233AEB">
            <w:pPr>
              <w:jc w:val="right"/>
            </w:pPr>
          </w:p>
        </w:tc>
      </w:tr>
      <w:tr w:rsidR="00233AEB" w:rsidTr="00563E5D">
        <w:tc>
          <w:tcPr>
            <w:tcW w:w="0" w:type="auto"/>
          </w:tcPr>
          <w:p w:rsidR="00233AEB" w:rsidRPr="00AA74A2" w:rsidRDefault="00233AEB" w:rsidP="00233AEB">
            <w:r w:rsidRPr="00AA74A2">
              <w:rPr>
                <w:rFonts w:cs="LindeDaxGlobal-Light"/>
              </w:rPr>
              <w:t>Cash and cash equivalents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1,132,356</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1,391,223</w:t>
            </w:r>
          </w:p>
        </w:tc>
        <w:tc>
          <w:tcPr>
            <w:tcW w:w="0" w:type="auto"/>
          </w:tcPr>
          <w:p w:rsidR="00233AEB" w:rsidRDefault="00233AEB" w:rsidP="00233AEB">
            <w:pPr>
              <w:jc w:val="right"/>
            </w:pPr>
            <w:r>
              <w:t>(258,867)</w:t>
            </w:r>
          </w:p>
        </w:tc>
        <w:tc>
          <w:tcPr>
            <w:tcW w:w="0" w:type="auto"/>
          </w:tcPr>
          <w:p w:rsidR="00233AEB" w:rsidRDefault="00233AEB" w:rsidP="00233AEB">
            <w:pPr>
              <w:jc w:val="right"/>
            </w:pPr>
            <w:r>
              <w:t>-18.61%</w:t>
            </w:r>
          </w:p>
        </w:tc>
      </w:tr>
      <w:tr w:rsidR="00233AEB" w:rsidTr="00563E5D">
        <w:tc>
          <w:tcPr>
            <w:tcW w:w="0" w:type="auto"/>
          </w:tcPr>
          <w:p w:rsidR="00233AEB" w:rsidRPr="00355B56" w:rsidRDefault="00233AEB" w:rsidP="00233AEB">
            <w:pPr>
              <w:rPr>
                <w:b/>
              </w:rPr>
            </w:pPr>
            <w:r w:rsidRPr="00355B56">
              <w:rPr>
                <w:rFonts w:cs="LindeDaxGlobal-Regular"/>
                <w:b/>
              </w:rPr>
              <w:t>Current assets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2,626,970</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2,835,149</w:t>
            </w:r>
          </w:p>
        </w:tc>
        <w:tc>
          <w:tcPr>
            <w:tcW w:w="0" w:type="auto"/>
          </w:tcPr>
          <w:p w:rsidR="00233AEB" w:rsidRDefault="00233AEB" w:rsidP="00233AEB">
            <w:pPr>
              <w:jc w:val="right"/>
            </w:pPr>
            <w:r>
              <w:t>(208,179)</w:t>
            </w:r>
          </w:p>
        </w:tc>
        <w:tc>
          <w:tcPr>
            <w:tcW w:w="0" w:type="auto"/>
          </w:tcPr>
          <w:p w:rsidR="00233AEB" w:rsidRDefault="00233AEB" w:rsidP="00233AEB">
            <w:pPr>
              <w:jc w:val="right"/>
            </w:pPr>
            <w:r>
              <w:t>(7.34)%</w:t>
            </w:r>
          </w:p>
        </w:tc>
      </w:tr>
      <w:tr w:rsidR="00233AEB" w:rsidTr="00563E5D">
        <w:tc>
          <w:tcPr>
            <w:tcW w:w="0" w:type="auto"/>
          </w:tcPr>
          <w:p w:rsidR="00233AEB" w:rsidRPr="00A10702" w:rsidRDefault="00233AEB" w:rsidP="00233AEB">
            <w:pPr>
              <w:jc w:val="center"/>
              <w:rPr>
                <w:b/>
              </w:rPr>
            </w:pPr>
            <w:r w:rsidRPr="00A10702">
              <w:rPr>
                <w:rFonts w:cs="LindeDaxGlobal-Regular"/>
                <w:b/>
              </w:rPr>
              <w:t>Total assets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5,944,807</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5,479,886</w:t>
            </w:r>
          </w:p>
        </w:tc>
        <w:tc>
          <w:tcPr>
            <w:tcW w:w="0" w:type="auto"/>
          </w:tcPr>
          <w:p w:rsidR="00233AEB" w:rsidRDefault="00233AEB" w:rsidP="00233AEB">
            <w:pPr>
              <w:jc w:val="right"/>
            </w:pPr>
            <w:r>
              <w:t>464,921</w:t>
            </w:r>
          </w:p>
        </w:tc>
        <w:tc>
          <w:tcPr>
            <w:tcW w:w="0" w:type="auto"/>
          </w:tcPr>
          <w:p w:rsidR="00233AEB" w:rsidRDefault="00233AEB" w:rsidP="00233AEB">
            <w:pPr>
              <w:jc w:val="right"/>
            </w:pPr>
            <w:r>
              <w:t>8.48%</w:t>
            </w:r>
          </w:p>
        </w:tc>
      </w:tr>
      <w:tr w:rsidR="00233AEB" w:rsidTr="00563E5D">
        <w:tc>
          <w:tcPr>
            <w:tcW w:w="0" w:type="auto"/>
          </w:tcPr>
          <w:p w:rsidR="00233AEB" w:rsidRPr="00194FAE" w:rsidRDefault="00233AEB" w:rsidP="00233AEB">
            <w:r w:rsidRPr="00194FAE">
              <w:rPr>
                <w:rFonts w:cs="LindeDaxGlobal-Regular"/>
              </w:rPr>
              <w:t>Equity</w:t>
            </w:r>
          </w:p>
        </w:tc>
        <w:tc>
          <w:tcPr>
            <w:tcW w:w="0" w:type="auto"/>
          </w:tcPr>
          <w:p w:rsidR="00233AEB" w:rsidRPr="004C55FF" w:rsidRDefault="00233AEB" w:rsidP="00233AEB">
            <w:pPr>
              <w:jc w:val="right"/>
              <w:rPr>
                <w:color w:val="000000" w:themeColor="text1"/>
              </w:rPr>
            </w:pPr>
          </w:p>
        </w:tc>
        <w:tc>
          <w:tcPr>
            <w:tcW w:w="0" w:type="auto"/>
          </w:tcPr>
          <w:p w:rsidR="00233AEB" w:rsidRPr="004C55FF" w:rsidRDefault="00233AEB" w:rsidP="00233AEB">
            <w:pPr>
              <w:jc w:val="right"/>
              <w:rPr>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194FAE" w:rsidRDefault="00233AEB" w:rsidP="00233AEB">
            <w:r w:rsidRPr="00194FAE">
              <w:rPr>
                <w:rFonts w:cs="LindeDaxGlobal-Light"/>
              </w:rPr>
              <w:lastRenderedPageBreak/>
              <w:t>Share capital</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152,183</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152,183</w:t>
            </w:r>
          </w:p>
        </w:tc>
        <w:tc>
          <w:tcPr>
            <w:tcW w:w="0" w:type="auto"/>
          </w:tcPr>
          <w:p w:rsidR="00233AEB" w:rsidRDefault="00233AEB" w:rsidP="00233AEB">
            <w:pPr>
              <w:jc w:val="right"/>
            </w:pPr>
            <w:r>
              <w:t>0</w:t>
            </w:r>
          </w:p>
        </w:tc>
        <w:tc>
          <w:tcPr>
            <w:tcW w:w="0" w:type="auto"/>
          </w:tcPr>
          <w:p w:rsidR="00233AEB" w:rsidRDefault="00233AEB" w:rsidP="00233AEB">
            <w:pPr>
              <w:jc w:val="right"/>
            </w:pPr>
          </w:p>
        </w:tc>
      </w:tr>
      <w:tr w:rsidR="00233AEB" w:rsidTr="00563E5D">
        <w:tc>
          <w:tcPr>
            <w:tcW w:w="0" w:type="auto"/>
          </w:tcPr>
          <w:p w:rsidR="00233AEB" w:rsidRPr="00194FAE" w:rsidRDefault="00233AEB" w:rsidP="00233AEB">
            <w:r w:rsidRPr="00194FAE">
              <w:rPr>
                <w:rFonts w:cs="LindeDaxGlobal-Light"/>
              </w:rPr>
              <w:t>General reserve/retained earnings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3,523,474</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3,032,714</w:t>
            </w:r>
          </w:p>
        </w:tc>
        <w:tc>
          <w:tcPr>
            <w:tcW w:w="0" w:type="auto"/>
          </w:tcPr>
          <w:p w:rsidR="00233AEB" w:rsidRDefault="00233AEB" w:rsidP="00233AEB">
            <w:pPr>
              <w:jc w:val="right"/>
            </w:pPr>
            <w:r>
              <w:t>490,760</w:t>
            </w:r>
          </w:p>
        </w:tc>
        <w:tc>
          <w:tcPr>
            <w:tcW w:w="0" w:type="auto"/>
          </w:tcPr>
          <w:p w:rsidR="00233AEB" w:rsidRDefault="00233AEB" w:rsidP="00233AEB">
            <w:pPr>
              <w:jc w:val="right"/>
            </w:pPr>
            <w:r>
              <w:t>16.18%</w:t>
            </w:r>
          </w:p>
        </w:tc>
      </w:tr>
      <w:tr w:rsidR="00233AEB" w:rsidTr="00563E5D">
        <w:tc>
          <w:tcPr>
            <w:tcW w:w="0" w:type="auto"/>
          </w:tcPr>
          <w:p w:rsidR="00233AEB" w:rsidRPr="00194FAE" w:rsidRDefault="00233AEB" w:rsidP="00233AEB">
            <w:r w:rsidRPr="00194FAE">
              <w:rPr>
                <w:rFonts w:cs="LindeDaxGlobal-Regular"/>
              </w:rPr>
              <w:t>Equity attributable to owners of the Company</w:t>
            </w:r>
          </w:p>
        </w:tc>
        <w:tc>
          <w:tcPr>
            <w:tcW w:w="0" w:type="auto"/>
          </w:tcPr>
          <w:p w:rsidR="00233AEB" w:rsidRPr="004C55FF" w:rsidRDefault="00233AEB" w:rsidP="00233AEB">
            <w:pPr>
              <w:jc w:val="right"/>
              <w:rPr>
                <w:color w:val="000000" w:themeColor="text1"/>
              </w:rPr>
            </w:pPr>
            <w:r w:rsidRPr="004C55FF">
              <w:rPr>
                <w:rFonts w:cs="LindeDaxGlobal-Regular"/>
                <w:color w:val="000000" w:themeColor="text1"/>
              </w:rPr>
              <w:t>3,675,657</w:t>
            </w:r>
          </w:p>
        </w:tc>
        <w:tc>
          <w:tcPr>
            <w:tcW w:w="0" w:type="auto"/>
          </w:tcPr>
          <w:p w:rsidR="00233AEB" w:rsidRPr="004C55FF" w:rsidRDefault="00233AEB" w:rsidP="00233AEB">
            <w:pPr>
              <w:jc w:val="right"/>
              <w:rPr>
                <w:color w:val="000000" w:themeColor="text1"/>
              </w:rPr>
            </w:pPr>
            <w:r w:rsidRPr="004C55FF">
              <w:rPr>
                <w:rFonts w:cs="LindeDaxGlobal-Regular"/>
                <w:color w:val="000000" w:themeColor="text1"/>
              </w:rPr>
              <w:t>3,184,897</w:t>
            </w:r>
          </w:p>
        </w:tc>
        <w:tc>
          <w:tcPr>
            <w:tcW w:w="0" w:type="auto"/>
          </w:tcPr>
          <w:p w:rsidR="00233AEB" w:rsidRDefault="00233AEB" w:rsidP="00233AEB">
            <w:pPr>
              <w:jc w:val="right"/>
            </w:pPr>
            <w:r>
              <w:t>490,760</w:t>
            </w:r>
          </w:p>
        </w:tc>
        <w:tc>
          <w:tcPr>
            <w:tcW w:w="0" w:type="auto"/>
          </w:tcPr>
          <w:p w:rsidR="00233AEB" w:rsidRDefault="00233AEB" w:rsidP="00233AEB">
            <w:pPr>
              <w:jc w:val="right"/>
            </w:pPr>
            <w:r>
              <w:t>15.4%</w:t>
            </w:r>
          </w:p>
        </w:tc>
      </w:tr>
      <w:tr w:rsidR="00233AEB" w:rsidTr="00563E5D">
        <w:tc>
          <w:tcPr>
            <w:tcW w:w="0" w:type="auto"/>
          </w:tcPr>
          <w:p w:rsidR="00233AEB" w:rsidRPr="00194FAE" w:rsidRDefault="00233AEB" w:rsidP="00233AEB">
            <w:r w:rsidRPr="00194FAE">
              <w:rPr>
                <w:rFonts w:cs="LindeDaxGlobal-Light"/>
              </w:rPr>
              <w:t>Non- controlling interest</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w:t>
            </w:r>
          </w:p>
        </w:tc>
        <w:tc>
          <w:tcPr>
            <w:tcW w:w="0" w:type="auto"/>
          </w:tcPr>
          <w:p w:rsidR="00233AEB" w:rsidRDefault="00233AEB" w:rsidP="00233AEB">
            <w:pPr>
              <w:jc w:val="right"/>
            </w:pPr>
            <w:r>
              <w:t>0</w:t>
            </w:r>
          </w:p>
        </w:tc>
        <w:tc>
          <w:tcPr>
            <w:tcW w:w="0" w:type="auto"/>
          </w:tcPr>
          <w:p w:rsidR="00233AEB" w:rsidRDefault="00233AEB" w:rsidP="00233AEB">
            <w:pPr>
              <w:jc w:val="right"/>
            </w:pPr>
          </w:p>
        </w:tc>
      </w:tr>
      <w:tr w:rsidR="00233AEB" w:rsidTr="00563E5D">
        <w:tc>
          <w:tcPr>
            <w:tcW w:w="0" w:type="auto"/>
          </w:tcPr>
          <w:p w:rsidR="00233AEB" w:rsidRPr="004802D5" w:rsidRDefault="00233AEB" w:rsidP="00233AEB">
            <w:pPr>
              <w:rPr>
                <w:b/>
              </w:rPr>
            </w:pPr>
            <w:r w:rsidRPr="004802D5">
              <w:rPr>
                <w:rFonts w:cs="LindeDaxGlobal-Regular"/>
                <w:b/>
              </w:rPr>
              <w:t>Total equity</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3,675,659</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3,184,899</w:t>
            </w:r>
          </w:p>
        </w:tc>
        <w:tc>
          <w:tcPr>
            <w:tcW w:w="0" w:type="auto"/>
          </w:tcPr>
          <w:p w:rsidR="00233AEB" w:rsidRDefault="00233AEB" w:rsidP="00233AEB">
            <w:pPr>
              <w:jc w:val="right"/>
            </w:pPr>
            <w:r>
              <w:t>490,760</w:t>
            </w:r>
          </w:p>
        </w:tc>
        <w:tc>
          <w:tcPr>
            <w:tcW w:w="0" w:type="auto"/>
          </w:tcPr>
          <w:p w:rsidR="00233AEB" w:rsidRDefault="00233AEB" w:rsidP="00233AEB">
            <w:pPr>
              <w:jc w:val="right"/>
            </w:pPr>
            <w:r>
              <w:t>15.4%</w:t>
            </w:r>
          </w:p>
        </w:tc>
      </w:tr>
      <w:tr w:rsidR="00233AEB" w:rsidTr="00563E5D">
        <w:tc>
          <w:tcPr>
            <w:tcW w:w="0" w:type="auto"/>
          </w:tcPr>
          <w:p w:rsidR="00233AEB" w:rsidRPr="004802D5" w:rsidRDefault="00233AEB" w:rsidP="00233AEB">
            <w:pPr>
              <w:rPr>
                <w:b/>
              </w:rPr>
            </w:pPr>
            <w:r w:rsidRPr="004802D5">
              <w:rPr>
                <w:rFonts w:cs="LindeDaxGlobal-Regular"/>
                <w:b/>
              </w:rPr>
              <w:t>Liabilities</w:t>
            </w:r>
          </w:p>
        </w:tc>
        <w:tc>
          <w:tcPr>
            <w:tcW w:w="0" w:type="auto"/>
          </w:tcPr>
          <w:p w:rsidR="00233AEB" w:rsidRPr="004C55FF" w:rsidRDefault="00233AEB" w:rsidP="00233AEB">
            <w:pPr>
              <w:jc w:val="right"/>
              <w:rPr>
                <w:color w:val="000000" w:themeColor="text1"/>
              </w:rPr>
            </w:pPr>
          </w:p>
        </w:tc>
        <w:tc>
          <w:tcPr>
            <w:tcW w:w="0" w:type="auto"/>
          </w:tcPr>
          <w:p w:rsidR="00233AEB" w:rsidRPr="004C55FF" w:rsidRDefault="00233AEB" w:rsidP="00233AEB">
            <w:pPr>
              <w:jc w:val="right"/>
              <w:rPr>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194FAE" w:rsidRDefault="00233AEB" w:rsidP="00233AEB">
            <w:r w:rsidRPr="00194FAE">
              <w:rPr>
                <w:rFonts w:cs="LindeDaxGlobal-Light"/>
              </w:rPr>
              <w:t>Employee benefits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161,342</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139,007</w:t>
            </w:r>
          </w:p>
        </w:tc>
        <w:tc>
          <w:tcPr>
            <w:tcW w:w="0" w:type="auto"/>
          </w:tcPr>
          <w:p w:rsidR="00233AEB" w:rsidRDefault="00233AEB" w:rsidP="00233AEB">
            <w:pPr>
              <w:jc w:val="right"/>
            </w:pPr>
            <w:r>
              <w:t>22,335</w:t>
            </w:r>
          </w:p>
        </w:tc>
        <w:tc>
          <w:tcPr>
            <w:tcW w:w="0" w:type="auto"/>
          </w:tcPr>
          <w:p w:rsidR="00233AEB" w:rsidRDefault="00233AEB" w:rsidP="00233AEB">
            <w:pPr>
              <w:jc w:val="right"/>
            </w:pPr>
            <w:r>
              <w:t>16.06%</w:t>
            </w:r>
          </w:p>
        </w:tc>
      </w:tr>
      <w:tr w:rsidR="00233AEB" w:rsidTr="00563E5D">
        <w:tc>
          <w:tcPr>
            <w:tcW w:w="0" w:type="auto"/>
          </w:tcPr>
          <w:p w:rsidR="00233AEB" w:rsidRPr="00194FAE" w:rsidRDefault="00233AEB" w:rsidP="00233AEB">
            <w:r w:rsidRPr="00194FAE">
              <w:rPr>
                <w:rFonts w:cs="LindeDaxGlobal-Light"/>
              </w:rPr>
              <w:t>Deferred tax liabilities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299,171</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115,776</w:t>
            </w:r>
          </w:p>
        </w:tc>
        <w:tc>
          <w:tcPr>
            <w:tcW w:w="0" w:type="auto"/>
          </w:tcPr>
          <w:p w:rsidR="00233AEB" w:rsidRDefault="00233AEB" w:rsidP="00233AEB">
            <w:pPr>
              <w:jc w:val="right"/>
            </w:pPr>
            <w:r>
              <w:t>183,395</w:t>
            </w:r>
          </w:p>
        </w:tc>
        <w:tc>
          <w:tcPr>
            <w:tcW w:w="0" w:type="auto"/>
          </w:tcPr>
          <w:p w:rsidR="00233AEB" w:rsidRDefault="00233AEB" w:rsidP="00233AEB">
            <w:pPr>
              <w:jc w:val="right"/>
            </w:pPr>
            <w:r>
              <w:t>158.40%</w:t>
            </w:r>
          </w:p>
        </w:tc>
      </w:tr>
      <w:tr w:rsidR="00233AEB" w:rsidTr="00563E5D">
        <w:tc>
          <w:tcPr>
            <w:tcW w:w="0" w:type="auto"/>
          </w:tcPr>
          <w:p w:rsidR="00233AEB" w:rsidRPr="00194FAE" w:rsidRDefault="00233AEB" w:rsidP="00233AEB">
            <w:r w:rsidRPr="00194FAE">
              <w:rPr>
                <w:rFonts w:cs="LindeDaxGlobal-Light"/>
              </w:rPr>
              <w:t>Other non-current liabilities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235,499</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215,861</w:t>
            </w:r>
          </w:p>
        </w:tc>
        <w:tc>
          <w:tcPr>
            <w:tcW w:w="0" w:type="auto"/>
          </w:tcPr>
          <w:p w:rsidR="00233AEB" w:rsidRDefault="00233AEB" w:rsidP="00233AEB">
            <w:pPr>
              <w:jc w:val="right"/>
            </w:pPr>
            <w:r>
              <w:t>19,638</w:t>
            </w:r>
          </w:p>
        </w:tc>
        <w:tc>
          <w:tcPr>
            <w:tcW w:w="0" w:type="auto"/>
          </w:tcPr>
          <w:p w:rsidR="00233AEB" w:rsidRDefault="00233AEB" w:rsidP="00233AEB">
            <w:pPr>
              <w:jc w:val="right"/>
            </w:pPr>
            <w:r>
              <w:t>9.09%</w:t>
            </w:r>
          </w:p>
        </w:tc>
      </w:tr>
      <w:tr w:rsidR="00233AEB" w:rsidTr="00563E5D">
        <w:tc>
          <w:tcPr>
            <w:tcW w:w="0" w:type="auto"/>
          </w:tcPr>
          <w:p w:rsidR="00233AEB" w:rsidRPr="004802D5" w:rsidRDefault="00233AEB" w:rsidP="00233AEB">
            <w:pPr>
              <w:rPr>
                <w:b/>
              </w:rPr>
            </w:pPr>
            <w:r w:rsidRPr="004802D5">
              <w:rPr>
                <w:rFonts w:cs="LindeDaxGlobal-Regular"/>
                <w:b/>
              </w:rPr>
              <w:t>Non-current liabilities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696,012</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470,644</w:t>
            </w:r>
          </w:p>
        </w:tc>
        <w:tc>
          <w:tcPr>
            <w:tcW w:w="0" w:type="auto"/>
          </w:tcPr>
          <w:p w:rsidR="00233AEB" w:rsidRDefault="00233AEB" w:rsidP="00233AEB">
            <w:pPr>
              <w:jc w:val="right"/>
            </w:pPr>
            <w:r>
              <w:t>225,368</w:t>
            </w:r>
          </w:p>
        </w:tc>
        <w:tc>
          <w:tcPr>
            <w:tcW w:w="0" w:type="auto"/>
          </w:tcPr>
          <w:p w:rsidR="00233AEB" w:rsidRDefault="00233AEB" w:rsidP="00233AEB">
            <w:pPr>
              <w:jc w:val="right"/>
            </w:pPr>
            <w:r>
              <w:t>47.88%</w:t>
            </w:r>
          </w:p>
        </w:tc>
      </w:tr>
      <w:tr w:rsidR="00233AEB" w:rsidTr="00563E5D">
        <w:tc>
          <w:tcPr>
            <w:tcW w:w="0" w:type="auto"/>
          </w:tcPr>
          <w:p w:rsidR="00233AEB" w:rsidRPr="00194FAE" w:rsidRDefault="00233AEB" w:rsidP="00233AEB">
            <w:r w:rsidRPr="00194FAE">
              <w:rPr>
                <w:rFonts w:cs="LindeDaxGlobal-Light"/>
              </w:rPr>
              <w:t>Trade and other payables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1,411,322</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1,469,399</w:t>
            </w:r>
          </w:p>
        </w:tc>
        <w:tc>
          <w:tcPr>
            <w:tcW w:w="0" w:type="auto"/>
          </w:tcPr>
          <w:p w:rsidR="00233AEB" w:rsidRDefault="00233AEB" w:rsidP="00233AEB">
            <w:pPr>
              <w:jc w:val="right"/>
            </w:pPr>
            <w:r>
              <w:t>(58,077)</w:t>
            </w:r>
          </w:p>
        </w:tc>
        <w:tc>
          <w:tcPr>
            <w:tcW w:w="0" w:type="auto"/>
          </w:tcPr>
          <w:p w:rsidR="00233AEB" w:rsidRDefault="00233AEB" w:rsidP="00233AEB">
            <w:pPr>
              <w:jc w:val="right"/>
            </w:pPr>
            <w:r>
              <w:t>(3.95)%</w:t>
            </w:r>
          </w:p>
        </w:tc>
      </w:tr>
      <w:tr w:rsidR="00233AEB" w:rsidTr="00563E5D">
        <w:tc>
          <w:tcPr>
            <w:tcW w:w="0" w:type="auto"/>
          </w:tcPr>
          <w:p w:rsidR="00233AEB" w:rsidRPr="00194FAE" w:rsidRDefault="00233AEB" w:rsidP="00233AEB">
            <w:r w:rsidRPr="00194FAE">
              <w:rPr>
                <w:rFonts w:cs="LindeDaxGlobal-Light"/>
              </w:rPr>
              <w:t>Provision for expenses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161,814</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136,355</w:t>
            </w:r>
          </w:p>
        </w:tc>
        <w:tc>
          <w:tcPr>
            <w:tcW w:w="0" w:type="auto"/>
          </w:tcPr>
          <w:p w:rsidR="00233AEB" w:rsidRDefault="00233AEB" w:rsidP="00233AEB">
            <w:pPr>
              <w:jc w:val="right"/>
            </w:pPr>
            <w:r>
              <w:t>25,459</w:t>
            </w:r>
          </w:p>
        </w:tc>
        <w:tc>
          <w:tcPr>
            <w:tcW w:w="0" w:type="auto"/>
          </w:tcPr>
          <w:p w:rsidR="00233AEB" w:rsidRDefault="00233AEB" w:rsidP="00233AEB">
            <w:pPr>
              <w:jc w:val="right"/>
            </w:pPr>
            <w:r>
              <w:t>18.67%</w:t>
            </w:r>
          </w:p>
        </w:tc>
      </w:tr>
      <w:tr w:rsidR="00233AEB" w:rsidTr="00563E5D">
        <w:tc>
          <w:tcPr>
            <w:tcW w:w="0" w:type="auto"/>
          </w:tcPr>
          <w:p w:rsidR="00233AEB" w:rsidRPr="00194FAE" w:rsidRDefault="00233AEB" w:rsidP="00233AEB">
            <w:r w:rsidRPr="00194FAE">
              <w:rPr>
                <w:rFonts w:cs="LindeDaxGlobal-Light"/>
              </w:rPr>
              <w:t>Current tax liabilities</w:t>
            </w:r>
          </w:p>
        </w:tc>
        <w:tc>
          <w:tcPr>
            <w:tcW w:w="0" w:type="auto"/>
          </w:tcPr>
          <w:p w:rsidR="00233AEB" w:rsidRPr="004C55FF" w:rsidRDefault="00233AEB" w:rsidP="00233AEB">
            <w:pPr>
              <w:jc w:val="right"/>
              <w:rPr>
                <w:color w:val="000000" w:themeColor="text1"/>
              </w:rPr>
            </w:pPr>
            <w:r w:rsidRPr="004C55FF">
              <w:rPr>
                <w:rFonts w:cs="LindeDaxGlobal-Regular"/>
                <w:color w:val="000000" w:themeColor="text1"/>
              </w:rPr>
              <w:t>–</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218,589</w:t>
            </w:r>
          </w:p>
        </w:tc>
        <w:tc>
          <w:tcPr>
            <w:tcW w:w="0" w:type="auto"/>
          </w:tcPr>
          <w:p w:rsidR="00233AEB" w:rsidRDefault="00233AEB" w:rsidP="00233AEB">
            <w:pPr>
              <w:jc w:val="right"/>
            </w:pPr>
            <w:r>
              <w:t>(218,589)</w:t>
            </w:r>
          </w:p>
        </w:tc>
        <w:tc>
          <w:tcPr>
            <w:tcW w:w="0" w:type="auto"/>
          </w:tcPr>
          <w:p w:rsidR="00233AEB" w:rsidRDefault="00233AEB" w:rsidP="00233AEB">
            <w:pPr>
              <w:jc w:val="right"/>
            </w:pPr>
            <w:r>
              <w:t>(100)%</w:t>
            </w:r>
          </w:p>
        </w:tc>
      </w:tr>
      <w:tr w:rsidR="00233AEB" w:rsidTr="00563E5D">
        <w:tc>
          <w:tcPr>
            <w:tcW w:w="0" w:type="auto"/>
          </w:tcPr>
          <w:p w:rsidR="00233AEB" w:rsidRPr="004802D5" w:rsidRDefault="00233AEB" w:rsidP="00233AEB">
            <w:pPr>
              <w:tabs>
                <w:tab w:val="left" w:pos="352"/>
              </w:tabs>
              <w:rPr>
                <w:b/>
              </w:rPr>
            </w:pPr>
            <w:r w:rsidRPr="004802D5">
              <w:rPr>
                <w:rFonts w:cs="LindeDaxGlobal-Regular"/>
                <w:b/>
              </w:rPr>
              <w:t>Current liabilities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1,573,136</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1,824,343</w:t>
            </w:r>
          </w:p>
        </w:tc>
        <w:tc>
          <w:tcPr>
            <w:tcW w:w="0" w:type="auto"/>
          </w:tcPr>
          <w:p w:rsidR="00233AEB" w:rsidRDefault="00233AEB" w:rsidP="00233AEB">
            <w:pPr>
              <w:jc w:val="right"/>
            </w:pPr>
            <w:r>
              <w:t>(251,207)</w:t>
            </w:r>
          </w:p>
        </w:tc>
        <w:tc>
          <w:tcPr>
            <w:tcW w:w="0" w:type="auto"/>
          </w:tcPr>
          <w:p w:rsidR="00233AEB" w:rsidRDefault="00233AEB" w:rsidP="00233AEB">
            <w:pPr>
              <w:jc w:val="right"/>
            </w:pPr>
            <w:r>
              <w:t>(13.76)%</w:t>
            </w:r>
          </w:p>
        </w:tc>
      </w:tr>
      <w:tr w:rsidR="00233AEB" w:rsidTr="00563E5D">
        <w:tc>
          <w:tcPr>
            <w:tcW w:w="0" w:type="auto"/>
          </w:tcPr>
          <w:p w:rsidR="00233AEB" w:rsidRPr="004802D5" w:rsidRDefault="00233AEB" w:rsidP="00233AEB">
            <w:pPr>
              <w:rPr>
                <w:b/>
              </w:rPr>
            </w:pPr>
            <w:r w:rsidRPr="004802D5">
              <w:rPr>
                <w:rFonts w:cs="LindeDaxGlobal-Regular"/>
                <w:b/>
              </w:rPr>
              <w:t>Total liabilities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2,269,148</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2,294,987</w:t>
            </w:r>
          </w:p>
        </w:tc>
        <w:tc>
          <w:tcPr>
            <w:tcW w:w="0" w:type="auto"/>
          </w:tcPr>
          <w:p w:rsidR="00233AEB" w:rsidRDefault="00233AEB" w:rsidP="00233AEB">
            <w:pPr>
              <w:jc w:val="right"/>
            </w:pPr>
            <w:r>
              <w:t>(25,839)</w:t>
            </w:r>
          </w:p>
        </w:tc>
        <w:tc>
          <w:tcPr>
            <w:tcW w:w="0" w:type="auto"/>
          </w:tcPr>
          <w:p w:rsidR="00233AEB" w:rsidRDefault="00233AEB" w:rsidP="00233AEB">
            <w:pPr>
              <w:jc w:val="right"/>
            </w:pPr>
            <w:r>
              <w:t>(1.12)%</w:t>
            </w:r>
          </w:p>
        </w:tc>
      </w:tr>
      <w:tr w:rsidR="00233AEB" w:rsidTr="00563E5D">
        <w:tc>
          <w:tcPr>
            <w:tcW w:w="0" w:type="auto"/>
          </w:tcPr>
          <w:p w:rsidR="00233AEB" w:rsidRPr="004802D5" w:rsidRDefault="00233AEB" w:rsidP="00233AEB">
            <w:pPr>
              <w:rPr>
                <w:b/>
              </w:rPr>
            </w:pPr>
            <w:r w:rsidRPr="004802D5">
              <w:rPr>
                <w:rFonts w:cs="LindeDaxGlobal-Regular"/>
                <w:b/>
              </w:rPr>
              <w:t>Total equity and liabilities</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5,944,807</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5,479,886</w:t>
            </w:r>
          </w:p>
        </w:tc>
        <w:tc>
          <w:tcPr>
            <w:tcW w:w="0" w:type="auto"/>
          </w:tcPr>
          <w:p w:rsidR="00233AEB" w:rsidRDefault="00233AEB" w:rsidP="00233AEB">
            <w:pPr>
              <w:jc w:val="right"/>
            </w:pPr>
            <w:r>
              <w:t>464,921</w:t>
            </w:r>
          </w:p>
        </w:tc>
        <w:tc>
          <w:tcPr>
            <w:tcW w:w="0" w:type="auto"/>
          </w:tcPr>
          <w:p w:rsidR="00233AEB" w:rsidRDefault="00233AEB" w:rsidP="00233AEB">
            <w:pPr>
              <w:jc w:val="right"/>
            </w:pPr>
            <w:r>
              <w:t>8.48%</w:t>
            </w:r>
          </w:p>
        </w:tc>
      </w:tr>
    </w:tbl>
    <w:p w:rsidR="00A379A7" w:rsidRDefault="00A379A7">
      <w:pPr>
        <w:spacing w:after="0" w:line="240" w:lineRule="auto"/>
        <w:jc w:val="both"/>
        <w:rPr>
          <w:rFonts w:ascii="Times New Roman" w:eastAsia="Times New Roman" w:hAnsi="Times New Roman"/>
          <w:b/>
          <w:sz w:val="28"/>
        </w:rPr>
      </w:pPr>
    </w:p>
    <w:p w:rsidR="00A379A7" w:rsidRDefault="00A379A7">
      <w:pPr>
        <w:spacing w:after="0" w:line="240" w:lineRule="auto"/>
        <w:jc w:val="both"/>
        <w:rPr>
          <w:rFonts w:ascii="Times New Roman" w:eastAsia="Times New Roman" w:hAnsi="Times New Roman"/>
          <w:b/>
          <w:sz w:val="28"/>
        </w:rPr>
      </w:pPr>
    </w:p>
    <w:p w:rsidR="00A379A7" w:rsidRDefault="00A379A7">
      <w:pPr>
        <w:spacing w:after="0" w:line="240" w:lineRule="auto"/>
        <w:jc w:val="both"/>
        <w:rPr>
          <w:rFonts w:ascii="Times New Roman" w:eastAsia="Times New Roman" w:hAnsi="Times New Roman"/>
          <w:b/>
          <w:sz w:val="28"/>
        </w:rPr>
      </w:pPr>
    </w:p>
    <w:p w:rsidR="00A379A7" w:rsidRDefault="00A379A7">
      <w:pPr>
        <w:spacing w:after="0" w:line="240" w:lineRule="auto"/>
        <w:jc w:val="both"/>
        <w:rPr>
          <w:rFonts w:ascii="Times New Roman" w:eastAsia="Times New Roman" w:hAnsi="Times New Roman"/>
          <w:b/>
          <w:sz w:val="28"/>
        </w:rPr>
      </w:pPr>
    </w:p>
    <w:p w:rsidR="00A379A7" w:rsidRDefault="00A379A7">
      <w:pPr>
        <w:spacing w:after="0" w:line="240" w:lineRule="auto"/>
        <w:jc w:val="both"/>
        <w:rPr>
          <w:rFonts w:ascii="Times New Roman" w:eastAsia="Times New Roman" w:hAnsi="Times New Roman"/>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4"/>
        <w:gridCol w:w="1240"/>
        <w:gridCol w:w="1240"/>
        <w:gridCol w:w="1180"/>
        <w:gridCol w:w="1232"/>
      </w:tblGrid>
      <w:tr w:rsidR="00233AEB" w:rsidTr="00563E5D">
        <w:trPr>
          <w:trHeight w:val="654"/>
        </w:trPr>
        <w:tc>
          <w:tcPr>
            <w:tcW w:w="0" w:type="auto"/>
            <w:gridSpan w:val="5"/>
          </w:tcPr>
          <w:p w:rsidR="00233AEB" w:rsidRPr="00F32B77" w:rsidRDefault="00233AEB" w:rsidP="00F32B77">
            <w:pPr>
              <w:pStyle w:val="Heading5"/>
              <w:jc w:val="center"/>
              <w:rPr>
                <w:b/>
              </w:rPr>
            </w:pPr>
            <w:r w:rsidRPr="00F32B77">
              <w:rPr>
                <w:b/>
              </w:rPr>
              <w:t>LINDE BANGLADESH LTD.</w:t>
            </w:r>
          </w:p>
          <w:p w:rsidR="00233AEB" w:rsidRDefault="00233AEB" w:rsidP="00F32B77">
            <w:pPr>
              <w:pStyle w:val="Heading5"/>
              <w:jc w:val="center"/>
              <w:rPr>
                <w:b/>
              </w:rPr>
            </w:pPr>
            <w:r w:rsidRPr="00F32B77">
              <w:rPr>
                <w:b/>
              </w:rPr>
              <w:t>Statement of Income - Two-Year Comparison</w:t>
            </w:r>
          </w:p>
          <w:p w:rsidR="00F32B77" w:rsidRPr="00F32B77" w:rsidRDefault="00F32B77" w:rsidP="00F32B77"/>
        </w:tc>
      </w:tr>
      <w:tr w:rsidR="00233AEB" w:rsidTr="00563E5D">
        <w:tc>
          <w:tcPr>
            <w:tcW w:w="0" w:type="auto"/>
          </w:tcPr>
          <w:p w:rsidR="00233AEB" w:rsidRPr="003A5FF1" w:rsidRDefault="00233AEB" w:rsidP="00233AEB"/>
        </w:tc>
        <w:tc>
          <w:tcPr>
            <w:tcW w:w="0" w:type="auto"/>
          </w:tcPr>
          <w:p w:rsidR="00233AEB" w:rsidRPr="003A5FF1" w:rsidRDefault="00233AEB" w:rsidP="00233AEB">
            <w:pPr>
              <w:jc w:val="right"/>
              <w:rPr>
                <w:rFonts w:cs="LindeDaxGlobal-Regular"/>
                <w:b/>
              </w:rPr>
            </w:pPr>
            <w:r w:rsidRPr="003A5FF1">
              <w:rPr>
                <w:rFonts w:cs="LindeDaxGlobal-Regular"/>
                <w:b/>
              </w:rPr>
              <w:t>2017</w:t>
            </w:r>
          </w:p>
          <w:p w:rsidR="00233AEB" w:rsidRPr="003A5FF1" w:rsidRDefault="00233AEB" w:rsidP="00233AEB">
            <w:pPr>
              <w:jc w:val="right"/>
              <w:rPr>
                <w:b/>
              </w:rPr>
            </w:pPr>
            <w:r w:rsidRPr="003A5FF1">
              <w:rPr>
                <w:rFonts w:cs="LindeDaxGlobal-Regular"/>
                <w:b/>
              </w:rPr>
              <w:t>000 Taka</w:t>
            </w:r>
          </w:p>
        </w:tc>
        <w:tc>
          <w:tcPr>
            <w:tcW w:w="0" w:type="auto"/>
          </w:tcPr>
          <w:p w:rsidR="00233AEB" w:rsidRPr="003A5FF1" w:rsidRDefault="00233AEB" w:rsidP="00233AEB">
            <w:pPr>
              <w:jc w:val="right"/>
              <w:rPr>
                <w:rFonts w:cs="LindeDaxGlobal-Regular"/>
                <w:b/>
              </w:rPr>
            </w:pPr>
            <w:r w:rsidRPr="003A5FF1">
              <w:rPr>
                <w:rFonts w:cs="LindeDaxGlobal-Regular"/>
                <w:b/>
              </w:rPr>
              <w:t>2016</w:t>
            </w:r>
          </w:p>
          <w:p w:rsidR="00233AEB" w:rsidRPr="003A5FF1" w:rsidRDefault="00233AEB" w:rsidP="00233AEB">
            <w:pPr>
              <w:jc w:val="right"/>
              <w:rPr>
                <w:b/>
              </w:rPr>
            </w:pPr>
            <w:r w:rsidRPr="003A5FF1">
              <w:rPr>
                <w:rFonts w:cs="LindeDaxGlobal-Regular"/>
                <w:b/>
              </w:rPr>
              <w:t>000 Taka</w:t>
            </w:r>
          </w:p>
        </w:tc>
        <w:tc>
          <w:tcPr>
            <w:tcW w:w="0" w:type="auto"/>
          </w:tcPr>
          <w:p w:rsidR="00233AEB" w:rsidRDefault="00233AEB" w:rsidP="00233AEB">
            <w:pPr>
              <w:jc w:val="right"/>
            </w:pPr>
            <w:r>
              <w:rPr>
                <w:rFonts w:ascii="Arial" w:hAnsi="Arial" w:cs="Arial"/>
                <w:b/>
                <w:bCs/>
                <w:sz w:val="20"/>
                <w:szCs w:val="20"/>
              </w:rPr>
              <w:t>$ Variance</w:t>
            </w:r>
          </w:p>
        </w:tc>
        <w:tc>
          <w:tcPr>
            <w:tcW w:w="0" w:type="auto"/>
          </w:tcPr>
          <w:p w:rsidR="00233AEB" w:rsidRDefault="00233AEB" w:rsidP="00233AEB">
            <w:pPr>
              <w:jc w:val="right"/>
            </w:pPr>
            <w:r>
              <w:rPr>
                <w:rFonts w:ascii="Arial" w:hAnsi="Arial" w:cs="Arial"/>
                <w:b/>
                <w:bCs/>
                <w:sz w:val="20"/>
                <w:szCs w:val="20"/>
              </w:rPr>
              <w:t>% Variance</w:t>
            </w:r>
          </w:p>
        </w:tc>
      </w:tr>
      <w:tr w:rsidR="00233AEB" w:rsidTr="00563E5D">
        <w:tc>
          <w:tcPr>
            <w:tcW w:w="0" w:type="auto"/>
          </w:tcPr>
          <w:p w:rsidR="00233AEB" w:rsidRPr="003A5FF1" w:rsidRDefault="00233AEB" w:rsidP="00233AEB">
            <w:r w:rsidRPr="003A5FF1">
              <w:rPr>
                <w:rFonts w:cs="LindeDaxGlobal-Regular"/>
              </w:rPr>
              <w:t>Revenue</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4,941,799</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4,270,585</w:t>
            </w:r>
          </w:p>
        </w:tc>
        <w:tc>
          <w:tcPr>
            <w:tcW w:w="0" w:type="auto"/>
          </w:tcPr>
          <w:p w:rsidR="00233AEB" w:rsidRDefault="00233AEB" w:rsidP="00233AEB">
            <w:pPr>
              <w:jc w:val="right"/>
            </w:pPr>
            <w:r>
              <w:t>671214</w:t>
            </w:r>
          </w:p>
        </w:tc>
        <w:tc>
          <w:tcPr>
            <w:tcW w:w="0" w:type="auto"/>
          </w:tcPr>
          <w:p w:rsidR="00233AEB" w:rsidRDefault="00233AEB" w:rsidP="00233AEB">
            <w:pPr>
              <w:jc w:val="right"/>
            </w:pPr>
            <w:r>
              <w:t>15.71%</w:t>
            </w:r>
          </w:p>
        </w:tc>
      </w:tr>
      <w:tr w:rsidR="00233AEB" w:rsidTr="00563E5D">
        <w:tc>
          <w:tcPr>
            <w:tcW w:w="0" w:type="auto"/>
          </w:tcPr>
          <w:p w:rsidR="00233AEB" w:rsidRPr="003A5FF1" w:rsidRDefault="00233AEB" w:rsidP="00233AEB">
            <w:r w:rsidRPr="003A5FF1">
              <w:rPr>
                <w:rFonts w:cs="LindeDaxGlobal-Light"/>
              </w:rPr>
              <w:t>Cost of sales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(2,632,227)</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(2,290,426)</w:t>
            </w:r>
          </w:p>
        </w:tc>
        <w:tc>
          <w:tcPr>
            <w:tcW w:w="0" w:type="auto"/>
          </w:tcPr>
          <w:p w:rsidR="00233AEB" w:rsidRDefault="00233AEB" w:rsidP="00233AEB">
            <w:pPr>
              <w:jc w:val="right"/>
            </w:pPr>
            <w:r>
              <w:t>341801</w:t>
            </w:r>
          </w:p>
        </w:tc>
        <w:tc>
          <w:tcPr>
            <w:tcW w:w="0" w:type="auto"/>
          </w:tcPr>
          <w:p w:rsidR="00233AEB" w:rsidRDefault="00233AEB" w:rsidP="00233AEB">
            <w:pPr>
              <w:jc w:val="right"/>
            </w:pPr>
            <w:r>
              <w:t>14.92%</w:t>
            </w:r>
          </w:p>
        </w:tc>
      </w:tr>
      <w:tr w:rsidR="00233AEB" w:rsidTr="00563E5D">
        <w:tc>
          <w:tcPr>
            <w:tcW w:w="0" w:type="auto"/>
          </w:tcPr>
          <w:p w:rsidR="00233AEB" w:rsidRPr="003A5FF1" w:rsidRDefault="00233AEB" w:rsidP="00233AEB">
            <w:pPr>
              <w:rPr>
                <w:b/>
              </w:rPr>
            </w:pPr>
            <w:r w:rsidRPr="003A5FF1">
              <w:rPr>
                <w:rFonts w:cs="LindeDaxGlobal-Regular"/>
                <w:b/>
              </w:rPr>
              <w:t>Gross profit</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2,309,572</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1,980,159</w:t>
            </w:r>
          </w:p>
        </w:tc>
        <w:tc>
          <w:tcPr>
            <w:tcW w:w="0" w:type="auto"/>
          </w:tcPr>
          <w:p w:rsidR="00233AEB" w:rsidRDefault="00233AEB" w:rsidP="00233AEB">
            <w:pPr>
              <w:jc w:val="right"/>
            </w:pPr>
            <w:r>
              <w:t>329,413</w:t>
            </w:r>
          </w:p>
        </w:tc>
        <w:tc>
          <w:tcPr>
            <w:tcW w:w="0" w:type="auto"/>
          </w:tcPr>
          <w:p w:rsidR="00233AEB" w:rsidRDefault="00233AEB" w:rsidP="00233AEB">
            <w:pPr>
              <w:jc w:val="right"/>
            </w:pPr>
            <w:r>
              <w:t>16.6%</w:t>
            </w:r>
          </w:p>
        </w:tc>
      </w:tr>
      <w:tr w:rsidR="00233AEB" w:rsidTr="00563E5D">
        <w:tc>
          <w:tcPr>
            <w:tcW w:w="0" w:type="auto"/>
          </w:tcPr>
          <w:p w:rsidR="00233AEB" w:rsidRPr="003A5FF1" w:rsidRDefault="00233AEB" w:rsidP="00233AEB">
            <w:r w:rsidRPr="003A5FF1">
              <w:rPr>
                <w:rFonts w:cs="LindeDaxGlobal-Regular"/>
              </w:rPr>
              <w:t>Other income/</w:t>
            </w:r>
            <w:r w:rsidRPr="003A5FF1">
              <w:rPr>
                <w:rFonts w:cs="LindeDaxGlobal-Light"/>
              </w:rPr>
              <w:t>(loss)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(18,847)</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(3,085)</w:t>
            </w:r>
          </w:p>
        </w:tc>
        <w:tc>
          <w:tcPr>
            <w:tcW w:w="0" w:type="auto"/>
          </w:tcPr>
          <w:p w:rsidR="00233AEB" w:rsidRDefault="00233AEB" w:rsidP="00233AEB">
            <w:pPr>
              <w:jc w:val="right"/>
            </w:pPr>
            <w:r>
              <w:t>15,762</w:t>
            </w:r>
          </w:p>
        </w:tc>
        <w:tc>
          <w:tcPr>
            <w:tcW w:w="0" w:type="auto"/>
          </w:tcPr>
          <w:p w:rsidR="00233AEB" w:rsidRDefault="00233AEB" w:rsidP="00233AEB">
            <w:pPr>
              <w:jc w:val="right"/>
            </w:pPr>
            <w:r>
              <w:t>510.9%</w:t>
            </w:r>
          </w:p>
        </w:tc>
      </w:tr>
      <w:tr w:rsidR="00233AEB" w:rsidTr="00563E5D">
        <w:tc>
          <w:tcPr>
            <w:tcW w:w="0" w:type="auto"/>
          </w:tcPr>
          <w:p w:rsidR="00233AEB" w:rsidRPr="003A5FF1" w:rsidRDefault="00233AEB" w:rsidP="00233AEB">
            <w:r w:rsidRPr="003A5FF1">
              <w:rPr>
                <w:rFonts w:cs="LindeDaxGlobal-Light"/>
              </w:rPr>
              <w:lastRenderedPageBreak/>
              <w:t>Operating expenses</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(933,955)</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(743,510)</w:t>
            </w:r>
          </w:p>
        </w:tc>
        <w:tc>
          <w:tcPr>
            <w:tcW w:w="0" w:type="auto"/>
          </w:tcPr>
          <w:p w:rsidR="00233AEB" w:rsidRDefault="00233AEB" w:rsidP="00233AEB">
            <w:pPr>
              <w:jc w:val="right"/>
            </w:pPr>
            <w:r>
              <w:t>190,445</w:t>
            </w:r>
          </w:p>
        </w:tc>
        <w:tc>
          <w:tcPr>
            <w:tcW w:w="0" w:type="auto"/>
          </w:tcPr>
          <w:p w:rsidR="00233AEB" w:rsidRDefault="00233AEB" w:rsidP="00233AEB">
            <w:pPr>
              <w:jc w:val="right"/>
            </w:pPr>
            <w:r>
              <w:t>25.6%</w:t>
            </w:r>
          </w:p>
        </w:tc>
      </w:tr>
      <w:tr w:rsidR="00233AEB" w:rsidTr="00563E5D">
        <w:tc>
          <w:tcPr>
            <w:tcW w:w="0" w:type="auto"/>
          </w:tcPr>
          <w:p w:rsidR="00233AEB" w:rsidRPr="003A5FF1" w:rsidRDefault="00233AEB" w:rsidP="00233AEB">
            <w:r w:rsidRPr="003A5FF1">
              <w:rPr>
                <w:rFonts w:cs="LindeDaxGlobal-Light"/>
              </w:rPr>
              <w:t>Operating profit</w:t>
            </w:r>
          </w:p>
        </w:tc>
        <w:tc>
          <w:tcPr>
            <w:tcW w:w="0" w:type="auto"/>
          </w:tcPr>
          <w:p w:rsidR="00233AEB" w:rsidRPr="004C55FF" w:rsidRDefault="00233AEB" w:rsidP="00233AEB">
            <w:pPr>
              <w:jc w:val="right"/>
              <w:rPr>
                <w:color w:val="000000" w:themeColor="text1"/>
              </w:rPr>
            </w:pPr>
            <w:r w:rsidRPr="004C55FF">
              <w:rPr>
                <w:rFonts w:cs="LindeDaxGlobal-Regular"/>
                <w:color w:val="000000" w:themeColor="text1"/>
              </w:rPr>
              <w:t>1,356,770</w:t>
            </w:r>
          </w:p>
        </w:tc>
        <w:tc>
          <w:tcPr>
            <w:tcW w:w="0" w:type="auto"/>
          </w:tcPr>
          <w:p w:rsidR="00233AEB" w:rsidRPr="004C55FF" w:rsidRDefault="00233AEB" w:rsidP="00233AEB">
            <w:pPr>
              <w:jc w:val="right"/>
              <w:rPr>
                <w:color w:val="000000" w:themeColor="text1"/>
              </w:rPr>
            </w:pPr>
            <w:r w:rsidRPr="004C55FF">
              <w:rPr>
                <w:rFonts w:cs="LindeDaxGlobal-Regular"/>
                <w:color w:val="000000" w:themeColor="text1"/>
              </w:rPr>
              <w:t>1,233,564</w:t>
            </w:r>
          </w:p>
        </w:tc>
        <w:tc>
          <w:tcPr>
            <w:tcW w:w="0" w:type="auto"/>
          </w:tcPr>
          <w:p w:rsidR="00233AEB" w:rsidRDefault="00233AEB" w:rsidP="00233AEB">
            <w:pPr>
              <w:jc w:val="right"/>
            </w:pPr>
            <w:r>
              <w:t>123,206</w:t>
            </w:r>
          </w:p>
        </w:tc>
        <w:tc>
          <w:tcPr>
            <w:tcW w:w="0" w:type="auto"/>
          </w:tcPr>
          <w:p w:rsidR="00233AEB" w:rsidRDefault="00233AEB" w:rsidP="00233AEB">
            <w:pPr>
              <w:jc w:val="right"/>
            </w:pPr>
            <w:r>
              <w:t>9.98%</w:t>
            </w:r>
          </w:p>
        </w:tc>
      </w:tr>
      <w:tr w:rsidR="00233AEB" w:rsidTr="00563E5D">
        <w:tc>
          <w:tcPr>
            <w:tcW w:w="0" w:type="auto"/>
          </w:tcPr>
          <w:p w:rsidR="00233AEB" w:rsidRPr="003A5FF1" w:rsidRDefault="00233AEB" w:rsidP="00233AEB">
            <w:r w:rsidRPr="003A5FF1">
              <w:rPr>
                <w:rFonts w:cs="LindeDaxGlobal-Light"/>
              </w:rPr>
              <w:t>Net finance income</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16,009</w:t>
            </w:r>
          </w:p>
        </w:tc>
        <w:tc>
          <w:tcPr>
            <w:tcW w:w="0" w:type="auto"/>
          </w:tcPr>
          <w:p w:rsidR="00233AEB" w:rsidRPr="004C55FF" w:rsidRDefault="00233AEB" w:rsidP="00233AEB">
            <w:pPr>
              <w:jc w:val="right"/>
              <w:rPr>
                <w:color w:val="000000" w:themeColor="text1"/>
              </w:rPr>
            </w:pPr>
            <w:r w:rsidRPr="004C55FF">
              <w:rPr>
                <w:rFonts w:cs="LindeDaxGlobal-Light"/>
                <w:color w:val="000000" w:themeColor="text1"/>
              </w:rPr>
              <w:t>19,833</w:t>
            </w:r>
          </w:p>
        </w:tc>
        <w:tc>
          <w:tcPr>
            <w:tcW w:w="0" w:type="auto"/>
          </w:tcPr>
          <w:p w:rsidR="00233AEB" w:rsidRDefault="00233AEB" w:rsidP="00233AEB">
            <w:pPr>
              <w:jc w:val="right"/>
            </w:pPr>
            <w:r>
              <w:t>(3,824)</w:t>
            </w:r>
          </w:p>
        </w:tc>
        <w:tc>
          <w:tcPr>
            <w:tcW w:w="0" w:type="auto"/>
          </w:tcPr>
          <w:p w:rsidR="00233AEB" w:rsidRDefault="00233AEB" w:rsidP="00233AEB">
            <w:pPr>
              <w:jc w:val="right"/>
            </w:pPr>
            <w:r>
              <w:t>(19.28)%</w:t>
            </w:r>
          </w:p>
        </w:tc>
      </w:tr>
      <w:tr w:rsidR="00233AEB" w:rsidTr="00563E5D">
        <w:tc>
          <w:tcPr>
            <w:tcW w:w="0" w:type="auto"/>
          </w:tcPr>
          <w:p w:rsidR="00233AEB" w:rsidRPr="003A5FF1" w:rsidRDefault="00233AEB" w:rsidP="00233AEB">
            <w:pPr>
              <w:rPr>
                <w:b/>
              </w:rPr>
            </w:pPr>
            <w:r w:rsidRPr="003A5FF1">
              <w:rPr>
                <w:rFonts w:cs="LindeDaxGlobal-Regular"/>
                <w:b/>
              </w:rPr>
              <w:t>Profit before contribution to WPPF</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1,372,779</w:t>
            </w:r>
          </w:p>
        </w:tc>
        <w:tc>
          <w:tcPr>
            <w:tcW w:w="0" w:type="auto"/>
          </w:tcPr>
          <w:p w:rsidR="00233AEB" w:rsidRPr="004C55FF" w:rsidRDefault="00233AEB" w:rsidP="00233AEB">
            <w:pPr>
              <w:jc w:val="right"/>
              <w:rPr>
                <w:b/>
                <w:color w:val="000000" w:themeColor="text1"/>
              </w:rPr>
            </w:pPr>
            <w:r w:rsidRPr="004C55FF">
              <w:rPr>
                <w:rFonts w:cs="LindeDaxGlobal-Regular"/>
                <w:b/>
                <w:color w:val="000000" w:themeColor="text1"/>
              </w:rPr>
              <w:t>1,253,397</w:t>
            </w:r>
          </w:p>
        </w:tc>
        <w:tc>
          <w:tcPr>
            <w:tcW w:w="0" w:type="auto"/>
          </w:tcPr>
          <w:p w:rsidR="00233AEB" w:rsidRDefault="00233AEB" w:rsidP="00233AEB">
            <w:pPr>
              <w:jc w:val="right"/>
            </w:pPr>
            <w:r>
              <w:t>119,382</w:t>
            </w:r>
          </w:p>
        </w:tc>
        <w:tc>
          <w:tcPr>
            <w:tcW w:w="0" w:type="auto"/>
          </w:tcPr>
          <w:p w:rsidR="00233AEB" w:rsidRDefault="00233AEB" w:rsidP="00233AEB">
            <w:pPr>
              <w:jc w:val="right"/>
            </w:pPr>
            <w:r>
              <w:t>9.5%</w:t>
            </w:r>
          </w:p>
        </w:tc>
      </w:tr>
      <w:tr w:rsidR="00233AEB" w:rsidTr="00563E5D">
        <w:tc>
          <w:tcPr>
            <w:tcW w:w="0" w:type="auto"/>
          </w:tcPr>
          <w:p w:rsidR="00233AEB" w:rsidRPr="003A5FF1" w:rsidRDefault="00233AEB" w:rsidP="00233AEB">
            <w:pPr>
              <w:rPr>
                <w:rFonts w:cs="LindeDaxGlobal-Regular"/>
              </w:rPr>
            </w:pPr>
            <w:r w:rsidRPr="003A5FF1">
              <w:rPr>
                <w:rFonts w:cs="LindeDaxGlobal-Light"/>
              </w:rPr>
              <w:t>Contribution to WPPF</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(68,645)</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(62,675)</w:t>
            </w:r>
          </w:p>
        </w:tc>
        <w:tc>
          <w:tcPr>
            <w:tcW w:w="0" w:type="auto"/>
          </w:tcPr>
          <w:p w:rsidR="00233AEB" w:rsidRDefault="00233AEB" w:rsidP="00233AEB">
            <w:pPr>
              <w:jc w:val="right"/>
            </w:pPr>
            <w:r>
              <w:t>5970</w:t>
            </w:r>
          </w:p>
        </w:tc>
        <w:tc>
          <w:tcPr>
            <w:tcW w:w="0" w:type="auto"/>
          </w:tcPr>
          <w:p w:rsidR="00233AEB" w:rsidRDefault="00233AEB" w:rsidP="00233AEB">
            <w:pPr>
              <w:jc w:val="right"/>
            </w:pPr>
            <w:r>
              <w:t>9.5%</w:t>
            </w:r>
          </w:p>
        </w:tc>
      </w:tr>
      <w:tr w:rsidR="00233AEB" w:rsidTr="00563E5D">
        <w:tc>
          <w:tcPr>
            <w:tcW w:w="0" w:type="auto"/>
          </w:tcPr>
          <w:p w:rsidR="00233AEB" w:rsidRPr="003A5FF1" w:rsidRDefault="00233AEB" w:rsidP="00233AEB">
            <w:pPr>
              <w:rPr>
                <w:rFonts w:cs="LindeDaxGlobal-Regular"/>
                <w:b/>
              </w:rPr>
            </w:pPr>
            <w:r w:rsidRPr="003A5FF1">
              <w:rPr>
                <w:rFonts w:cs="LindeDaxGlobal-Regular"/>
                <w:b/>
              </w:rPr>
              <w:t>Profit before tax</w:t>
            </w:r>
          </w:p>
        </w:tc>
        <w:tc>
          <w:tcPr>
            <w:tcW w:w="0" w:type="auto"/>
          </w:tcPr>
          <w:p w:rsidR="00233AEB" w:rsidRPr="004C55FF" w:rsidRDefault="00233AEB" w:rsidP="00233AEB">
            <w:pPr>
              <w:jc w:val="right"/>
              <w:rPr>
                <w:rFonts w:cs="LindeDaxGlobal-Regular"/>
                <w:b/>
                <w:color w:val="000000" w:themeColor="text1"/>
              </w:rPr>
            </w:pPr>
            <w:r w:rsidRPr="004C55FF">
              <w:rPr>
                <w:rFonts w:cs="LindeDaxGlobal-Regular"/>
                <w:b/>
                <w:color w:val="000000" w:themeColor="text1"/>
              </w:rPr>
              <w:t>1,304,134</w:t>
            </w:r>
          </w:p>
        </w:tc>
        <w:tc>
          <w:tcPr>
            <w:tcW w:w="0" w:type="auto"/>
          </w:tcPr>
          <w:p w:rsidR="00233AEB" w:rsidRPr="004C55FF" w:rsidRDefault="00233AEB" w:rsidP="00233AEB">
            <w:pPr>
              <w:jc w:val="right"/>
              <w:rPr>
                <w:rFonts w:cs="LindeDaxGlobal-Regular"/>
                <w:b/>
                <w:color w:val="000000" w:themeColor="text1"/>
              </w:rPr>
            </w:pPr>
            <w:r w:rsidRPr="004C55FF">
              <w:rPr>
                <w:rFonts w:cs="LindeDaxGlobal-Light"/>
                <w:b/>
                <w:color w:val="000000" w:themeColor="text1"/>
              </w:rPr>
              <w:t>1,190,722</w:t>
            </w:r>
          </w:p>
        </w:tc>
        <w:tc>
          <w:tcPr>
            <w:tcW w:w="0" w:type="auto"/>
          </w:tcPr>
          <w:p w:rsidR="00233AEB" w:rsidRDefault="00233AEB" w:rsidP="00233AEB">
            <w:pPr>
              <w:jc w:val="right"/>
            </w:pPr>
            <w:r>
              <w:t>113,412</w:t>
            </w:r>
          </w:p>
        </w:tc>
        <w:tc>
          <w:tcPr>
            <w:tcW w:w="0" w:type="auto"/>
          </w:tcPr>
          <w:p w:rsidR="00233AEB" w:rsidRDefault="00233AEB" w:rsidP="00233AEB">
            <w:pPr>
              <w:jc w:val="right"/>
            </w:pPr>
            <w:r>
              <w:t>9.5%</w:t>
            </w:r>
          </w:p>
        </w:tc>
      </w:tr>
      <w:tr w:rsidR="00233AEB" w:rsidTr="00563E5D">
        <w:tc>
          <w:tcPr>
            <w:tcW w:w="0" w:type="auto"/>
          </w:tcPr>
          <w:p w:rsidR="00233AEB" w:rsidRPr="003A5FF1" w:rsidRDefault="00233AEB" w:rsidP="00233AEB">
            <w:pPr>
              <w:rPr>
                <w:rFonts w:cs="LindeDaxGlobal-Regular"/>
              </w:rPr>
            </w:pPr>
            <w:r w:rsidRPr="003A5FF1">
              <w:rPr>
                <w:rFonts w:cs="LindeDaxGlobal-Light"/>
              </w:rPr>
              <w:t>Income tax expenses</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(351,522)</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(309,634)</w:t>
            </w:r>
          </w:p>
        </w:tc>
        <w:tc>
          <w:tcPr>
            <w:tcW w:w="0" w:type="auto"/>
          </w:tcPr>
          <w:p w:rsidR="00233AEB" w:rsidRDefault="00233AEB" w:rsidP="00233AEB">
            <w:pPr>
              <w:jc w:val="right"/>
            </w:pPr>
            <w:r>
              <w:t>41,888</w:t>
            </w:r>
          </w:p>
        </w:tc>
        <w:tc>
          <w:tcPr>
            <w:tcW w:w="0" w:type="auto"/>
          </w:tcPr>
          <w:p w:rsidR="00233AEB" w:rsidRDefault="00233AEB" w:rsidP="00233AEB">
            <w:pPr>
              <w:jc w:val="right"/>
            </w:pPr>
            <w:r>
              <w:t>13.5%</w:t>
            </w:r>
          </w:p>
        </w:tc>
      </w:tr>
      <w:tr w:rsidR="00233AEB" w:rsidTr="00563E5D">
        <w:tc>
          <w:tcPr>
            <w:tcW w:w="0" w:type="auto"/>
          </w:tcPr>
          <w:p w:rsidR="00233AEB" w:rsidRPr="003A5FF1" w:rsidRDefault="00233AEB" w:rsidP="00233AEB">
            <w:pPr>
              <w:rPr>
                <w:rFonts w:cs="LindeDaxGlobal-Regular"/>
                <w:b/>
              </w:rPr>
            </w:pPr>
            <w:r w:rsidRPr="003A5FF1">
              <w:rPr>
                <w:rFonts w:cs="LindeDaxGlobal-Regular"/>
                <w:b/>
              </w:rPr>
              <w:t>Profit</w:t>
            </w:r>
          </w:p>
        </w:tc>
        <w:tc>
          <w:tcPr>
            <w:tcW w:w="0" w:type="auto"/>
          </w:tcPr>
          <w:p w:rsidR="00233AEB" w:rsidRPr="004C55FF" w:rsidRDefault="00233AEB" w:rsidP="00233AEB">
            <w:pPr>
              <w:jc w:val="right"/>
              <w:rPr>
                <w:rFonts w:cs="LindeDaxGlobal-Regular"/>
                <w:b/>
                <w:color w:val="000000" w:themeColor="text1"/>
              </w:rPr>
            </w:pPr>
            <w:r w:rsidRPr="004C55FF">
              <w:rPr>
                <w:rFonts w:cs="LindeDaxGlobal-Regular"/>
                <w:b/>
                <w:color w:val="000000" w:themeColor="text1"/>
              </w:rPr>
              <w:t>952,612</w:t>
            </w:r>
          </w:p>
        </w:tc>
        <w:tc>
          <w:tcPr>
            <w:tcW w:w="0" w:type="auto"/>
          </w:tcPr>
          <w:p w:rsidR="00233AEB" w:rsidRPr="004C55FF" w:rsidRDefault="00233AEB" w:rsidP="00233AEB">
            <w:pPr>
              <w:jc w:val="right"/>
              <w:rPr>
                <w:rFonts w:cs="LindeDaxGlobal-Regular"/>
                <w:b/>
                <w:color w:val="000000" w:themeColor="text1"/>
              </w:rPr>
            </w:pPr>
            <w:r w:rsidRPr="004C55FF">
              <w:rPr>
                <w:rFonts w:cs="LindeDaxGlobal-Regular"/>
                <w:b/>
                <w:color w:val="000000" w:themeColor="text1"/>
              </w:rPr>
              <w:t>881,088</w:t>
            </w:r>
          </w:p>
        </w:tc>
        <w:tc>
          <w:tcPr>
            <w:tcW w:w="0" w:type="auto"/>
          </w:tcPr>
          <w:p w:rsidR="00233AEB" w:rsidRDefault="00233AEB" w:rsidP="00233AEB">
            <w:pPr>
              <w:jc w:val="right"/>
            </w:pPr>
            <w:r>
              <w:t>71,524</w:t>
            </w:r>
          </w:p>
        </w:tc>
        <w:tc>
          <w:tcPr>
            <w:tcW w:w="0" w:type="auto"/>
          </w:tcPr>
          <w:p w:rsidR="00233AEB" w:rsidRDefault="00233AEB" w:rsidP="00233AEB">
            <w:pPr>
              <w:jc w:val="right"/>
            </w:pPr>
            <w:r>
              <w:t>8.11%</w:t>
            </w:r>
          </w:p>
        </w:tc>
      </w:tr>
      <w:tr w:rsidR="00233AEB" w:rsidTr="00563E5D">
        <w:tc>
          <w:tcPr>
            <w:tcW w:w="0" w:type="auto"/>
          </w:tcPr>
          <w:p w:rsidR="00233AEB" w:rsidRPr="003A5FF1" w:rsidRDefault="00233AEB" w:rsidP="00233AEB">
            <w:pPr>
              <w:rPr>
                <w:rFonts w:cs="LindeDaxGlobal-Regular"/>
                <w:b/>
              </w:rPr>
            </w:pPr>
            <w:r w:rsidRPr="003A5FF1">
              <w:rPr>
                <w:rFonts w:cs="LindeDaxGlobal-Regular"/>
                <w:b/>
              </w:rPr>
              <w:t>Other comprehensive income</w:t>
            </w: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r w:rsidRPr="003A5FF1">
              <w:rPr>
                <w:rFonts w:cs="LindeDaxGlobal-Light"/>
              </w:rPr>
              <w:t>Other comprehensive income/(loss)</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13,220</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(13,220)</w:t>
            </w:r>
          </w:p>
        </w:tc>
        <w:tc>
          <w:tcPr>
            <w:tcW w:w="0" w:type="auto"/>
          </w:tcPr>
          <w:p w:rsidR="00233AEB" w:rsidRDefault="00233AEB" w:rsidP="00233AEB">
            <w:pPr>
              <w:jc w:val="right"/>
            </w:pPr>
            <w:r>
              <w:t>0</w:t>
            </w: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r w:rsidRPr="003A5FF1">
              <w:rPr>
                <w:rFonts w:cs="LindeDaxGlobal-Light"/>
              </w:rPr>
              <w:t>Other comprehensive income/(loss) related tax</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(3,305)</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3,305</w:t>
            </w:r>
          </w:p>
        </w:tc>
        <w:tc>
          <w:tcPr>
            <w:tcW w:w="0" w:type="auto"/>
          </w:tcPr>
          <w:p w:rsidR="00233AEB" w:rsidRDefault="00233AEB" w:rsidP="00233AEB">
            <w:pPr>
              <w:jc w:val="right"/>
            </w:pPr>
            <w:r>
              <w:t>(0)</w:t>
            </w: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r w:rsidRPr="003A5FF1">
              <w:rPr>
                <w:rFonts w:cs="LindeDaxGlobal-Regular"/>
              </w:rPr>
              <w:t>Other comprehensive income/(loss), net of tax</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9,915</w:t>
            </w:r>
          </w:p>
        </w:tc>
        <w:tc>
          <w:tcPr>
            <w:tcW w:w="0" w:type="auto"/>
          </w:tcPr>
          <w:p w:rsidR="00233AEB" w:rsidRPr="004C55FF" w:rsidRDefault="00233AEB" w:rsidP="00233AEB">
            <w:pPr>
              <w:jc w:val="right"/>
              <w:rPr>
                <w:rFonts w:cs="LindeDaxGlobal-Regular"/>
                <w:color w:val="000000" w:themeColor="text1"/>
              </w:rPr>
            </w:pPr>
            <w:r w:rsidRPr="004C55FF">
              <w:rPr>
                <w:rFonts w:cs="LindeDaxGlobal-Light"/>
                <w:color w:val="000000" w:themeColor="text1"/>
              </w:rPr>
              <w:t>(9,915)</w:t>
            </w:r>
          </w:p>
        </w:tc>
        <w:tc>
          <w:tcPr>
            <w:tcW w:w="0" w:type="auto"/>
          </w:tcPr>
          <w:p w:rsidR="00233AEB" w:rsidRDefault="00233AEB" w:rsidP="00233AEB">
            <w:pPr>
              <w:jc w:val="right"/>
            </w:pPr>
            <w:r>
              <w:t>0</w:t>
            </w: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b/>
              </w:rPr>
            </w:pPr>
            <w:r w:rsidRPr="003A5FF1">
              <w:rPr>
                <w:rFonts w:cs="LindeDaxGlobal-Regular"/>
                <w:b/>
              </w:rPr>
              <w:t>Total comprehensive income</w:t>
            </w:r>
          </w:p>
        </w:tc>
        <w:tc>
          <w:tcPr>
            <w:tcW w:w="0" w:type="auto"/>
          </w:tcPr>
          <w:p w:rsidR="00233AEB" w:rsidRPr="004C55FF" w:rsidRDefault="00233AEB" w:rsidP="00233AEB">
            <w:pPr>
              <w:jc w:val="right"/>
              <w:rPr>
                <w:rFonts w:cs="LindeDaxGlobal-Regular"/>
                <w:b/>
                <w:color w:val="000000" w:themeColor="text1"/>
              </w:rPr>
            </w:pPr>
            <w:r w:rsidRPr="004C55FF">
              <w:rPr>
                <w:rFonts w:cs="LindeDaxGlobal-Regular"/>
                <w:b/>
                <w:color w:val="000000" w:themeColor="text1"/>
              </w:rPr>
              <w:t>962,527</w:t>
            </w:r>
          </w:p>
        </w:tc>
        <w:tc>
          <w:tcPr>
            <w:tcW w:w="0" w:type="auto"/>
          </w:tcPr>
          <w:p w:rsidR="00233AEB" w:rsidRPr="004C55FF" w:rsidRDefault="00233AEB" w:rsidP="00233AEB">
            <w:pPr>
              <w:jc w:val="right"/>
              <w:rPr>
                <w:rFonts w:cs="LindeDaxGlobal-Regular"/>
                <w:b/>
                <w:color w:val="000000" w:themeColor="text1"/>
              </w:rPr>
            </w:pPr>
            <w:r w:rsidRPr="004C55FF">
              <w:rPr>
                <w:rFonts w:cs="LindeDaxGlobal-Regular"/>
                <w:b/>
                <w:color w:val="000000" w:themeColor="text1"/>
              </w:rPr>
              <w:t>871,173</w:t>
            </w:r>
          </w:p>
        </w:tc>
        <w:tc>
          <w:tcPr>
            <w:tcW w:w="0" w:type="auto"/>
          </w:tcPr>
          <w:p w:rsidR="00233AEB" w:rsidRDefault="00233AEB" w:rsidP="00233AEB">
            <w:pPr>
              <w:jc w:val="right"/>
            </w:pPr>
            <w:r>
              <w:t>91354</w:t>
            </w:r>
          </w:p>
        </w:tc>
        <w:tc>
          <w:tcPr>
            <w:tcW w:w="0" w:type="auto"/>
          </w:tcPr>
          <w:p w:rsidR="00233AEB" w:rsidRDefault="00233AEB" w:rsidP="00233AEB">
            <w:pPr>
              <w:jc w:val="right"/>
            </w:pPr>
            <w:r>
              <w:t>10.4%</w:t>
            </w:r>
          </w:p>
        </w:tc>
      </w:tr>
      <w:tr w:rsidR="00233AEB" w:rsidTr="00563E5D">
        <w:tc>
          <w:tcPr>
            <w:tcW w:w="0" w:type="auto"/>
          </w:tcPr>
          <w:p w:rsidR="00233AEB" w:rsidRPr="003A5FF1" w:rsidRDefault="00233AEB" w:rsidP="00233AEB">
            <w:pPr>
              <w:rPr>
                <w:rFonts w:cs="LindeDaxGlobal-Regular"/>
                <w:b/>
              </w:rPr>
            </w:pPr>
            <w:r w:rsidRPr="003A5FF1">
              <w:rPr>
                <w:rFonts w:cs="LindeDaxGlobal-Regular"/>
                <w:b/>
              </w:rPr>
              <w:t>Profit attributable to:</w:t>
            </w: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r w:rsidRPr="003A5FF1">
              <w:rPr>
                <w:rFonts w:cs="LindeDaxGlobal-Light"/>
              </w:rPr>
              <w:t>Owners of the Company</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952,612</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881,088</w:t>
            </w:r>
          </w:p>
        </w:tc>
        <w:tc>
          <w:tcPr>
            <w:tcW w:w="0" w:type="auto"/>
          </w:tcPr>
          <w:p w:rsidR="00233AEB" w:rsidRDefault="00233AEB" w:rsidP="00233AEB">
            <w:pPr>
              <w:jc w:val="right"/>
            </w:pPr>
            <w:r>
              <w:t>71,524</w:t>
            </w:r>
          </w:p>
        </w:tc>
        <w:tc>
          <w:tcPr>
            <w:tcW w:w="0" w:type="auto"/>
          </w:tcPr>
          <w:p w:rsidR="00233AEB" w:rsidRDefault="00233AEB" w:rsidP="00233AEB">
            <w:pPr>
              <w:jc w:val="right"/>
            </w:pPr>
            <w:r>
              <w:t>8.11%</w:t>
            </w:r>
          </w:p>
        </w:tc>
      </w:tr>
      <w:tr w:rsidR="00233AEB" w:rsidTr="00563E5D">
        <w:tc>
          <w:tcPr>
            <w:tcW w:w="0" w:type="auto"/>
          </w:tcPr>
          <w:p w:rsidR="00233AEB" w:rsidRPr="003A5FF1" w:rsidRDefault="00233AEB" w:rsidP="00233AEB">
            <w:pPr>
              <w:rPr>
                <w:rFonts w:cs="LindeDaxGlobal-Regular"/>
              </w:rPr>
            </w:pPr>
            <w:r w:rsidRPr="003A5FF1">
              <w:rPr>
                <w:rFonts w:cs="LindeDaxGlobal-Light"/>
              </w:rPr>
              <w:t>Non- controlling interests</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w:t>
            </w: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952,612</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881,088</w:t>
            </w:r>
          </w:p>
        </w:tc>
        <w:tc>
          <w:tcPr>
            <w:tcW w:w="0" w:type="auto"/>
          </w:tcPr>
          <w:p w:rsidR="00233AEB" w:rsidRDefault="00233AEB" w:rsidP="00233AEB">
            <w:pPr>
              <w:jc w:val="right"/>
            </w:pPr>
            <w:r>
              <w:t>71,524</w:t>
            </w:r>
          </w:p>
        </w:tc>
        <w:tc>
          <w:tcPr>
            <w:tcW w:w="0" w:type="auto"/>
          </w:tcPr>
          <w:p w:rsidR="00233AEB" w:rsidRDefault="00233AEB" w:rsidP="00233AEB">
            <w:pPr>
              <w:jc w:val="right"/>
            </w:pPr>
            <w:r>
              <w:t>8.11%</w:t>
            </w:r>
          </w:p>
        </w:tc>
      </w:tr>
      <w:tr w:rsidR="00233AEB" w:rsidTr="00563E5D">
        <w:tc>
          <w:tcPr>
            <w:tcW w:w="0" w:type="auto"/>
          </w:tcPr>
          <w:p w:rsidR="00233AEB" w:rsidRPr="003A5FF1" w:rsidRDefault="00233AEB" w:rsidP="00233AEB">
            <w:pPr>
              <w:rPr>
                <w:rFonts w:cs="LindeDaxGlobal-Regular"/>
                <w:b/>
              </w:rPr>
            </w:pPr>
            <w:r w:rsidRPr="003A5FF1">
              <w:rPr>
                <w:rFonts w:cs="LindeDaxGlobal-Light"/>
                <w:b/>
              </w:rPr>
              <w:t>Total comprehensive income attributable to:</w:t>
            </w: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r w:rsidRPr="003A5FF1">
              <w:rPr>
                <w:rFonts w:cs="LindeDaxGlobal-Light"/>
              </w:rPr>
              <w:t>Owners of the Company</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962,527</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871,173</w:t>
            </w:r>
          </w:p>
        </w:tc>
        <w:tc>
          <w:tcPr>
            <w:tcW w:w="0" w:type="auto"/>
          </w:tcPr>
          <w:p w:rsidR="00233AEB" w:rsidRDefault="00233AEB" w:rsidP="00233AEB">
            <w:pPr>
              <w:jc w:val="right"/>
            </w:pPr>
            <w:r>
              <w:t>91354</w:t>
            </w:r>
          </w:p>
        </w:tc>
        <w:tc>
          <w:tcPr>
            <w:tcW w:w="0" w:type="auto"/>
          </w:tcPr>
          <w:p w:rsidR="00233AEB" w:rsidRDefault="00233AEB" w:rsidP="00233AEB">
            <w:pPr>
              <w:jc w:val="right"/>
            </w:pPr>
            <w:r>
              <w:t>10.4%</w:t>
            </w:r>
          </w:p>
        </w:tc>
      </w:tr>
      <w:tr w:rsidR="00233AEB" w:rsidTr="00563E5D">
        <w:tc>
          <w:tcPr>
            <w:tcW w:w="0" w:type="auto"/>
          </w:tcPr>
          <w:p w:rsidR="00233AEB" w:rsidRPr="003A5FF1" w:rsidRDefault="00233AEB" w:rsidP="00233AEB">
            <w:pPr>
              <w:rPr>
                <w:rFonts w:cs="LindeDaxGlobal-Regular"/>
              </w:rPr>
            </w:pPr>
            <w:r w:rsidRPr="003A5FF1">
              <w:rPr>
                <w:rFonts w:cs="LindeDaxGlobal-Light"/>
              </w:rPr>
              <w:t>Non-controlling interests</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w:t>
            </w: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962,527</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871,173</w:t>
            </w:r>
          </w:p>
        </w:tc>
        <w:tc>
          <w:tcPr>
            <w:tcW w:w="0" w:type="auto"/>
          </w:tcPr>
          <w:p w:rsidR="00233AEB" w:rsidRDefault="00233AEB" w:rsidP="00233AEB">
            <w:pPr>
              <w:jc w:val="right"/>
            </w:pPr>
            <w:r>
              <w:t>91354</w:t>
            </w:r>
          </w:p>
        </w:tc>
        <w:tc>
          <w:tcPr>
            <w:tcW w:w="0" w:type="auto"/>
          </w:tcPr>
          <w:p w:rsidR="00233AEB" w:rsidRDefault="00233AEB" w:rsidP="00233AEB">
            <w:pPr>
              <w:jc w:val="right"/>
            </w:pPr>
            <w:r>
              <w:t>10.4%</w:t>
            </w:r>
          </w:p>
        </w:tc>
      </w:tr>
      <w:tr w:rsidR="00233AEB" w:rsidTr="00563E5D">
        <w:tc>
          <w:tcPr>
            <w:tcW w:w="0" w:type="auto"/>
          </w:tcPr>
          <w:p w:rsidR="00233AEB" w:rsidRPr="003A5FF1" w:rsidRDefault="00233AEB" w:rsidP="00233AEB">
            <w:pPr>
              <w:rPr>
                <w:rFonts w:cs="LindeDaxGlobal-Regular"/>
                <w:b/>
              </w:rPr>
            </w:pPr>
            <w:r w:rsidRPr="003A5FF1">
              <w:rPr>
                <w:rFonts w:cs="LindeDaxGlobal-Regular"/>
                <w:b/>
              </w:rPr>
              <w:t>Earnings per share:</w:t>
            </w: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Pr="004C55FF" w:rsidRDefault="00233AEB" w:rsidP="00233AEB">
            <w:pPr>
              <w:jc w:val="right"/>
              <w:rPr>
                <w:rFonts w:cs="LindeDaxGlobal-Regular"/>
                <w:color w:val="000000" w:themeColor="text1"/>
              </w:rPr>
            </w:pPr>
          </w:p>
        </w:tc>
        <w:tc>
          <w:tcPr>
            <w:tcW w:w="0" w:type="auto"/>
          </w:tcPr>
          <w:p w:rsidR="00233AEB" w:rsidRDefault="00233AEB" w:rsidP="00233AEB">
            <w:pPr>
              <w:jc w:val="right"/>
            </w:pPr>
          </w:p>
        </w:tc>
        <w:tc>
          <w:tcPr>
            <w:tcW w:w="0" w:type="auto"/>
          </w:tcPr>
          <w:p w:rsidR="00233AEB" w:rsidRDefault="00233AEB" w:rsidP="00233AEB">
            <w:pPr>
              <w:jc w:val="right"/>
            </w:pPr>
          </w:p>
        </w:tc>
      </w:tr>
      <w:tr w:rsidR="00233AEB" w:rsidTr="00563E5D">
        <w:tc>
          <w:tcPr>
            <w:tcW w:w="0" w:type="auto"/>
          </w:tcPr>
          <w:p w:rsidR="00233AEB" w:rsidRPr="003A5FF1" w:rsidRDefault="00233AEB" w:rsidP="00233AEB">
            <w:pPr>
              <w:rPr>
                <w:rFonts w:cs="LindeDaxGlobal-Regular"/>
              </w:rPr>
            </w:pPr>
            <w:r w:rsidRPr="003A5FF1">
              <w:rPr>
                <w:rFonts w:cs="LindeDaxGlobal-Light"/>
              </w:rPr>
              <w:t>Basic and diluted earnings per share (par value Tk 10) in Taka</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62.60</w:t>
            </w:r>
          </w:p>
        </w:tc>
        <w:tc>
          <w:tcPr>
            <w:tcW w:w="0" w:type="auto"/>
          </w:tcPr>
          <w:p w:rsidR="00233AEB" w:rsidRPr="004C55FF" w:rsidRDefault="00233AEB" w:rsidP="00233AEB">
            <w:pPr>
              <w:jc w:val="right"/>
              <w:rPr>
                <w:rFonts w:cs="LindeDaxGlobal-Regular"/>
                <w:color w:val="000000" w:themeColor="text1"/>
              </w:rPr>
            </w:pPr>
            <w:r w:rsidRPr="004C55FF">
              <w:rPr>
                <w:rFonts w:cs="LindeDaxGlobal-Regular"/>
                <w:color w:val="000000" w:themeColor="text1"/>
              </w:rPr>
              <w:t>57.90</w:t>
            </w:r>
          </w:p>
        </w:tc>
        <w:tc>
          <w:tcPr>
            <w:tcW w:w="0" w:type="auto"/>
          </w:tcPr>
          <w:p w:rsidR="00233AEB" w:rsidRDefault="00233AEB" w:rsidP="00233AEB">
            <w:pPr>
              <w:jc w:val="right"/>
            </w:pPr>
            <w:r>
              <w:t>4.7</w:t>
            </w:r>
          </w:p>
        </w:tc>
        <w:tc>
          <w:tcPr>
            <w:tcW w:w="0" w:type="auto"/>
          </w:tcPr>
          <w:p w:rsidR="00233AEB" w:rsidRDefault="00233AEB" w:rsidP="00233AEB">
            <w:pPr>
              <w:jc w:val="right"/>
            </w:pPr>
            <w:r>
              <w:t>8.1%</w:t>
            </w:r>
          </w:p>
        </w:tc>
      </w:tr>
    </w:tbl>
    <w:p w:rsidR="00A379A7" w:rsidRDefault="00A379A7">
      <w:pPr>
        <w:spacing w:after="0" w:line="240" w:lineRule="auto"/>
        <w:jc w:val="both"/>
        <w:rPr>
          <w:rFonts w:ascii="Times New Roman" w:eastAsia="Times New Roman" w:hAnsi="Times New Roman"/>
          <w:b/>
          <w:sz w:val="28"/>
        </w:rPr>
      </w:pPr>
    </w:p>
    <w:p w:rsidR="008427DC" w:rsidRDefault="008427DC" w:rsidP="005638B8">
      <w:pPr>
        <w:spacing w:after="0" w:line="240" w:lineRule="auto"/>
        <w:jc w:val="center"/>
        <w:rPr>
          <w:rFonts w:ascii="Times New Roman" w:eastAsia="Times New Roman" w:hAnsi="Times New Roman"/>
          <w:b/>
          <w:sz w:val="28"/>
        </w:rPr>
      </w:pPr>
    </w:p>
    <w:p w:rsidR="008427DC" w:rsidRDefault="008427DC">
      <w:pPr>
        <w:spacing w:after="0" w:line="240" w:lineRule="auto"/>
        <w:jc w:val="both"/>
        <w:rPr>
          <w:rFonts w:ascii="Times New Roman" w:eastAsia="Times New Roman" w:hAnsi="Times New Roman"/>
          <w:b/>
          <w:sz w:val="28"/>
        </w:rPr>
      </w:pPr>
    </w:p>
    <w:p w:rsidR="00563E5D" w:rsidRDefault="00563E5D">
      <w:pPr>
        <w:spacing w:after="0" w:line="240" w:lineRule="auto"/>
        <w:jc w:val="both"/>
        <w:rPr>
          <w:rFonts w:ascii="Times New Roman" w:eastAsia="Times New Roman" w:hAnsi="Times New Roman"/>
          <w:b/>
          <w:sz w:val="28"/>
        </w:rPr>
      </w:pPr>
    </w:p>
    <w:p w:rsidR="00563E5D" w:rsidRDefault="00563E5D">
      <w:pPr>
        <w:spacing w:after="0" w:line="240" w:lineRule="auto"/>
        <w:jc w:val="both"/>
        <w:rPr>
          <w:rFonts w:ascii="Times New Roman" w:eastAsia="Times New Roman" w:hAnsi="Times New Roman"/>
          <w:b/>
          <w:sz w:val="28"/>
        </w:rPr>
      </w:pPr>
    </w:p>
    <w:p w:rsidR="00563E5D" w:rsidRDefault="00563E5D">
      <w:pPr>
        <w:spacing w:after="0" w:line="240" w:lineRule="auto"/>
        <w:jc w:val="both"/>
        <w:rPr>
          <w:rFonts w:ascii="Times New Roman" w:eastAsia="Times New Roman" w:hAnsi="Times New Roman"/>
          <w:b/>
          <w:sz w:val="28"/>
        </w:rPr>
      </w:pPr>
    </w:p>
    <w:tbl>
      <w:tblPr>
        <w:tblStyle w:val="TableGrid"/>
        <w:tblpPr w:leftFromText="180" w:rightFromText="180" w:vertAnchor="text" w:horzAnchor="margin" w:tblpY="23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68"/>
        <w:gridCol w:w="1440"/>
        <w:gridCol w:w="1440"/>
        <w:gridCol w:w="2018"/>
      </w:tblGrid>
      <w:tr w:rsidR="008427DC" w:rsidTr="00563E5D">
        <w:trPr>
          <w:trHeight w:val="654"/>
        </w:trPr>
        <w:tc>
          <w:tcPr>
            <w:tcW w:w="5000" w:type="pct"/>
            <w:gridSpan w:val="4"/>
          </w:tcPr>
          <w:p w:rsidR="008427DC" w:rsidRPr="00A00B73" w:rsidRDefault="008427DC" w:rsidP="00A00B73">
            <w:pPr>
              <w:pStyle w:val="Heading5"/>
              <w:jc w:val="center"/>
              <w:rPr>
                <w:b/>
              </w:rPr>
            </w:pPr>
            <w:r w:rsidRPr="00A00B73">
              <w:rPr>
                <w:b/>
              </w:rPr>
              <w:lastRenderedPageBreak/>
              <w:t>Linde Bangladesh Ltd.</w:t>
            </w:r>
          </w:p>
          <w:p w:rsidR="008427DC" w:rsidRDefault="008427DC" w:rsidP="00A00B73">
            <w:pPr>
              <w:pStyle w:val="Heading5"/>
              <w:jc w:val="center"/>
              <w:rPr>
                <w:b/>
              </w:rPr>
            </w:pPr>
            <w:r w:rsidRPr="00A00B73">
              <w:rPr>
                <w:b/>
              </w:rPr>
              <w:t>Ratio Analysis - Two-Year Comparison</w:t>
            </w:r>
          </w:p>
          <w:p w:rsidR="00325858" w:rsidRPr="00325858" w:rsidRDefault="00325858" w:rsidP="00325858"/>
        </w:tc>
      </w:tr>
      <w:tr w:rsidR="008427DC" w:rsidTr="00563E5D">
        <w:tc>
          <w:tcPr>
            <w:tcW w:w="2466" w:type="pct"/>
          </w:tcPr>
          <w:p w:rsidR="008427DC" w:rsidRDefault="008427DC" w:rsidP="008427DC"/>
        </w:tc>
        <w:tc>
          <w:tcPr>
            <w:tcW w:w="745" w:type="pct"/>
          </w:tcPr>
          <w:p w:rsidR="008427DC" w:rsidRPr="00691024" w:rsidRDefault="008427DC" w:rsidP="008427DC">
            <w:pPr>
              <w:rPr>
                <w:b/>
              </w:rPr>
            </w:pPr>
            <w:r w:rsidRPr="00691024">
              <w:rPr>
                <w:b/>
              </w:rPr>
              <w:t>2017</w:t>
            </w:r>
          </w:p>
        </w:tc>
        <w:tc>
          <w:tcPr>
            <w:tcW w:w="745" w:type="pct"/>
          </w:tcPr>
          <w:p w:rsidR="008427DC" w:rsidRPr="00691024" w:rsidRDefault="008427DC" w:rsidP="008427DC">
            <w:pPr>
              <w:rPr>
                <w:b/>
              </w:rPr>
            </w:pPr>
            <w:r w:rsidRPr="00691024">
              <w:rPr>
                <w:b/>
              </w:rPr>
              <w:t>2016</w:t>
            </w:r>
          </w:p>
        </w:tc>
        <w:tc>
          <w:tcPr>
            <w:tcW w:w="1044" w:type="pct"/>
          </w:tcPr>
          <w:p w:rsidR="008427DC" w:rsidRPr="00691024" w:rsidRDefault="008427DC" w:rsidP="008427DC">
            <w:pPr>
              <w:rPr>
                <w:b/>
              </w:rPr>
            </w:pPr>
            <w:r w:rsidRPr="00691024">
              <w:rPr>
                <w:b/>
              </w:rPr>
              <w:t xml:space="preserve">% Variance </w:t>
            </w:r>
          </w:p>
        </w:tc>
      </w:tr>
      <w:tr w:rsidR="00DD0BEC" w:rsidTr="00563E5D">
        <w:tc>
          <w:tcPr>
            <w:tcW w:w="5000" w:type="pct"/>
            <w:gridSpan w:val="4"/>
          </w:tcPr>
          <w:p w:rsidR="00DD0BEC" w:rsidRDefault="00DD0BEC" w:rsidP="008427DC">
            <w:r>
              <w:rPr>
                <w:rFonts w:ascii="Arial" w:hAnsi="Arial" w:cs="Arial"/>
                <w:b/>
                <w:bCs/>
                <w:sz w:val="18"/>
                <w:szCs w:val="18"/>
              </w:rPr>
              <w:t>Liquidity Ratios</w:t>
            </w:r>
          </w:p>
        </w:tc>
      </w:tr>
      <w:tr w:rsidR="008427DC" w:rsidTr="00563E5D">
        <w:tc>
          <w:tcPr>
            <w:tcW w:w="2466" w:type="pct"/>
          </w:tcPr>
          <w:p w:rsidR="008427DC" w:rsidRDefault="008427DC" w:rsidP="008427DC">
            <w:r>
              <w:rPr>
                <w:rFonts w:ascii="Arial" w:hAnsi="Arial" w:cs="Arial"/>
                <w:sz w:val="18"/>
                <w:szCs w:val="18"/>
              </w:rPr>
              <w:t>Current Ratio</w:t>
            </w:r>
          </w:p>
        </w:tc>
        <w:tc>
          <w:tcPr>
            <w:tcW w:w="745" w:type="pct"/>
          </w:tcPr>
          <w:p w:rsidR="008427DC" w:rsidRDefault="008427DC" w:rsidP="008427DC">
            <w:r>
              <w:t>1.67</w:t>
            </w:r>
          </w:p>
        </w:tc>
        <w:tc>
          <w:tcPr>
            <w:tcW w:w="745" w:type="pct"/>
          </w:tcPr>
          <w:p w:rsidR="008427DC" w:rsidRDefault="008427DC" w:rsidP="008427DC">
            <w:r>
              <w:t>1.55</w:t>
            </w:r>
          </w:p>
        </w:tc>
        <w:tc>
          <w:tcPr>
            <w:tcW w:w="1044" w:type="pct"/>
          </w:tcPr>
          <w:p w:rsidR="008427DC" w:rsidRDefault="008427DC" w:rsidP="008427DC">
            <w:r>
              <w:t>7.7%</w:t>
            </w:r>
          </w:p>
        </w:tc>
      </w:tr>
      <w:tr w:rsidR="008427DC" w:rsidTr="00563E5D">
        <w:tc>
          <w:tcPr>
            <w:tcW w:w="2466" w:type="pct"/>
          </w:tcPr>
          <w:p w:rsidR="008427DC" w:rsidRDefault="008427DC" w:rsidP="008427DC">
            <w:r>
              <w:rPr>
                <w:rFonts w:ascii="Arial" w:hAnsi="Arial" w:cs="Arial"/>
                <w:sz w:val="18"/>
                <w:szCs w:val="18"/>
              </w:rPr>
              <w:t>Quick Ratio</w:t>
            </w:r>
          </w:p>
        </w:tc>
        <w:tc>
          <w:tcPr>
            <w:tcW w:w="745" w:type="pct"/>
          </w:tcPr>
          <w:p w:rsidR="008427DC" w:rsidRDefault="008427DC" w:rsidP="008427DC">
            <w:r>
              <w:t>1.24</w:t>
            </w:r>
          </w:p>
        </w:tc>
        <w:tc>
          <w:tcPr>
            <w:tcW w:w="745" w:type="pct"/>
          </w:tcPr>
          <w:p w:rsidR="008427DC" w:rsidRDefault="008427DC" w:rsidP="008427DC">
            <w:r>
              <w:t>1.15</w:t>
            </w:r>
          </w:p>
        </w:tc>
        <w:tc>
          <w:tcPr>
            <w:tcW w:w="1044" w:type="pct"/>
          </w:tcPr>
          <w:p w:rsidR="008427DC" w:rsidRDefault="008427DC" w:rsidP="008427DC">
            <w:r>
              <w:t>7.4%</w:t>
            </w:r>
          </w:p>
        </w:tc>
      </w:tr>
      <w:tr w:rsidR="00DD0BEC" w:rsidTr="00563E5D">
        <w:tc>
          <w:tcPr>
            <w:tcW w:w="5000" w:type="pct"/>
            <w:gridSpan w:val="4"/>
          </w:tcPr>
          <w:p w:rsidR="00DD0BEC" w:rsidRDefault="00DD0BEC" w:rsidP="008427DC">
            <w:r>
              <w:rPr>
                <w:rFonts w:ascii="Arial" w:hAnsi="Arial" w:cs="Arial"/>
                <w:b/>
                <w:bCs/>
                <w:sz w:val="18"/>
                <w:szCs w:val="18"/>
              </w:rPr>
              <w:t>Activity Ratios</w:t>
            </w:r>
          </w:p>
        </w:tc>
      </w:tr>
      <w:tr w:rsidR="008427DC" w:rsidTr="00563E5D">
        <w:tc>
          <w:tcPr>
            <w:tcW w:w="2466" w:type="pct"/>
          </w:tcPr>
          <w:p w:rsidR="008427DC" w:rsidRDefault="008427DC" w:rsidP="008427DC">
            <w:r>
              <w:rPr>
                <w:rFonts w:ascii="Arial" w:hAnsi="Arial" w:cs="Arial"/>
                <w:sz w:val="18"/>
                <w:szCs w:val="18"/>
              </w:rPr>
              <w:t>Accounts Receivable Turnover</w:t>
            </w:r>
          </w:p>
        </w:tc>
        <w:tc>
          <w:tcPr>
            <w:tcW w:w="745" w:type="pct"/>
          </w:tcPr>
          <w:p w:rsidR="008427DC" w:rsidRDefault="008427DC" w:rsidP="008427DC">
            <w:r>
              <w:t>8.12</w:t>
            </w:r>
          </w:p>
        </w:tc>
        <w:tc>
          <w:tcPr>
            <w:tcW w:w="745" w:type="pct"/>
          </w:tcPr>
          <w:p w:rsidR="008427DC" w:rsidRDefault="008427DC" w:rsidP="008427DC">
            <w:r>
              <w:t>8.75</w:t>
            </w:r>
          </w:p>
        </w:tc>
        <w:tc>
          <w:tcPr>
            <w:tcW w:w="1044" w:type="pct"/>
          </w:tcPr>
          <w:p w:rsidR="008427DC" w:rsidRDefault="008427DC" w:rsidP="008427DC">
            <w:r>
              <w:t>(7.2)%</w:t>
            </w:r>
          </w:p>
        </w:tc>
      </w:tr>
      <w:tr w:rsidR="008427DC" w:rsidTr="00563E5D">
        <w:tc>
          <w:tcPr>
            <w:tcW w:w="2466" w:type="pct"/>
          </w:tcPr>
          <w:p w:rsidR="008427DC" w:rsidRDefault="008427DC" w:rsidP="008427DC">
            <w:r>
              <w:rPr>
                <w:rFonts w:ascii="Arial" w:hAnsi="Arial" w:cs="Arial"/>
                <w:sz w:val="18"/>
                <w:szCs w:val="18"/>
              </w:rPr>
              <w:t>Inventory Turnover</w:t>
            </w:r>
          </w:p>
        </w:tc>
        <w:tc>
          <w:tcPr>
            <w:tcW w:w="745" w:type="pct"/>
          </w:tcPr>
          <w:p w:rsidR="008427DC" w:rsidRDefault="008427DC" w:rsidP="008427DC">
            <w:r>
              <w:t>3.85</w:t>
            </w:r>
          </w:p>
        </w:tc>
        <w:tc>
          <w:tcPr>
            <w:tcW w:w="745" w:type="pct"/>
          </w:tcPr>
          <w:p w:rsidR="008427DC" w:rsidRDefault="008427DC" w:rsidP="008427DC">
            <w:r>
              <w:t>3.14</w:t>
            </w:r>
          </w:p>
        </w:tc>
        <w:tc>
          <w:tcPr>
            <w:tcW w:w="1044" w:type="pct"/>
          </w:tcPr>
          <w:p w:rsidR="008427DC" w:rsidRDefault="008427DC" w:rsidP="008427DC">
            <w:r>
              <w:t>22.61%</w:t>
            </w:r>
          </w:p>
        </w:tc>
      </w:tr>
      <w:tr w:rsidR="008427DC" w:rsidTr="00563E5D">
        <w:tc>
          <w:tcPr>
            <w:tcW w:w="2466" w:type="pct"/>
          </w:tcPr>
          <w:p w:rsidR="008427DC" w:rsidRDefault="008427DC" w:rsidP="008427DC">
            <w:pPr>
              <w:rPr>
                <w:rFonts w:ascii="Arial" w:hAnsi="Arial" w:cs="Arial"/>
                <w:sz w:val="18"/>
                <w:szCs w:val="18"/>
              </w:rPr>
            </w:pPr>
            <w:r>
              <w:rPr>
                <w:rFonts w:ascii="Arial" w:hAnsi="Arial" w:cs="Arial"/>
                <w:sz w:val="18"/>
                <w:szCs w:val="18"/>
              </w:rPr>
              <w:t>Accounts Payable Turnover</w:t>
            </w:r>
          </w:p>
        </w:tc>
        <w:tc>
          <w:tcPr>
            <w:tcW w:w="745" w:type="pct"/>
          </w:tcPr>
          <w:p w:rsidR="008427DC" w:rsidRDefault="008427DC" w:rsidP="008427DC">
            <w:r>
              <w:t>1.46</w:t>
            </w:r>
          </w:p>
        </w:tc>
        <w:tc>
          <w:tcPr>
            <w:tcW w:w="745" w:type="pct"/>
          </w:tcPr>
          <w:p w:rsidR="008427DC" w:rsidRDefault="008427DC" w:rsidP="008427DC">
            <w:r>
              <w:t>1.17</w:t>
            </w:r>
          </w:p>
        </w:tc>
        <w:tc>
          <w:tcPr>
            <w:tcW w:w="1044" w:type="pct"/>
          </w:tcPr>
          <w:p w:rsidR="008427DC" w:rsidRDefault="008427DC" w:rsidP="008427DC">
            <w:r>
              <w:t>24.78%</w:t>
            </w:r>
          </w:p>
        </w:tc>
      </w:tr>
      <w:tr w:rsidR="008427DC" w:rsidTr="00563E5D">
        <w:tc>
          <w:tcPr>
            <w:tcW w:w="2466" w:type="pct"/>
          </w:tcPr>
          <w:p w:rsidR="008427DC" w:rsidRDefault="008427DC" w:rsidP="008427DC">
            <w:pPr>
              <w:rPr>
                <w:rFonts w:ascii="Arial" w:hAnsi="Arial" w:cs="Arial"/>
                <w:sz w:val="18"/>
                <w:szCs w:val="18"/>
              </w:rPr>
            </w:pPr>
            <w:r>
              <w:rPr>
                <w:rFonts w:ascii="Arial" w:hAnsi="Arial" w:cs="Arial"/>
                <w:sz w:val="18"/>
                <w:szCs w:val="18"/>
              </w:rPr>
              <w:t>Net Fixed Assets to Equity</w:t>
            </w:r>
          </w:p>
        </w:tc>
        <w:tc>
          <w:tcPr>
            <w:tcW w:w="745" w:type="pct"/>
          </w:tcPr>
          <w:p w:rsidR="008427DC" w:rsidRDefault="008427DC" w:rsidP="008427DC">
            <w:r>
              <w:t>90.26</w:t>
            </w:r>
          </w:p>
        </w:tc>
        <w:tc>
          <w:tcPr>
            <w:tcW w:w="745" w:type="pct"/>
          </w:tcPr>
          <w:p w:rsidR="008427DC" w:rsidRDefault="008427DC" w:rsidP="008427DC">
            <w:r>
              <w:t>83.04</w:t>
            </w:r>
          </w:p>
        </w:tc>
        <w:tc>
          <w:tcPr>
            <w:tcW w:w="1044" w:type="pct"/>
          </w:tcPr>
          <w:p w:rsidR="008427DC" w:rsidRDefault="008427DC" w:rsidP="008427DC">
            <w:r>
              <w:t>8.69%</w:t>
            </w:r>
          </w:p>
        </w:tc>
      </w:tr>
      <w:tr w:rsidR="008427DC" w:rsidTr="00563E5D">
        <w:tc>
          <w:tcPr>
            <w:tcW w:w="2466" w:type="pct"/>
          </w:tcPr>
          <w:p w:rsidR="008427DC" w:rsidRDefault="008427DC" w:rsidP="008427DC">
            <w:pPr>
              <w:rPr>
                <w:rFonts w:ascii="Arial" w:hAnsi="Arial" w:cs="Arial"/>
                <w:sz w:val="18"/>
                <w:szCs w:val="18"/>
              </w:rPr>
            </w:pPr>
            <w:r>
              <w:rPr>
                <w:rFonts w:ascii="Arial" w:hAnsi="Arial" w:cs="Arial"/>
                <w:sz w:val="18"/>
                <w:szCs w:val="18"/>
              </w:rPr>
              <w:t xml:space="preserve"> Assets</w:t>
            </w:r>
            <w:r w:rsidR="000538BB">
              <w:rPr>
                <w:rFonts w:ascii="Arial" w:hAnsi="Arial" w:cs="Arial"/>
                <w:sz w:val="18"/>
                <w:szCs w:val="18"/>
              </w:rPr>
              <w:t xml:space="preserve"> to sales</w:t>
            </w:r>
          </w:p>
        </w:tc>
        <w:tc>
          <w:tcPr>
            <w:tcW w:w="745" w:type="pct"/>
          </w:tcPr>
          <w:p w:rsidR="008427DC" w:rsidRDefault="008427DC" w:rsidP="008427DC">
            <w:r>
              <w:t>1.20</w:t>
            </w:r>
          </w:p>
        </w:tc>
        <w:tc>
          <w:tcPr>
            <w:tcW w:w="745" w:type="pct"/>
          </w:tcPr>
          <w:p w:rsidR="008427DC" w:rsidRDefault="008427DC" w:rsidP="008427DC">
            <w:r>
              <w:t>1.28</w:t>
            </w:r>
          </w:p>
        </w:tc>
        <w:tc>
          <w:tcPr>
            <w:tcW w:w="1044" w:type="pct"/>
          </w:tcPr>
          <w:p w:rsidR="008427DC" w:rsidRDefault="008427DC" w:rsidP="008427DC">
            <w:r>
              <w:t>(6.5)%</w:t>
            </w:r>
          </w:p>
        </w:tc>
      </w:tr>
      <w:tr w:rsidR="0002404E" w:rsidTr="00563E5D">
        <w:tc>
          <w:tcPr>
            <w:tcW w:w="2466" w:type="pct"/>
          </w:tcPr>
          <w:p w:rsidR="0002404E" w:rsidRDefault="00F22575" w:rsidP="00B51F2B">
            <w:pPr>
              <w:rPr>
                <w:rFonts w:ascii="Arial" w:hAnsi="Arial" w:cs="Arial"/>
                <w:sz w:val="18"/>
                <w:szCs w:val="18"/>
              </w:rPr>
            </w:pPr>
            <w:r>
              <w:rPr>
                <w:rFonts w:ascii="Arial" w:hAnsi="Arial" w:cs="Arial"/>
                <w:sz w:val="18"/>
                <w:szCs w:val="18"/>
              </w:rPr>
              <w:t>Asset turn</w:t>
            </w:r>
            <w:r w:rsidR="0002404E">
              <w:rPr>
                <w:rFonts w:ascii="Arial" w:hAnsi="Arial" w:cs="Arial"/>
                <w:sz w:val="18"/>
                <w:szCs w:val="18"/>
              </w:rPr>
              <w:t xml:space="preserve">over ratio </w:t>
            </w:r>
          </w:p>
        </w:tc>
        <w:tc>
          <w:tcPr>
            <w:tcW w:w="745" w:type="pct"/>
          </w:tcPr>
          <w:p w:rsidR="0002404E" w:rsidRDefault="0002404E" w:rsidP="00B51F2B">
            <w:r>
              <w:t>0.84</w:t>
            </w:r>
          </w:p>
        </w:tc>
        <w:tc>
          <w:tcPr>
            <w:tcW w:w="745" w:type="pct"/>
          </w:tcPr>
          <w:p w:rsidR="0002404E" w:rsidRDefault="0002404E" w:rsidP="00B51F2B">
            <w:r>
              <w:t>0.78</w:t>
            </w:r>
          </w:p>
        </w:tc>
        <w:tc>
          <w:tcPr>
            <w:tcW w:w="1044" w:type="pct"/>
          </w:tcPr>
          <w:p w:rsidR="0002404E" w:rsidRDefault="0002404E" w:rsidP="00B51F2B">
            <w:r>
              <w:t>7.69%</w:t>
            </w:r>
          </w:p>
        </w:tc>
      </w:tr>
      <w:tr w:rsidR="00EF1A99" w:rsidTr="00563E5D">
        <w:tc>
          <w:tcPr>
            <w:tcW w:w="2466" w:type="pct"/>
          </w:tcPr>
          <w:p w:rsidR="00EF1A99" w:rsidRDefault="00EF1A99" w:rsidP="00B51F2B">
            <w:pPr>
              <w:rPr>
                <w:rFonts w:ascii="Arial" w:hAnsi="Arial" w:cs="Arial"/>
                <w:sz w:val="18"/>
                <w:szCs w:val="18"/>
              </w:rPr>
            </w:pPr>
            <w:r>
              <w:rPr>
                <w:rFonts w:ascii="Arial" w:hAnsi="Arial" w:cs="Arial"/>
                <w:sz w:val="18"/>
                <w:szCs w:val="18"/>
              </w:rPr>
              <w:t>Average collection period</w:t>
            </w:r>
          </w:p>
        </w:tc>
        <w:tc>
          <w:tcPr>
            <w:tcW w:w="745" w:type="pct"/>
          </w:tcPr>
          <w:p w:rsidR="00EF1A99" w:rsidRDefault="00EF1A99" w:rsidP="00B51F2B">
            <w:r>
              <w:t>44.95</w:t>
            </w:r>
          </w:p>
        </w:tc>
        <w:tc>
          <w:tcPr>
            <w:tcW w:w="745" w:type="pct"/>
          </w:tcPr>
          <w:p w:rsidR="00EF1A99" w:rsidRDefault="00EF1A99" w:rsidP="00B51F2B">
            <w:r>
              <w:t>41.71</w:t>
            </w:r>
          </w:p>
        </w:tc>
        <w:tc>
          <w:tcPr>
            <w:tcW w:w="1044" w:type="pct"/>
          </w:tcPr>
          <w:p w:rsidR="00EF1A99" w:rsidRDefault="00EF1A99" w:rsidP="00B51F2B">
            <w:r>
              <w:t>7.76%</w:t>
            </w:r>
          </w:p>
        </w:tc>
      </w:tr>
      <w:tr w:rsidR="00DD0BEC" w:rsidTr="00563E5D">
        <w:tc>
          <w:tcPr>
            <w:tcW w:w="5000" w:type="pct"/>
            <w:gridSpan w:val="4"/>
          </w:tcPr>
          <w:p w:rsidR="00DD0BEC" w:rsidRDefault="00DD0BEC" w:rsidP="008427DC">
            <w:r>
              <w:rPr>
                <w:rFonts w:ascii="Arial" w:hAnsi="Arial" w:cs="Arial"/>
                <w:b/>
                <w:bCs/>
                <w:sz w:val="18"/>
                <w:szCs w:val="18"/>
              </w:rPr>
              <w:t>Profitability Ratios</w:t>
            </w:r>
          </w:p>
        </w:tc>
      </w:tr>
      <w:tr w:rsidR="004A2796" w:rsidTr="00563E5D">
        <w:tc>
          <w:tcPr>
            <w:tcW w:w="2466" w:type="pct"/>
          </w:tcPr>
          <w:p w:rsidR="004A2796" w:rsidRDefault="004A2796" w:rsidP="008427DC">
            <w:pPr>
              <w:rPr>
                <w:rFonts w:ascii="Arial" w:hAnsi="Arial" w:cs="Arial"/>
                <w:sz w:val="18"/>
                <w:szCs w:val="18"/>
              </w:rPr>
            </w:pPr>
            <w:r>
              <w:rPr>
                <w:rFonts w:ascii="Arial" w:hAnsi="Arial" w:cs="Arial"/>
                <w:sz w:val="18"/>
                <w:szCs w:val="18"/>
              </w:rPr>
              <w:t>Gross Profit  Percent</w:t>
            </w:r>
          </w:p>
        </w:tc>
        <w:tc>
          <w:tcPr>
            <w:tcW w:w="745" w:type="pct"/>
          </w:tcPr>
          <w:p w:rsidR="004A2796" w:rsidRDefault="004A2796" w:rsidP="00B51F2B">
            <w:r>
              <w:t>46.73%</w:t>
            </w:r>
          </w:p>
        </w:tc>
        <w:tc>
          <w:tcPr>
            <w:tcW w:w="745" w:type="pct"/>
          </w:tcPr>
          <w:p w:rsidR="004A2796" w:rsidRDefault="004A2796" w:rsidP="00B51F2B">
            <w:r>
              <w:t>46.34%</w:t>
            </w:r>
          </w:p>
        </w:tc>
        <w:tc>
          <w:tcPr>
            <w:tcW w:w="1044" w:type="pct"/>
          </w:tcPr>
          <w:p w:rsidR="004A2796" w:rsidRDefault="004A2796" w:rsidP="008427DC">
            <w:r>
              <w:t>.84%</w:t>
            </w:r>
          </w:p>
        </w:tc>
      </w:tr>
      <w:tr w:rsidR="008427DC" w:rsidTr="00563E5D">
        <w:tc>
          <w:tcPr>
            <w:tcW w:w="2466" w:type="pct"/>
          </w:tcPr>
          <w:p w:rsidR="008427DC" w:rsidRDefault="004A2796" w:rsidP="004A2796">
            <w:pPr>
              <w:rPr>
                <w:rFonts w:ascii="Arial" w:hAnsi="Arial" w:cs="Arial"/>
                <w:sz w:val="18"/>
                <w:szCs w:val="18"/>
              </w:rPr>
            </w:pPr>
            <w:r>
              <w:rPr>
                <w:rFonts w:ascii="Arial" w:hAnsi="Arial" w:cs="Arial"/>
                <w:sz w:val="18"/>
                <w:szCs w:val="18"/>
              </w:rPr>
              <w:t xml:space="preserve">Net </w:t>
            </w:r>
            <w:r w:rsidR="008427DC">
              <w:rPr>
                <w:rFonts w:ascii="Arial" w:hAnsi="Arial" w:cs="Arial"/>
                <w:sz w:val="18"/>
                <w:szCs w:val="18"/>
              </w:rPr>
              <w:t xml:space="preserve">Profit Margin </w:t>
            </w:r>
            <w:r>
              <w:rPr>
                <w:rFonts w:ascii="Arial" w:hAnsi="Arial" w:cs="Arial"/>
                <w:sz w:val="18"/>
                <w:szCs w:val="18"/>
              </w:rPr>
              <w:t>Ratio Percent</w:t>
            </w:r>
          </w:p>
        </w:tc>
        <w:tc>
          <w:tcPr>
            <w:tcW w:w="745" w:type="pct"/>
          </w:tcPr>
          <w:p w:rsidR="008427DC" w:rsidRDefault="008427DC" w:rsidP="008427DC">
            <w:r>
              <w:t>19.28</w:t>
            </w:r>
            <w:r w:rsidR="004A2796">
              <w:t>%</w:t>
            </w:r>
          </w:p>
        </w:tc>
        <w:tc>
          <w:tcPr>
            <w:tcW w:w="745" w:type="pct"/>
          </w:tcPr>
          <w:p w:rsidR="008427DC" w:rsidRDefault="008427DC" w:rsidP="008427DC">
            <w:r>
              <w:t>20.63</w:t>
            </w:r>
            <w:r w:rsidR="004A2796">
              <w:t>%</w:t>
            </w:r>
          </w:p>
        </w:tc>
        <w:tc>
          <w:tcPr>
            <w:tcW w:w="1044" w:type="pct"/>
          </w:tcPr>
          <w:p w:rsidR="008427DC" w:rsidRDefault="008427DC" w:rsidP="008427DC">
            <w:r>
              <w:t>(6.55)%</w:t>
            </w:r>
          </w:p>
        </w:tc>
      </w:tr>
      <w:tr w:rsidR="008427DC" w:rsidTr="00563E5D">
        <w:tc>
          <w:tcPr>
            <w:tcW w:w="2466" w:type="pct"/>
          </w:tcPr>
          <w:p w:rsidR="008427DC" w:rsidRDefault="008427DC" w:rsidP="00843600">
            <w:pPr>
              <w:rPr>
                <w:rFonts w:ascii="Arial" w:hAnsi="Arial" w:cs="Arial"/>
                <w:sz w:val="18"/>
                <w:szCs w:val="18"/>
              </w:rPr>
            </w:pPr>
            <w:r>
              <w:rPr>
                <w:rFonts w:ascii="Arial" w:hAnsi="Arial" w:cs="Arial"/>
                <w:sz w:val="18"/>
                <w:szCs w:val="18"/>
              </w:rPr>
              <w:t>Rate of Return on Assets</w:t>
            </w:r>
          </w:p>
        </w:tc>
        <w:tc>
          <w:tcPr>
            <w:tcW w:w="745" w:type="pct"/>
          </w:tcPr>
          <w:p w:rsidR="008427DC" w:rsidRDefault="008427DC" w:rsidP="008427DC">
            <w:r>
              <w:t>16.02%</w:t>
            </w:r>
          </w:p>
        </w:tc>
        <w:tc>
          <w:tcPr>
            <w:tcW w:w="745" w:type="pct"/>
          </w:tcPr>
          <w:p w:rsidR="008427DC" w:rsidRDefault="008427DC" w:rsidP="008427DC">
            <w:r>
              <w:t>16.08%</w:t>
            </w:r>
          </w:p>
        </w:tc>
        <w:tc>
          <w:tcPr>
            <w:tcW w:w="1044" w:type="pct"/>
          </w:tcPr>
          <w:p w:rsidR="008427DC" w:rsidRDefault="008427DC" w:rsidP="008427DC">
            <w:r>
              <w:t>(0.36)%</w:t>
            </w:r>
          </w:p>
        </w:tc>
      </w:tr>
      <w:tr w:rsidR="00B777D7" w:rsidTr="00563E5D">
        <w:tc>
          <w:tcPr>
            <w:tcW w:w="2466" w:type="pct"/>
          </w:tcPr>
          <w:p w:rsidR="00B777D7" w:rsidRDefault="00B777D7" w:rsidP="00843600">
            <w:pPr>
              <w:rPr>
                <w:rFonts w:ascii="Arial" w:hAnsi="Arial" w:cs="Arial"/>
                <w:sz w:val="18"/>
                <w:szCs w:val="18"/>
              </w:rPr>
            </w:pPr>
            <w:r>
              <w:rPr>
                <w:rFonts w:ascii="Arial" w:hAnsi="Arial" w:cs="Arial"/>
                <w:sz w:val="18"/>
                <w:szCs w:val="18"/>
              </w:rPr>
              <w:t>Rate of Return on Equity</w:t>
            </w:r>
          </w:p>
        </w:tc>
        <w:tc>
          <w:tcPr>
            <w:tcW w:w="745" w:type="pct"/>
          </w:tcPr>
          <w:p w:rsidR="00B777D7" w:rsidRDefault="00B777D7" w:rsidP="00B51F2B">
            <w:r>
              <w:t>25.92%</w:t>
            </w:r>
          </w:p>
        </w:tc>
        <w:tc>
          <w:tcPr>
            <w:tcW w:w="745" w:type="pct"/>
          </w:tcPr>
          <w:p w:rsidR="00B777D7" w:rsidRDefault="00B777D7" w:rsidP="00B51F2B">
            <w:r>
              <w:t>27.66%</w:t>
            </w:r>
          </w:p>
        </w:tc>
        <w:tc>
          <w:tcPr>
            <w:tcW w:w="1044" w:type="pct"/>
          </w:tcPr>
          <w:p w:rsidR="00B777D7" w:rsidRDefault="00B777D7" w:rsidP="00B51F2B">
            <w:r>
              <w:t>(6.29)%</w:t>
            </w:r>
          </w:p>
        </w:tc>
      </w:tr>
      <w:tr w:rsidR="00BA1C20" w:rsidTr="00563E5D">
        <w:tc>
          <w:tcPr>
            <w:tcW w:w="2466" w:type="pct"/>
          </w:tcPr>
          <w:p w:rsidR="00BA1C20" w:rsidRDefault="00BA1C20" w:rsidP="00BA1C20">
            <w:pPr>
              <w:rPr>
                <w:rFonts w:ascii="Arial" w:hAnsi="Arial" w:cs="Arial"/>
                <w:sz w:val="18"/>
                <w:szCs w:val="18"/>
              </w:rPr>
            </w:pPr>
            <w:r>
              <w:rPr>
                <w:rFonts w:ascii="Arial" w:hAnsi="Arial" w:cs="Arial"/>
                <w:sz w:val="18"/>
                <w:szCs w:val="18"/>
              </w:rPr>
              <w:t>Earnings Per Share</w:t>
            </w:r>
          </w:p>
        </w:tc>
        <w:tc>
          <w:tcPr>
            <w:tcW w:w="745" w:type="pct"/>
          </w:tcPr>
          <w:p w:rsidR="00BA1C20" w:rsidRDefault="00BA1C20" w:rsidP="00BA1C20">
            <w:r w:rsidRPr="004C55FF">
              <w:rPr>
                <w:rFonts w:cs="LindeDaxGlobal-Regular"/>
                <w:color w:val="000000" w:themeColor="text1"/>
              </w:rPr>
              <w:t>62.60</w:t>
            </w:r>
          </w:p>
        </w:tc>
        <w:tc>
          <w:tcPr>
            <w:tcW w:w="745" w:type="pct"/>
          </w:tcPr>
          <w:p w:rsidR="00BA1C20" w:rsidRDefault="00BA1C20" w:rsidP="00BA1C20">
            <w:r w:rsidRPr="004C55FF">
              <w:rPr>
                <w:rFonts w:cs="LindeDaxGlobal-Regular"/>
                <w:color w:val="000000" w:themeColor="text1"/>
              </w:rPr>
              <w:t>57.90</w:t>
            </w:r>
          </w:p>
        </w:tc>
        <w:tc>
          <w:tcPr>
            <w:tcW w:w="1044" w:type="pct"/>
          </w:tcPr>
          <w:p w:rsidR="00BA1C20" w:rsidRDefault="00BA1C20" w:rsidP="00BA1C20">
            <w:r>
              <w:t>8.1%</w:t>
            </w:r>
          </w:p>
        </w:tc>
      </w:tr>
      <w:tr w:rsidR="00DD0BEC" w:rsidTr="00563E5D">
        <w:tc>
          <w:tcPr>
            <w:tcW w:w="5000" w:type="pct"/>
            <w:gridSpan w:val="4"/>
          </w:tcPr>
          <w:p w:rsidR="00DD0BEC" w:rsidRDefault="00DD0BEC" w:rsidP="008427DC">
            <w:r>
              <w:rPr>
                <w:rFonts w:ascii="Arial" w:hAnsi="Arial" w:cs="Arial"/>
                <w:b/>
                <w:bCs/>
                <w:sz w:val="18"/>
                <w:szCs w:val="18"/>
              </w:rPr>
              <w:t>Coverage Ratios</w:t>
            </w:r>
          </w:p>
        </w:tc>
      </w:tr>
      <w:tr w:rsidR="008427DC" w:rsidTr="00563E5D">
        <w:tc>
          <w:tcPr>
            <w:tcW w:w="2466" w:type="pct"/>
          </w:tcPr>
          <w:p w:rsidR="008427DC" w:rsidRDefault="008427DC" w:rsidP="008427DC">
            <w:pPr>
              <w:rPr>
                <w:rFonts w:ascii="Arial" w:hAnsi="Arial" w:cs="Arial"/>
                <w:b/>
                <w:bCs/>
                <w:sz w:val="18"/>
                <w:szCs w:val="18"/>
              </w:rPr>
            </w:pPr>
            <w:r>
              <w:rPr>
                <w:rFonts w:ascii="Arial" w:hAnsi="Arial" w:cs="Arial"/>
                <w:sz w:val="18"/>
                <w:szCs w:val="18"/>
              </w:rPr>
              <w:t>Debt to Equity</w:t>
            </w:r>
          </w:p>
        </w:tc>
        <w:tc>
          <w:tcPr>
            <w:tcW w:w="745" w:type="pct"/>
          </w:tcPr>
          <w:p w:rsidR="008427DC" w:rsidRDefault="008427DC" w:rsidP="008427DC">
            <w:r>
              <w:t>.61</w:t>
            </w:r>
          </w:p>
        </w:tc>
        <w:tc>
          <w:tcPr>
            <w:tcW w:w="745" w:type="pct"/>
          </w:tcPr>
          <w:p w:rsidR="008427DC" w:rsidRDefault="008427DC" w:rsidP="008427DC">
            <w:r>
              <w:t>.72</w:t>
            </w:r>
          </w:p>
        </w:tc>
        <w:tc>
          <w:tcPr>
            <w:tcW w:w="1044" w:type="pct"/>
          </w:tcPr>
          <w:p w:rsidR="008427DC" w:rsidRDefault="00E844D5" w:rsidP="008427DC">
            <w:r>
              <w:t>15.28</w:t>
            </w:r>
            <w:r w:rsidR="008427DC">
              <w:t>%</w:t>
            </w:r>
          </w:p>
        </w:tc>
      </w:tr>
      <w:tr w:rsidR="008427DC" w:rsidTr="00563E5D">
        <w:tc>
          <w:tcPr>
            <w:tcW w:w="2466" w:type="pct"/>
          </w:tcPr>
          <w:p w:rsidR="008427DC" w:rsidRDefault="008427DC" w:rsidP="008427DC">
            <w:pPr>
              <w:rPr>
                <w:rFonts w:ascii="Arial" w:hAnsi="Arial" w:cs="Arial"/>
                <w:b/>
                <w:bCs/>
                <w:sz w:val="18"/>
                <w:szCs w:val="18"/>
              </w:rPr>
            </w:pPr>
            <w:r>
              <w:rPr>
                <w:rFonts w:ascii="Arial" w:hAnsi="Arial" w:cs="Arial"/>
                <w:sz w:val="18"/>
                <w:szCs w:val="18"/>
              </w:rPr>
              <w:t>Debt to Total Assets</w:t>
            </w:r>
          </w:p>
        </w:tc>
        <w:tc>
          <w:tcPr>
            <w:tcW w:w="745" w:type="pct"/>
          </w:tcPr>
          <w:p w:rsidR="008427DC" w:rsidRDefault="008427DC" w:rsidP="008427DC">
            <w:r>
              <w:t>38%</w:t>
            </w:r>
          </w:p>
        </w:tc>
        <w:tc>
          <w:tcPr>
            <w:tcW w:w="745" w:type="pct"/>
          </w:tcPr>
          <w:p w:rsidR="008427DC" w:rsidRDefault="008427DC" w:rsidP="008427DC">
            <w:r>
              <w:t>42%</w:t>
            </w:r>
          </w:p>
        </w:tc>
        <w:tc>
          <w:tcPr>
            <w:tcW w:w="1044" w:type="pct"/>
          </w:tcPr>
          <w:p w:rsidR="008427DC" w:rsidRDefault="008427DC" w:rsidP="008427DC">
            <w:r>
              <w:t>(9.52)%</w:t>
            </w:r>
          </w:p>
        </w:tc>
      </w:tr>
    </w:tbl>
    <w:p w:rsidR="00B47C31" w:rsidRDefault="00B47C31" w:rsidP="00325858">
      <w:pPr>
        <w:pStyle w:val="Heading1"/>
        <w:rPr>
          <w:rFonts w:ascii="Times New Roman" w:eastAsia="Times New Roman" w:hAnsi="Times New Roman" w:cstheme="minorBidi"/>
          <w:b/>
          <w:color w:val="auto"/>
          <w:sz w:val="28"/>
          <w:szCs w:val="22"/>
        </w:rPr>
      </w:pPr>
    </w:p>
    <w:p w:rsidR="00B47C31" w:rsidRPr="00B47C31" w:rsidRDefault="00B47C31" w:rsidP="00B47C31"/>
    <w:p w:rsidR="00613660" w:rsidRPr="00325858" w:rsidRDefault="00613660" w:rsidP="00325858">
      <w:pPr>
        <w:pStyle w:val="Heading1"/>
        <w:rPr>
          <w:b/>
          <w:u w:val="single"/>
        </w:rPr>
      </w:pPr>
      <w:bookmarkStart w:id="19" w:name="_Toc527816470"/>
      <w:r w:rsidRPr="00325858">
        <w:rPr>
          <w:rFonts w:eastAsia="Times New Roman"/>
          <w:b/>
          <w:u w:val="single"/>
        </w:rPr>
        <w:lastRenderedPageBreak/>
        <w:t>Analysis of Ratios</w:t>
      </w:r>
      <w:bookmarkEnd w:id="19"/>
      <w:r w:rsidRPr="00325858">
        <w:rPr>
          <w:rFonts w:ascii="Times New Roman" w:eastAsia="Times New Roman" w:hAnsi="Times New Roman"/>
          <w:b/>
          <w:noProof/>
          <w:sz w:val="28"/>
          <w:u w:val="single"/>
        </w:rPr>
        <w:t xml:space="preserve"> </w:t>
      </w:r>
    </w:p>
    <w:p w:rsidR="00613660" w:rsidRPr="00613660" w:rsidRDefault="00613660" w:rsidP="00613660"/>
    <w:p w:rsidR="00613660" w:rsidRPr="00DD0935" w:rsidRDefault="00613660" w:rsidP="00613660">
      <w:pPr>
        <w:pStyle w:val="Heading2"/>
        <w:rPr>
          <w:rFonts w:ascii="Times New Roman" w:eastAsia="Times New Roman" w:hAnsi="Times New Roman" w:cs="Times New Roman"/>
          <w:b/>
        </w:rPr>
      </w:pPr>
      <w:bookmarkStart w:id="20" w:name="_Toc527816471"/>
      <w:r w:rsidRPr="00DD0935">
        <w:rPr>
          <w:rFonts w:ascii="Times New Roman" w:eastAsia="Times New Roman" w:hAnsi="Times New Roman" w:cs="Times New Roman"/>
          <w:b/>
        </w:rPr>
        <w:t>Liquidity ratio:</w:t>
      </w:r>
      <w:bookmarkEnd w:id="20"/>
    </w:p>
    <w:p w:rsidR="00613660" w:rsidRPr="002B275C" w:rsidRDefault="00613660" w:rsidP="002B275C">
      <w:pPr>
        <w:spacing w:line="360" w:lineRule="auto"/>
        <w:rPr>
          <w:rFonts w:ascii="Times New Roman" w:hAnsi="Times New Roman" w:cs="Times New Roman"/>
          <w:sz w:val="24"/>
          <w:szCs w:val="24"/>
        </w:rPr>
      </w:pPr>
    </w:p>
    <w:p w:rsidR="00693BCD" w:rsidRPr="002B275C" w:rsidRDefault="0096366F"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Liquidity </w:t>
      </w:r>
      <w:r w:rsidR="00613660" w:rsidRPr="002B275C">
        <w:rPr>
          <w:rFonts w:ascii="Times New Roman" w:hAnsi="Times New Roman" w:cs="Times New Roman"/>
          <w:sz w:val="24"/>
          <w:szCs w:val="24"/>
        </w:rPr>
        <w:t xml:space="preserve">is a term that means how quickly money or cash will come in hand. A company should maintain its liquidity so that in case of any emergency or upcoming deal will not be missing out. So what should be </w:t>
      </w:r>
      <w:r w:rsidRPr="002B275C">
        <w:rPr>
          <w:rFonts w:ascii="Times New Roman" w:hAnsi="Times New Roman" w:cs="Times New Roman"/>
          <w:sz w:val="24"/>
          <w:szCs w:val="24"/>
        </w:rPr>
        <w:t>the</w:t>
      </w:r>
      <w:r w:rsidR="00613660" w:rsidRPr="002B275C">
        <w:rPr>
          <w:rFonts w:ascii="Times New Roman" w:hAnsi="Times New Roman" w:cs="Times New Roman"/>
          <w:sz w:val="24"/>
          <w:szCs w:val="24"/>
        </w:rPr>
        <w:t xml:space="preserve"> portion to maintain a healthy </w:t>
      </w:r>
      <w:r w:rsidRPr="002B275C">
        <w:rPr>
          <w:rFonts w:ascii="Times New Roman" w:hAnsi="Times New Roman" w:cs="Times New Roman"/>
          <w:sz w:val="24"/>
          <w:szCs w:val="24"/>
        </w:rPr>
        <w:t xml:space="preserve">liquidity </w:t>
      </w:r>
      <w:r w:rsidR="00613660" w:rsidRPr="002B275C">
        <w:rPr>
          <w:rFonts w:ascii="Times New Roman" w:hAnsi="Times New Roman" w:cs="Times New Roman"/>
          <w:sz w:val="24"/>
          <w:szCs w:val="24"/>
        </w:rPr>
        <w:t xml:space="preserve">is given </w:t>
      </w:r>
      <w:r w:rsidRPr="002B275C">
        <w:rPr>
          <w:rFonts w:ascii="Times New Roman" w:hAnsi="Times New Roman" w:cs="Times New Roman"/>
          <w:sz w:val="24"/>
          <w:szCs w:val="24"/>
        </w:rPr>
        <w:t>below:</w:t>
      </w:r>
    </w:p>
    <w:p w:rsidR="00613660" w:rsidRPr="002B275C" w:rsidRDefault="00613660"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Easily it can be understand that</w:t>
      </w:r>
      <w:r w:rsidR="0096366F" w:rsidRPr="002B275C">
        <w:rPr>
          <w:rFonts w:ascii="Times New Roman" w:hAnsi="Times New Roman" w:cs="Times New Roman"/>
          <w:sz w:val="24"/>
          <w:szCs w:val="24"/>
        </w:rPr>
        <w:t xml:space="preserve"> </w:t>
      </w:r>
      <w:r w:rsidRPr="002B275C">
        <w:rPr>
          <w:rFonts w:ascii="Times New Roman" w:hAnsi="Times New Roman" w:cs="Times New Roman"/>
          <w:sz w:val="24"/>
          <w:szCs w:val="24"/>
        </w:rPr>
        <w:t>the m</w:t>
      </w:r>
      <w:r w:rsidR="0096366F" w:rsidRPr="002B275C">
        <w:rPr>
          <w:rFonts w:ascii="Times New Roman" w:hAnsi="Times New Roman" w:cs="Times New Roman"/>
          <w:sz w:val="24"/>
          <w:szCs w:val="24"/>
        </w:rPr>
        <w:t>ore liquidation the more better</w:t>
      </w:r>
      <w:r w:rsidRPr="002B275C">
        <w:rPr>
          <w:rFonts w:ascii="Times New Roman" w:hAnsi="Times New Roman" w:cs="Times New Roman"/>
          <w:sz w:val="24"/>
          <w:szCs w:val="24"/>
        </w:rPr>
        <w:t>. So for determine liquidity there is a two type of ratios:</w:t>
      </w:r>
    </w:p>
    <w:p w:rsidR="00361424" w:rsidRPr="003333CA" w:rsidRDefault="00613660" w:rsidP="003333CA">
      <w:pPr>
        <w:pStyle w:val="Heading3"/>
        <w:rPr>
          <w:rStyle w:val="IntenseReference1"/>
        </w:rPr>
      </w:pPr>
      <w:bookmarkStart w:id="21" w:name="_Toc527816472"/>
      <w:r w:rsidRPr="003333CA">
        <w:rPr>
          <w:rStyle w:val="IntenseReference1"/>
        </w:rPr>
        <w:t>Current ratio:</w:t>
      </w:r>
      <w:bookmarkEnd w:id="21"/>
      <w:r w:rsidRPr="003333CA">
        <w:rPr>
          <w:rStyle w:val="IntenseReference1"/>
        </w:rPr>
        <w:t xml:space="preserve"> </w:t>
      </w:r>
      <w:r w:rsidR="00361424" w:rsidRPr="003333CA">
        <w:rPr>
          <w:rStyle w:val="IntenseReference1"/>
        </w:rPr>
        <w:t xml:space="preserve"> </w:t>
      </w:r>
    </w:p>
    <w:p w:rsidR="003333CA" w:rsidRPr="003333CA" w:rsidRDefault="003333CA" w:rsidP="003333CA"/>
    <w:p w:rsidR="00361424" w:rsidRPr="002B275C" w:rsidRDefault="00361424" w:rsidP="002B275C">
      <w:pPr>
        <w:pStyle w:val="ListParagraph"/>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Current ratio is calculated to see the liquidity ratio of a company. Current </w:t>
      </w:r>
      <w:r w:rsidR="0096366F" w:rsidRPr="002B275C">
        <w:rPr>
          <w:rFonts w:ascii="Times New Roman" w:hAnsi="Times New Roman" w:cs="Times New Roman"/>
          <w:sz w:val="24"/>
          <w:szCs w:val="24"/>
        </w:rPr>
        <w:t>ratios assess</w:t>
      </w:r>
      <w:r w:rsidRPr="002B275C">
        <w:rPr>
          <w:rFonts w:ascii="Times New Roman" w:hAnsi="Times New Roman" w:cs="Times New Roman"/>
          <w:sz w:val="24"/>
          <w:szCs w:val="24"/>
        </w:rPr>
        <w:t xml:space="preserve"> the ability of a company to repay its debt. Current ratio should not be less than 1 because if current ratio of any company is less than 1 than it shows that </w:t>
      </w:r>
      <w:r w:rsidR="0096366F" w:rsidRPr="002B275C">
        <w:rPr>
          <w:rFonts w:ascii="Times New Roman" w:hAnsi="Times New Roman" w:cs="Times New Roman"/>
          <w:sz w:val="24"/>
          <w:szCs w:val="24"/>
        </w:rPr>
        <w:t>company’s</w:t>
      </w:r>
      <w:r w:rsidRPr="002B275C">
        <w:rPr>
          <w:rFonts w:ascii="Times New Roman" w:hAnsi="Times New Roman" w:cs="Times New Roman"/>
          <w:sz w:val="24"/>
          <w:szCs w:val="24"/>
        </w:rPr>
        <w:t xml:space="preserve"> ability to repay </w:t>
      </w:r>
      <w:r w:rsidR="00304722" w:rsidRPr="002B275C">
        <w:rPr>
          <w:rFonts w:ascii="Times New Roman" w:hAnsi="Times New Roman" w:cs="Times New Roman"/>
          <w:sz w:val="24"/>
          <w:szCs w:val="24"/>
        </w:rPr>
        <w:t>its debt or obligations are low. Current asset is lower than current Liability.</w:t>
      </w:r>
    </w:p>
    <w:p w:rsidR="005569E3" w:rsidRPr="002B275C" w:rsidRDefault="005569E3" w:rsidP="002B275C">
      <w:pPr>
        <w:pStyle w:val="ListParagraph"/>
        <w:spacing w:line="360" w:lineRule="auto"/>
        <w:rPr>
          <w:rFonts w:ascii="Times New Roman" w:hAnsi="Times New Roman" w:cs="Times New Roman"/>
          <w:sz w:val="24"/>
          <w:szCs w:val="24"/>
        </w:rPr>
      </w:pPr>
    </w:p>
    <w:p w:rsidR="005569E3" w:rsidRPr="002B275C" w:rsidRDefault="005569E3" w:rsidP="002B275C">
      <w:pPr>
        <w:pStyle w:val="ListParagraph"/>
        <w:spacing w:line="360" w:lineRule="auto"/>
        <w:rPr>
          <w:rFonts w:ascii="Times New Roman" w:hAnsi="Times New Roman" w:cs="Times New Roman"/>
          <w:sz w:val="24"/>
          <w:szCs w:val="24"/>
        </w:rPr>
      </w:pPr>
      <w:r w:rsidRPr="002B275C">
        <w:rPr>
          <w:rFonts w:ascii="Times New Roman" w:hAnsi="Times New Roman" w:cs="Times New Roman"/>
          <w:sz w:val="24"/>
          <w:szCs w:val="24"/>
        </w:rPr>
        <w:t>Current Ratio Formula: Current Asset /Current liability</w:t>
      </w:r>
    </w:p>
    <w:p w:rsidR="005569E3" w:rsidRPr="002B275C" w:rsidRDefault="005569E3" w:rsidP="002B275C">
      <w:pPr>
        <w:pStyle w:val="ListParagraph"/>
        <w:spacing w:line="360" w:lineRule="auto"/>
        <w:rPr>
          <w:rFonts w:ascii="Times New Roman" w:hAnsi="Times New Roman" w:cs="Times New Roman"/>
          <w:b/>
          <w:color w:val="000000" w:themeColor="text1"/>
          <w:sz w:val="24"/>
          <w:szCs w:val="24"/>
        </w:rPr>
      </w:pPr>
      <w:r w:rsidRPr="002B275C">
        <w:rPr>
          <w:rFonts w:ascii="Times New Roman" w:hAnsi="Times New Roman" w:cs="Times New Roman"/>
          <w:b/>
          <w:sz w:val="24"/>
          <w:szCs w:val="24"/>
        </w:rPr>
        <w:t xml:space="preserve">                              2016</w:t>
      </w:r>
      <w:r w:rsidRPr="002B275C">
        <w:rPr>
          <w:rFonts w:ascii="Times New Roman" w:hAnsi="Times New Roman" w:cs="Times New Roman"/>
          <w:sz w:val="24"/>
          <w:szCs w:val="24"/>
        </w:rPr>
        <w:t xml:space="preserve">           = </w:t>
      </w:r>
      <w:r w:rsidRPr="002B275C">
        <w:rPr>
          <w:rFonts w:ascii="Times New Roman" w:hAnsi="Times New Roman" w:cs="Times New Roman"/>
          <w:b/>
          <w:color w:val="000000" w:themeColor="text1"/>
          <w:sz w:val="24"/>
          <w:szCs w:val="24"/>
        </w:rPr>
        <w:t>2,835,149/2,835,149</w:t>
      </w:r>
    </w:p>
    <w:p w:rsidR="005569E3" w:rsidRPr="002B275C" w:rsidRDefault="005569E3" w:rsidP="002B275C">
      <w:pPr>
        <w:pStyle w:val="ListParagraph"/>
        <w:spacing w:line="360" w:lineRule="auto"/>
        <w:rPr>
          <w:rFonts w:ascii="Times New Roman" w:hAnsi="Times New Roman" w:cs="Times New Roman"/>
          <w:b/>
          <w:color w:val="000000" w:themeColor="text1"/>
          <w:sz w:val="24"/>
          <w:szCs w:val="24"/>
        </w:rPr>
      </w:pPr>
      <w:r w:rsidRPr="002B275C">
        <w:rPr>
          <w:rFonts w:ascii="Times New Roman" w:hAnsi="Times New Roman" w:cs="Times New Roman"/>
          <w:b/>
          <w:color w:val="000000" w:themeColor="text1"/>
          <w:sz w:val="24"/>
          <w:szCs w:val="24"/>
        </w:rPr>
        <w:t xml:space="preserve">                                                  =1.55</w:t>
      </w:r>
    </w:p>
    <w:p w:rsidR="005569E3" w:rsidRPr="002B275C" w:rsidRDefault="005569E3" w:rsidP="002B275C">
      <w:pPr>
        <w:pStyle w:val="ListParagraph"/>
        <w:spacing w:line="360" w:lineRule="auto"/>
        <w:rPr>
          <w:rFonts w:ascii="Times New Roman" w:hAnsi="Times New Roman" w:cs="Times New Roman"/>
          <w:sz w:val="24"/>
          <w:szCs w:val="24"/>
        </w:rPr>
      </w:pPr>
      <w:r w:rsidRPr="002B275C">
        <w:rPr>
          <w:rFonts w:ascii="Times New Roman" w:hAnsi="Times New Roman" w:cs="Times New Roman"/>
          <w:b/>
          <w:color w:val="000000" w:themeColor="text1"/>
          <w:sz w:val="24"/>
          <w:szCs w:val="24"/>
        </w:rPr>
        <w:t xml:space="preserve">                               2017          =2,626,970/1,573,136</w:t>
      </w:r>
    </w:p>
    <w:p w:rsidR="00304722" w:rsidRPr="002B275C" w:rsidRDefault="005569E3" w:rsidP="002B275C">
      <w:pPr>
        <w:pStyle w:val="ListParagraph"/>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                                                  =</w:t>
      </w:r>
      <w:r w:rsidRPr="002B275C">
        <w:rPr>
          <w:rFonts w:ascii="Times New Roman" w:hAnsi="Times New Roman" w:cs="Times New Roman"/>
          <w:b/>
          <w:sz w:val="24"/>
          <w:szCs w:val="24"/>
        </w:rPr>
        <w:t>1.67</w:t>
      </w:r>
    </w:p>
    <w:p w:rsidR="00304722" w:rsidRDefault="00304722" w:rsidP="002B275C">
      <w:pPr>
        <w:pStyle w:val="ListParagraph"/>
        <w:spacing w:line="360" w:lineRule="auto"/>
      </w:pPr>
      <w:r w:rsidRPr="002B275C">
        <w:rPr>
          <w:rFonts w:ascii="Times New Roman" w:hAnsi="Times New Roman" w:cs="Times New Roman"/>
          <w:sz w:val="24"/>
          <w:szCs w:val="24"/>
        </w:rPr>
        <w:t>Here,</w:t>
      </w:r>
      <w:r w:rsidR="00173B52" w:rsidRPr="002B275C">
        <w:rPr>
          <w:rFonts w:ascii="Times New Roman" w:hAnsi="Times New Roman" w:cs="Times New Roman"/>
          <w:sz w:val="24"/>
          <w:szCs w:val="24"/>
        </w:rPr>
        <w:t xml:space="preserve"> in figure 1</w:t>
      </w:r>
      <w:r w:rsidRPr="002B275C">
        <w:rPr>
          <w:rFonts w:ascii="Times New Roman" w:hAnsi="Times New Roman" w:cs="Times New Roman"/>
          <w:sz w:val="24"/>
          <w:szCs w:val="24"/>
        </w:rPr>
        <w:t xml:space="preserve"> </w:t>
      </w:r>
      <w:r w:rsidR="002423A8" w:rsidRPr="002B275C">
        <w:rPr>
          <w:rFonts w:ascii="Times New Roman" w:hAnsi="Times New Roman" w:cs="Times New Roman"/>
          <w:sz w:val="24"/>
          <w:szCs w:val="24"/>
        </w:rPr>
        <w:t>Linde’s Current</w:t>
      </w:r>
      <w:r w:rsidRPr="002B275C">
        <w:rPr>
          <w:rFonts w:ascii="Times New Roman" w:hAnsi="Times New Roman" w:cs="Times New Roman"/>
          <w:sz w:val="24"/>
          <w:szCs w:val="24"/>
        </w:rPr>
        <w:t xml:space="preserve"> ratio in 2016 is 1.55 and in 2017 is 1.67. That’s mean current ration of Linde is more than 1. So it can be said that the ability of linde to repay its debt is high. So it’s a good sign for company and also investors and others</w:t>
      </w:r>
      <w:r>
        <w:t>.</w:t>
      </w:r>
    </w:p>
    <w:p w:rsidR="00304722" w:rsidRDefault="00304722" w:rsidP="00361424">
      <w:pPr>
        <w:pStyle w:val="ListParagraph"/>
      </w:pPr>
    </w:p>
    <w:p w:rsidR="005569E3" w:rsidRDefault="005569E3" w:rsidP="00361424">
      <w:pPr>
        <w:pStyle w:val="ListParagraph"/>
      </w:pPr>
    </w:p>
    <w:p w:rsidR="00D677B5" w:rsidRDefault="00304722" w:rsidP="00D677B5">
      <w:pPr>
        <w:pStyle w:val="ListParagraph"/>
        <w:keepNext/>
      </w:pPr>
      <w:r>
        <w:rPr>
          <w:noProof/>
        </w:rPr>
        <w:lastRenderedPageBreak/>
        <w:drawing>
          <wp:inline distT="0" distB="0" distL="0" distR="0">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93BCD" w:rsidRPr="002B275C" w:rsidRDefault="00D677B5" w:rsidP="00693BCD">
      <w:pPr>
        <w:pStyle w:val="Caption"/>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xml:space="preserve"> : Current Ration Of Linde Bangladesh ltd. (2016-2017)</w:t>
      </w:r>
    </w:p>
    <w:p w:rsidR="00693BCD" w:rsidRPr="002B275C" w:rsidRDefault="00693BCD" w:rsidP="002B275C">
      <w:pPr>
        <w:pStyle w:val="ListParagraph"/>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From 2016 Linde is doing </w:t>
      </w:r>
      <w:r w:rsidR="0096366F" w:rsidRPr="002B275C">
        <w:rPr>
          <w:rFonts w:ascii="Times New Roman" w:hAnsi="Times New Roman" w:cs="Times New Roman"/>
          <w:sz w:val="24"/>
          <w:szCs w:val="24"/>
        </w:rPr>
        <w:t>better</w:t>
      </w:r>
      <w:r w:rsidRPr="002B275C">
        <w:rPr>
          <w:rFonts w:ascii="Times New Roman" w:hAnsi="Times New Roman" w:cs="Times New Roman"/>
          <w:sz w:val="24"/>
          <w:szCs w:val="24"/>
        </w:rPr>
        <w:t xml:space="preserve"> in 2017. Current ratio is </w:t>
      </w:r>
      <w:r w:rsidR="0096366F" w:rsidRPr="002B275C">
        <w:rPr>
          <w:rFonts w:ascii="Times New Roman" w:hAnsi="Times New Roman" w:cs="Times New Roman"/>
          <w:sz w:val="24"/>
          <w:szCs w:val="24"/>
        </w:rPr>
        <w:t>rising</w:t>
      </w:r>
      <w:r w:rsidRPr="002B275C">
        <w:rPr>
          <w:rFonts w:ascii="Times New Roman" w:hAnsi="Times New Roman" w:cs="Times New Roman"/>
          <w:sz w:val="24"/>
          <w:szCs w:val="24"/>
        </w:rPr>
        <w:t xml:space="preserve"> in 2017 from 2015. From this side Linde’s performance is good.</w:t>
      </w:r>
    </w:p>
    <w:p w:rsidR="00693BCD" w:rsidRDefault="00693BCD">
      <w:pPr>
        <w:spacing w:after="0" w:line="240" w:lineRule="auto"/>
        <w:jc w:val="both"/>
        <w:rPr>
          <w:rFonts w:ascii="Times New Roman" w:eastAsia="Times New Roman" w:hAnsi="Times New Roman"/>
          <w:b/>
          <w:sz w:val="28"/>
        </w:rPr>
      </w:pPr>
    </w:p>
    <w:p w:rsidR="00A379A7" w:rsidRPr="003333CA" w:rsidRDefault="00AD0259" w:rsidP="003333CA">
      <w:pPr>
        <w:pStyle w:val="Heading3"/>
        <w:rPr>
          <w:rFonts w:eastAsia="Times New Roman"/>
          <w:b/>
          <w:u w:val="single"/>
        </w:rPr>
      </w:pPr>
      <w:bookmarkStart w:id="22" w:name="_Toc527816473"/>
      <w:r w:rsidRPr="003333CA">
        <w:rPr>
          <w:rFonts w:eastAsia="Times New Roman"/>
          <w:b/>
          <w:u w:val="single"/>
        </w:rPr>
        <w:t>Quick Ratio:</w:t>
      </w:r>
      <w:bookmarkEnd w:id="22"/>
    </w:p>
    <w:p w:rsidR="00AD0259" w:rsidRDefault="00AD0259" w:rsidP="00AD0259">
      <w:pPr>
        <w:spacing w:after="0" w:line="240" w:lineRule="auto"/>
        <w:jc w:val="both"/>
        <w:rPr>
          <w:rFonts w:ascii="Times New Roman" w:eastAsia="Times New Roman" w:hAnsi="Times New Roman"/>
        </w:rPr>
      </w:pPr>
    </w:p>
    <w:p w:rsidR="00AD0259" w:rsidRPr="002B275C" w:rsidRDefault="00AD0259"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t xml:space="preserve">Quick ratio is also a part of liquidity ratio. For getting a proper liquidity ratio </w:t>
      </w:r>
      <w:r w:rsidR="002423A8" w:rsidRPr="002B275C">
        <w:rPr>
          <w:rFonts w:ascii="Times New Roman" w:eastAsia="Times New Roman" w:hAnsi="Times New Roman" w:cs="Times New Roman"/>
          <w:sz w:val="24"/>
          <w:szCs w:val="24"/>
        </w:rPr>
        <w:t>it’s</w:t>
      </w:r>
      <w:r w:rsidRPr="002B275C">
        <w:rPr>
          <w:rFonts w:ascii="Times New Roman" w:eastAsia="Times New Roman" w:hAnsi="Times New Roman" w:cs="Times New Roman"/>
          <w:sz w:val="24"/>
          <w:szCs w:val="24"/>
        </w:rPr>
        <w:t xml:space="preserve"> important to calculate quick ratio also. Quick ratio shows in more detail or in more </w:t>
      </w:r>
      <w:r w:rsidR="002423A8" w:rsidRPr="002B275C">
        <w:rPr>
          <w:rFonts w:ascii="Times New Roman" w:eastAsia="Times New Roman" w:hAnsi="Times New Roman" w:cs="Times New Roman"/>
          <w:sz w:val="24"/>
          <w:szCs w:val="24"/>
        </w:rPr>
        <w:t>specifically</w:t>
      </w:r>
      <w:r w:rsidRPr="002B275C">
        <w:rPr>
          <w:rFonts w:ascii="Times New Roman" w:eastAsia="Times New Roman" w:hAnsi="Times New Roman" w:cs="Times New Roman"/>
          <w:sz w:val="24"/>
          <w:szCs w:val="24"/>
        </w:rPr>
        <w:t xml:space="preserve"> the ability of a company to pay off its current liability in due time with current asset. It is also same like current ratio. If the result of quick ratio comes more than 1 than it a good sign for company. </w:t>
      </w:r>
    </w:p>
    <w:p w:rsidR="00AD0259" w:rsidRPr="002B275C" w:rsidRDefault="00AD0259" w:rsidP="002B275C">
      <w:pPr>
        <w:spacing w:after="0" w:line="360" w:lineRule="auto"/>
        <w:jc w:val="both"/>
        <w:rPr>
          <w:rFonts w:ascii="Times New Roman" w:eastAsia="Times New Roman" w:hAnsi="Times New Roman" w:cs="Times New Roman"/>
          <w:sz w:val="24"/>
          <w:szCs w:val="24"/>
        </w:rPr>
      </w:pPr>
    </w:p>
    <w:p w:rsidR="00AD0259" w:rsidRPr="002B275C" w:rsidRDefault="00AD0259"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t>Quick ratio formula: Current Asset – Inventory / Current liabilities</w:t>
      </w:r>
    </w:p>
    <w:p w:rsidR="00AD0259" w:rsidRPr="002B275C" w:rsidRDefault="00AD0259" w:rsidP="002B275C">
      <w:pPr>
        <w:spacing w:after="0" w:line="360" w:lineRule="auto"/>
        <w:jc w:val="both"/>
        <w:rPr>
          <w:rFonts w:ascii="Times New Roman" w:hAnsi="Times New Roman" w:cs="Times New Roman"/>
          <w:b/>
          <w:color w:val="000000" w:themeColor="text1"/>
          <w:sz w:val="24"/>
          <w:szCs w:val="24"/>
        </w:rPr>
      </w:pPr>
      <w:r w:rsidRPr="002B275C">
        <w:rPr>
          <w:rFonts w:ascii="Times New Roman" w:eastAsia="Times New Roman" w:hAnsi="Times New Roman" w:cs="Times New Roman"/>
          <w:b/>
          <w:sz w:val="24"/>
          <w:szCs w:val="24"/>
        </w:rPr>
        <w:t xml:space="preserve">                       2016 =                </w:t>
      </w:r>
      <w:r w:rsidRPr="002B275C">
        <w:rPr>
          <w:rFonts w:ascii="Times New Roman" w:hAnsi="Times New Roman" w:cs="Times New Roman"/>
          <w:b/>
          <w:color w:val="000000" w:themeColor="text1"/>
          <w:sz w:val="24"/>
          <w:szCs w:val="24"/>
        </w:rPr>
        <w:t>2,835,149-728,622/2,835,149</w:t>
      </w:r>
    </w:p>
    <w:p w:rsidR="00AD0259" w:rsidRPr="002B275C" w:rsidRDefault="00AD0259" w:rsidP="002B275C">
      <w:pPr>
        <w:spacing w:after="0" w:line="360" w:lineRule="auto"/>
        <w:jc w:val="both"/>
        <w:rPr>
          <w:rFonts w:ascii="Times New Roman" w:eastAsia="Times New Roman" w:hAnsi="Times New Roman" w:cs="Times New Roman"/>
          <w:b/>
          <w:sz w:val="24"/>
          <w:szCs w:val="24"/>
        </w:rPr>
      </w:pPr>
      <w:r w:rsidRPr="002B275C">
        <w:rPr>
          <w:rFonts w:ascii="Times New Roman" w:hAnsi="Times New Roman" w:cs="Times New Roman"/>
          <w:b/>
          <w:color w:val="000000" w:themeColor="text1"/>
          <w:sz w:val="24"/>
          <w:szCs w:val="24"/>
        </w:rPr>
        <w:t xml:space="preserve">                                    =                                            1.15</w:t>
      </w:r>
    </w:p>
    <w:p w:rsidR="00AD0259" w:rsidRPr="002B275C" w:rsidRDefault="00AD0259" w:rsidP="002B275C">
      <w:pPr>
        <w:spacing w:after="0" w:line="360" w:lineRule="auto"/>
        <w:jc w:val="both"/>
        <w:rPr>
          <w:rFonts w:ascii="Times New Roman" w:eastAsia="Times New Roman" w:hAnsi="Times New Roman" w:cs="Times New Roman"/>
          <w:b/>
          <w:sz w:val="24"/>
          <w:szCs w:val="24"/>
        </w:rPr>
      </w:pPr>
    </w:p>
    <w:p w:rsidR="00AD0259" w:rsidRPr="002B275C" w:rsidRDefault="00AD0259" w:rsidP="002B275C">
      <w:pPr>
        <w:spacing w:after="0" w:line="360" w:lineRule="auto"/>
        <w:jc w:val="both"/>
        <w:rPr>
          <w:rFonts w:ascii="Times New Roman" w:hAnsi="Times New Roman" w:cs="Times New Roman"/>
          <w:b/>
          <w:color w:val="000000" w:themeColor="text1"/>
          <w:sz w:val="24"/>
          <w:szCs w:val="24"/>
        </w:rPr>
      </w:pPr>
      <w:r w:rsidRPr="002B275C">
        <w:rPr>
          <w:rFonts w:ascii="Times New Roman" w:eastAsia="Times New Roman" w:hAnsi="Times New Roman" w:cs="Times New Roman"/>
          <w:b/>
          <w:sz w:val="24"/>
          <w:szCs w:val="24"/>
        </w:rPr>
        <w:t xml:space="preserve">                       2017 =              </w:t>
      </w:r>
      <w:r w:rsidRPr="002B275C">
        <w:rPr>
          <w:rFonts w:ascii="Times New Roman" w:hAnsi="Times New Roman" w:cs="Times New Roman"/>
          <w:b/>
          <w:color w:val="000000" w:themeColor="text1"/>
          <w:sz w:val="24"/>
          <w:szCs w:val="24"/>
        </w:rPr>
        <w:t>2,626,970-683,575/1,573,136</w:t>
      </w:r>
    </w:p>
    <w:p w:rsidR="00AD0259" w:rsidRPr="002B275C" w:rsidRDefault="00AD0259" w:rsidP="002B275C">
      <w:pPr>
        <w:spacing w:after="0" w:line="360" w:lineRule="auto"/>
        <w:jc w:val="both"/>
        <w:rPr>
          <w:rFonts w:ascii="Times New Roman" w:eastAsia="Times New Roman" w:hAnsi="Times New Roman" w:cs="Times New Roman"/>
          <w:sz w:val="24"/>
          <w:szCs w:val="24"/>
        </w:rPr>
      </w:pPr>
      <w:r w:rsidRPr="002B275C">
        <w:rPr>
          <w:rFonts w:ascii="Times New Roman" w:hAnsi="Times New Roman" w:cs="Times New Roman"/>
          <w:b/>
          <w:color w:val="000000" w:themeColor="text1"/>
          <w:sz w:val="24"/>
          <w:szCs w:val="24"/>
        </w:rPr>
        <w:t xml:space="preserve">                                    =                                           1.24</w:t>
      </w:r>
    </w:p>
    <w:p w:rsidR="00AD0259" w:rsidRPr="002B275C" w:rsidRDefault="00AD0259" w:rsidP="002B275C">
      <w:pPr>
        <w:spacing w:after="0" w:line="360" w:lineRule="auto"/>
        <w:jc w:val="both"/>
        <w:rPr>
          <w:rFonts w:ascii="Times New Roman" w:eastAsia="Times New Roman" w:hAnsi="Times New Roman" w:cs="Times New Roman"/>
          <w:b/>
          <w:sz w:val="24"/>
          <w:szCs w:val="24"/>
        </w:rPr>
      </w:pPr>
    </w:p>
    <w:p w:rsidR="00086F89" w:rsidRPr="002B275C" w:rsidRDefault="002423A8"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lastRenderedPageBreak/>
        <w:t>Here, in</w:t>
      </w:r>
      <w:r w:rsidR="00950751" w:rsidRPr="002B275C">
        <w:rPr>
          <w:rFonts w:ascii="Times New Roman" w:eastAsia="Times New Roman" w:hAnsi="Times New Roman" w:cs="Times New Roman"/>
          <w:sz w:val="24"/>
          <w:szCs w:val="24"/>
        </w:rPr>
        <w:t xml:space="preserve"> figure 2</w:t>
      </w:r>
      <w:r w:rsidR="00086F89" w:rsidRPr="002B275C">
        <w:rPr>
          <w:rFonts w:ascii="Times New Roman" w:eastAsia="Times New Roman" w:hAnsi="Times New Roman" w:cs="Times New Roman"/>
          <w:sz w:val="24"/>
          <w:szCs w:val="24"/>
        </w:rPr>
        <w:t xml:space="preserve"> Quick ratio of Linde in 2016 is 1.15. So it means that Linde has the ability to pay its debt with current asset and after paying debt Linde will have left over asset. And in 2017 the ability of paying back debt has increased to 1.24. So here can be said that Linde has improved its ability or Linde has strong liquidity.</w:t>
      </w:r>
    </w:p>
    <w:p w:rsidR="00E714C8" w:rsidRDefault="00086F89" w:rsidP="00E714C8">
      <w:pPr>
        <w:keepNext/>
        <w:spacing w:after="0" w:line="240" w:lineRule="auto"/>
        <w:jc w:val="both"/>
      </w:pPr>
      <w:r>
        <w:rPr>
          <w:rFonts w:ascii="Times New Roman" w:eastAsia="Times New Roman" w:hAnsi="Times New Roman"/>
          <w:noProof/>
        </w:rPr>
        <w:drawing>
          <wp:inline distT="0" distB="0" distL="0" distR="0">
            <wp:extent cx="5372100" cy="2924175"/>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86F89" w:rsidRPr="002B275C" w:rsidRDefault="00E714C8" w:rsidP="00E714C8">
      <w:pPr>
        <w:pStyle w:val="Caption"/>
        <w:jc w:val="both"/>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2</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Quick ratio of linde bangladesh ltd. (2016-2017)</w:t>
      </w:r>
    </w:p>
    <w:p w:rsidR="00693BCD" w:rsidRPr="00693BCD" w:rsidRDefault="00693BCD" w:rsidP="00693BCD"/>
    <w:p w:rsidR="00693BCD" w:rsidRDefault="00693BCD" w:rsidP="00693BCD">
      <w:pPr>
        <w:keepNext/>
      </w:pPr>
      <w:r w:rsidRPr="00693BCD">
        <w:rPr>
          <w:noProof/>
        </w:rPr>
        <w:drawing>
          <wp:inline distT="0" distB="0" distL="0" distR="0">
            <wp:extent cx="5372100" cy="3133725"/>
            <wp:effectExtent l="19050" t="0" r="19050" b="0"/>
            <wp:docPr id="1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93BCD" w:rsidRPr="002B275C" w:rsidRDefault="00693BCD" w:rsidP="002B275C">
      <w:pPr>
        <w:pStyle w:val="Caption"/>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3</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Liquidity Ratios with Variance (2016-2017)</w:t>
      </w:r>
    </w:p>
    <w:p w:rsidR="00A379A7" w:rsidRPr="002B275C" w:rsidRDefault="00F708E1" w:rsidP="002B275C">
      <w:pPr>
        <w:spacing w:line="360" w:lineRule="auto"/>
        <w:rPr>
          <w:rFonts w:ascii="Times New Roman" w:eastAsia="Times New Roman" w:hAnsi="Times New Roman" w:cs="Times New Roman"/>
          <w:sz w:val="24"/>
          <w:szCs w:val="24"/>
        </w:rPr>
      </w:pPr>
      <w:r w:rsidRPr="002B275C">
        <w:rPr>
          <w:rFonts w:ascii="Times New Roman" w:hAnsi="Times New Roman" w:cs="Times New Roman"/>
          <w:sz w:val="24"/>
          <w:szCs w:val="24"/>
        </w:rPr>
        <w:lastRenderedPageBreak/>
        <w:t xml:space="preserve">The </w:t>
      </w:r>
      <w:r w:rsidR="00912CB0" w:rsidRPr="002B275C">
        <w:rPr>
          <w:rFonts w:ascii="Times New Roman" w:hAnsi="Times New Roman" w:cs="Times New Roman"/>
          <w:sz w:val="24"/>
          <w:szCs w:val="24"/>
        </w:rPr>
        <w:t xml:space="preserve">current and quick ratio of 2017 is </w:t>
      </w:r>
      <w:r w:rsidRPr="002B275C">
        <w:rPr>
          <w:rFonts w:ascii="Times New Roman" w:hAnsi="Times New Roman" w:cs="Times New Roman"/>
          <w:sz w:val="24"/>
          <w:szCs w:val="24"/>
        </w:rPr>
        <w:t>greater</w:t>
      </w:r>
      <w:r w:rsidR="00912CB0" w:rsidRPr="002B275C">
        <w:rPr>
          <w:rFonts w:ascii="Times New Roman" w:hAnsi="Times New Roman" w:cs="Times New Roman"/>
          <w:sz w:val="24"/>
          <w:szCs w:val="24"/>
        </w:rPr>
        <w:t xml:space="preserve"> than 2016</w:t>
      </w:r>
      <w:r w:rsidRPr="002B275C">
        <w:rPr>
          <w:rFonts w:ascii="Times New Roman" w:hAnsi="Times New Roman" w:cs="Times New Roman"/>
          <w:sz w:val="24"/>
          <w:szCs w:val="24"/>
        </w:rPr>
        <w:t xml:space="preserve"> can see in figure 3</w:t>
      </w:r>
      <w:r w:rsidR="00912CB0" w:rsidRPr="002B275C">
        <w:rPr>
          <w:rFonts w:ascii="Times New Roman" w:hAnsi="Times New Roman" w:cs="Times New Roman"/>
          <w:sz w:val="24"/>
          <w:szCs w:val="24"/>
        </w:rPr>
        <w:t xml:space="preserve">. </w:t>
      </w:r>
      <w:r w:rsidR="0096366F" w:rsidRPr="002B275C">
        <w:rPr>
          <w:rFonts w:ascii="Times New Roman" w:hAnsi="Times New Roman" w:cs="Times New Roman"/>
          <w:sz w:val="24"/>
          <w:szCs w:val="24"/>
        </w:rPr>
        <w:t>And variance</w:t>
      </w:r>
      <w:r w:rsidR="00912CB0" w:rsidRPr="002B275C">
        <w:rPr>
          <w:rFonts w:ascii="Times New Roman" w:hAnsi="Times New Roman" w:cs="Times New Roman"/>
          <w:sz w:val="24"/>
          <w:szCs w:val="24"/>
        </w:rPr>
        <w:t xml:space="preserve"> between 2016 and 2017 2016 is very close to </w:t>
      </w:r>
      <w:r w:rsidR="0096366F" w:rsidRPr="002B275C">
        <w:rPr>
          <w:rFonts w:ascii="Times New Roman" w:hAnsi="Times New Roman" w:cs="Times New Roman"/>
          <w:sz w:val="24"/>
          <w:szCs w:val="24"/>
        </w:rPr>
        <w:t>each other</w:t>
      </w:r>
      <w:r w:rsidR="00912CB0" w:rsidRPr="002B275C">
        <w:rPr>
          <w:rFonts w:ascii="Times New Roman" w:hAnsi="Times New Roman" w:cs="Times New Roman"/>
          <w:sz w:val="24"/>
          <w:szCs w:val="24"/>
        </w:rPr>
        <w:t xml:space="preserve">. </w:t>
      </w:r>
      <w:r w:rsidR="001A04DB" w:rsidRPr="002B275C">
        <w:rPr>
          <w:rFonts w:ascii="Times New Roman" w:eastAsia="Times New Roman" w:hAnsi="Times New Roman" w:cs="Times New Roman"/>
          <w:sz w:val="24"/>
          <w:szCs w:val="24"/>
        </w:rPr>
        <w:t xml:space="preserve">So overall it can be said that Linde has maintain its liquidity in a proper way. From liquidity side Linde is </w:t>
      </w:r>
      <w:r w:rsidR="0096366F" w:rsidRPr="002B275C">
        <w:rPr>
          <w:rFonts w:ascii="Times New Roman" w:eastAsia="Times New Roman" w:hAnsi="Times New Roman" w:cs="Times New Roman"/>
          <w:sz w:val="24"/>
          <w:szCs w:val="24"/>
        </w:rPr>
        <w:t>trustable.</w:t>
      </w:r>
    </w:p>
    <w:p w:rsidR="00DD0935" w:rsidRPr="002E3234" w:rsidRDefault="00DD0935" w:rsidP="002E3234"/>
    <w:p w:rsidR="001A04DB" w:rsidRPr="003333CA" w:rsidRDefault="001A04DB" w:rsidP="001A04DB">
      <w:pPr>
        <w:pStyle w:val="Heading2"/>
        <w:rPr>
          <w:rFonts w:ascii="Times New Roman" w:eastAsia="Times New Roman" w:hAnsi="Times New Roman" w:cs="Times New Roman"/>
          <w:b/>
        </w:rPr>
      </w:pPr>
      <w:bookmarkStart w:id="23" w:name="_Toc527816474"/>
      <w:r w:rsidRPr="003333CA">
        <w:rPr>
          <w:rFonts w:ascii="Times New Roman" w:eastAsia="Times New Roman" w:hAnsi="Times New Roman" w:cs="Times New Roman"/>
          <w:b/>
        </w:rPr>
        <w:t>Activity ratio:</w:t>
      </w:r>
      <w:bookmarkEnd w:id="23"/>
    </w:p>
    <w:p w:rsidR="00DD0935" w:rsidRPr="00DD0935" w:rsidRDefault="00DD0935" w:rsidP="00DD0935"/>
    <w:p w:rsidR="001A04DB" w:rsidRPr="002B275C" w:rsidRDefault="00DD0935"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To see activity ratio need to calculate some of specific ratios. These are given below:</w:t>
      </w:r>
    </w:p>
    <w:p w:rsidR="00DD0935" w:rsidRPr="003333CA" w:rsidRDefault="00DD0935" w:rsidP="003333CA">
      <w:pPr>
        <w:pStyle w:val="Heading3"/>
        <w:rPr>
          <w:b/>
          <w:u w:val="single"/>
        </w:rPr>
      </w:pPr>
      <w:bookmarkStart w:id="24" w:name="_Toc527816475"/>
      <w:r w:rsidRPr="003333CA">
        <w:rPr>
          <w:b/>
          <w:u w:val="single"/>
        </w:rPr>
        <w:t>Account Receivable Turnover:</w:t>
      </w:r>
      <w:bookmarkEnd w:id="24"/>
    </w:p>
    <w:p w:rsidR="00DD0935" w:rsidRPr="002B275C" w:rsidRDefault="000D26AB"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Every company has account receivable. Without having receivable a company cannot run or cannot make its growth bigger. So account receivable need to manage properly for making a good reputed company. </w:t>
      </w:r>
      <w:r w:rsidR="006801B0" w:rsidRPr="002B275C">
        <w:rPr>
          <w:rFonts w:ascii="Times New Roman" w:hAnsi="Times New Roman" w:cs="Times New Roman"/>
          <w:sz w:val="24"/>
          <w:szCs w:val="24"/>
        </w:rPr>
        <w:t xml:space="preserve">Account receivable turn over shows that how fast a company gets paid from their customers for credit sales. In somehow it is important to maintain company’s liquidity also because </w:t>
      </w:r>
      <w:r w:rsidR="002423A8" w:rsidRPr="002B275C">
        <w:rPr>
          <w:rFonts w:ascii="Times New Roman" w:hAnsi="Times New Roman" w:cs="Times New Roman"/>
          <w:sz w:val="24"/>
          <w:szCs w:val="24"/>
        </w:rPr>
        <w:t>receivable</w:t>
      </w:r>
      <w:r w:rsidR="006801B0" w:rsidRPr="002B275C">
        <w:rPr>
          <w:rFonts w:ascii="Times New Roman" w:hAnsi="Times New Roman" w:cs="Times New Roman"/>
          <w:sz w:val="24"/>
          <w:szCs w:val="24"/>
        </w:rPr>
        <w:t xml:space="preserve"> coverts to cash and this ratio show how fast a company can make this.</w:t>
      </w:r>
    </w:p>
    <w:p w:rsidR="006801B0" w:rsidRPr="002B275C" w:rsidRDefault="006801B0"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Account Receivable turnover formula: net credit Sales/ Average accounts receivable</w:t>
      </w:r>
    </w:p>
    <w:p w:rsidR="00CB771B" w:rsidRDefault="006801B0" w:rsidP="00CB771B">
      <w:pPr>
        <w:keepNext/>
      </w:pPr>
      <w:r w:rsidRPr="006801B0">
        <w:rPr>
          <w:rFonts w:ascii="Trebuchet MS" w:hAnsi="Trebuchet MS"/>
          <w:b/>
        </w:rPr>
        <w:t xml:space="preserve">               </w:t>
      </w:r>
      <w:r w:rsidR="0051465A">
        <w:rPr>
          <w:rFonts w:ascii="Trebuchet MS" w:hAnsi="Trebuchet MS"/>
          <w:b/>
        </w:rPr>
        <w:t xml:space="preserve">        </w:t>
      </w:r>
      <w:r w:rsidR="006B6B77">
        <w:rPr>
          <w:rFonts w:ascii="Trebuchet MS" w:hAnsi="Trebuchet MS"/>
          <w:b/>
          <w:noProof/>
        </w:rPr>
        <w:drawing>
          <wp:inline distT="0" distB="0" distL="0" distR="0">
            <wp:extent cx="5486400" cy="3200400"/>
            <wp:effectExtent l="19050" t="0" r="190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801B0" w:rsidRPr="002B275C" w:rsidRDefault="00CB771B" w:rsidP="002B275C">
      <w:pPr>
        <w:pStyle w:val="Caption"/>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4</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account receivable turnover ratio (2016-2017)</w:t>
      </w:r>
    </w:p>
    <w:p w:rsidR="00CB771B" w:rsidRPr="002B275C" w:rsidRDefault="00CB771B"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lastRenderedPageBreak/>
        <w:t>Here, at Linde in 2016 account receivable turnover is 8.75 and in 2017 it is 8.12. The results of both years are good in terms of company; because in 2016 Linde was collect its receivable 8.75 times in a year which is good and faster. In 2017 Linde collect its receivable 8.12 times in a year so it is also good. But in 2017 time gets little bit lower which indicates that Linde take a bit more days to convert their receivable in cash that 2016. As it is a very little change in both years, still account receivable turnover at Linde is in good position.</w:t>
      </w:r>
    </w:p>
    <w:p w:rsidR="00A379A7" w:rsidRPr="006801B0" w:rsidRDefault="00A379A7">
      <w:pPr>
        <w:spacing w:after="0" w:line="240" w:lineRule="auto"/>
        <w:jc w:val="both"/>
        <w:rPr>
          <w:rFonts w:ascii="Times New Roman" w:eastAsia="Times New Roman" w:hAnsi="Times New Roman"/>
          <w:b/>
          <w:sz w:val="28"/>
        </w:rPr>
      </w:pPr>
    </w:p>
    <w:p w:rsidR="00A379A7" w:rsidRPr="003333CA" w:rsidRDefault="00EC3999" w:rsidP="003333CA">
      <w:pPr>
        <w:pStyle w:val="Heading3"/>
        <w:rPr>
          <w:rFonts w:eastAsia="Times New Roman"/>
          <w:b/>
          <w:u w:val="single"/>
        </w:rPr>
      </w:pPr>
      <w:bookmarkStart w:id="25" w:name="_Toc527816476"/>
      <w:r w:rsidRPr="003333CA">
        <w:rPr>
          <w:rFonts w:eastAsia="Times New Roman"/>
          <w:b/>
          <w:u w:val="single"/>
        </w:rPr>
        <w:t>Inventory Turnover:</w:t>
      </w:r>
      <w:bookmarkEnd w:id="25"/>
    </w:p>
    <w:p w:rsidR="00EC3999" w:rsidRDefault="00EC3999" w:rsidP="00EC3999">
      <w:pPr>
        <w:spacing w:after="0" w:line="240" w:lineRule="auto"/>
        <w:jc w:val="both"/>
        <w:rPr>
          <w:rFonts w:ascii="Times New Roman" w:eastAsia="Times New Roman" w:hAnsi="Times New Roman"/>
          <w:b/>
          <w:sz w:val="28"/>
        </w:rPr>
      </w:pPr>
    </w:p>
    <w:p w:rsidR="00EC3999" w:rsidRPr="002B275C" w:rsidRDefault="00314C64"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t>Inventory is a thing which is very essential element of a company or business. Managing a business or company without having inventory is nearly impossible. So every business or company needs</w:t>
      </w:r>
      <w:r w:rsidR="004F0101" w:rsidRPr="002B275C">
        <w:rPr>
          <w:rFonts w:ascii="Times New Roman" w:eastAsia="Times New Roman" w:hAnsi="Times New Roman" w:cs="Times New Roman"/>
          <w:sz w:val="24"/>
          <w:szCs w:val="24"/>
        </w:rPr>
        <w:t xml:space="preserve"> to maintain inventory properly</w:t>
      </w:r>
      <w:r w:rsidRPr="002B275C">
        <w:rPr>
          <w:rFonts w:ascii="Times New Roman" w:eastAsia="Times New Roman" w:hAnsi="Times New Roman" w:cs="Times New Roman"/>
          <w:sz w:val="24"/>
          <w:szCs w:val="24"/>
        </w:rPr>
        <w:t>.</w:t>
      </w:r>
      <w:r w:rsidR="004F0101" w:rsidRPr="002B275C">
        <w:rPr>
          <w:rFonts w:ascii="Times New Roman" w:eastAsia="Times New Roman" w:hAnsi="Times New Roman" w:cs="Times New Roman"/>
          <w:sz w:val="24"/>
          <w:szCs w:val="24"/>
        </w:rPr>
        <w:t xml:space="preserve"> Linde also has its inventory and they have to maintain it properly for running their business smoothly. </w:t>
      </w:r>
    </w:p>
    <w:p w:rsidR="00A379A7" w:rsidRPr="002B275C" w:rsidRDefault="004F0101"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t>Inventory turnover will show how inventory is managed in a company and how quick inventories are sold.</w:t>
      </w:r>
    </w:p>
    <w:p w:rsidR="009673AB" w:rsidRPr="002B275C" w:rsidRDefault="009673AB"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t xml:space="preserve"> Inventory Turnover Formula: Cost of goods sold/ Inventory</w:t>
      </w:r>
    </w:p>
    <w:p w:rsidR="009673AB" w:rsidRDefault="009673AB">
      <w:pPr>
        <w:spacing w:after="0" w:line="240" w:lineRule="auto"/>
        <w:jc w:val="both"/>
        <w:rPr>
          <w:rFonts w:ascii="Times New Roman" w:eastAsia="Times New Roman" w:hAnsi="Times New Roman"/>
        </w:rPr>
      </w:pPr>
    </w:p>
    <w:p w:rsidR="007B790A" w:rsidRDefault="007B790A" w:rsidP="007B790A">
      <w:pPr>
        <w:keepNext/>
        <w:spacing w:after="0" w:line="240" w:lineRule="auto"/>
        <w:jc w:val="both"/>
      </w:pPr>
      <w:r>
        <w:rPr>
          <w:rFonts w:ascii="Times New Roman" w:eastAsia="Times New Roman" w:hAnsi="Times New Roman"/>
          <w:noProof/>
        </w:rPr>
        <w:drawing>
          <wp:inline distT="0" distB="0" distL="0" distR="0">
            <wp:extent cx="5353050" cy="3048000"/>
            <wp:effectExtent l="19050" t="0" r="19050" b="0"/>
            <wp:docPr id="22"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B790A" w:rsidRDefault="007B790A" w:rsidP="007B790A">
      <w:pPr>
        <w:pStyle w:val="Caption"/>
        <w:jc w:val="both"/>
      </w:pPr>
    </w:p>
    <w:p w:rsidR="004F0101" w:rsidRPr="002B275C" w:rsidRDefault="007B790A" w:rsidP="002B275C">
      <w:pPr>
        <w:pStyle w:val="Caption"/>
        <w:spacing w:line="360" w:lineRule="auto"/>
        <w:jc w:val="both"/>
        <w:rPr>
          <w:rFonts w:ascii="Times New Roman" w:eastAsia="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5</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inventory turnover ratio (2016-2017)</w:t>
      </w:r>
    </w:p>
    <w:p w:rsidR="007B790A" w:rsidRPr="002B275C" w:rsidRDefault="005D225C" w:rsidP="002B275C">
      <w:pPr>
        <w:spacing w:after="0" w:line="360" w:lineRule="auto"/>
        <w:jc w:val="both"/>
        <w:rPr>
          <w:rFonts w:ascii="Times New Roman" w:eastAsia="Times New Roman" w:hAnsi="Times New Roman" w:cs="Times New Roman"/>
          <w:sz w:val="24"/>
          <w:szCs w:val="24"/>
        </w:rPr>
      </w:pPr>
      <w:r w:rsidRPr="002B275C">
        <w:rPr>
          <w:rFonts w:ascii="Times New Roman" w:eastAsia="Times New Roman" w:hAnsi="Times New Roman" w:cs="Times New Roman"/>
          <w:sz w:val="24"/>
          <w:szCs w:val="24"/>
        </w:rPr>
        <w:lastRenderedPageBreak/>
        <w:t xml:space="preserve">Here, in 2016 inventory turnover is 3.14 which means (1/3.14)*365= 116 days, this indicates that Linde sold their entire inventory within 116 days. And in 2017 inventory turnover is 3.85 which means (1/3.85)*365= 95days, this indicates that Linde in 2017 sold entire inventory within 95 days. So here </w:t>
      </w:r>
      <w:r w:rsidR="008C0C78" w:rsidRPr="002B275C">
        <w:rPr>
          <w:rFonts w:ascii="Times New Roman" w:eastAsia="Times New Roman" w:hAnsi="Times New Roman" w:cs="Times New Roman"/>
          <w:sz w:val="24"/>
          <w:szCs w:val="24"/>
        </w:rPr>
        <w:t xml:space="preserve">it can be said </w:t>
      </w:r>
      <w:r w:rsidRPr="002B275C">
        <w:rPr>
          <w:rFonts w:ascii="Times New Roman" w:eastAsia="Times New Roman" w:hAnsi="Times New Roman" w:cs="Times New Roman"/>
          <w:sz w:val="24"/>
          <w:szCs w:val="24"/>
        </w:rPr>
        <w:t xml:space="preserve">that in 2017 Linde take less time to sell their inventory than 2016. </w:t>
      </w:r>
      <w:r w:rsidR="002666E8" w:rsidRPr="002B275C">
        <w:rPr>
          <w:rFonts w:ascii="Times New Roman" w:eastAsia="Times New Roman" w:hAnsi="Times New Roman" w:cs="Times New Roman"/>
          <w:sz w:val="24"/>
          <w:szCs w:val="24"/>
        </w:rPr>
        <w:t>So it also can be said that 95 days is a good result for a big company.</w:t>
      </w:r>
    </w:p>
    <w:p w:rsidR="002651E3" w:rsidRPr="002B275C" w:rsidRDefault="002651E3" w:rsidP="002B275C">
      <w:pPr>
        <w:spacing w:after="0" w:line="360" w:lineRule="auto"/>
        <w:jc w:val="both"/>
        <w:rPr>
          <w:rFonts w:ascii="Times New Roman" w:eastAsia="Times New Roman" w:hAnsi="Times New Roman" w:cs="Times New Roman"/>
          <w:sz w:val="24"/>
          <w:szCs w:val="24"/>
        </w:rPr>
      </w:pPr>
    </w:p>
    <w:p w:rsidR="002651E3" w:rsidRPr="003333CA" w:rsidRDefault="002651E3" w:rsidP="003333CA">
      <w:pPr>
        <w:pStyle w:val="Heading3"/>
        <w:rPr>
          <w:rFonts w:eastAsia="Times New Roman"/>
          <w:b/>
          <w:u w:val="single"/>
        </w:rPr>
      </w:pPr>
      <w:bookmarkStart w:id="26" w:name="_Toc527816477"/>
      <w:r w:rsidRPr="003333CA">
        <w:rPr>
          <w:rFonts w:eastAsia="Times New Roman"/>
          <w:b/>
          <w:u w:val="single"/>
        </w:rPr>
        <w:t>Accounts payable turnover:</w:t>
      </w:r>
      <w:bookmarkEnd w:id="26"/>
      <w:r w:rsidR="00780D8B" w:rsidRPr="003333CA">
        <w:rPr>
          <w:rFonts w:eastAsia="Times New Roman"/>
          <w:b/>
          <w:u w:val="single"/>
        </w:rPr>
        <w:t xml:space="preserve"> </w:t>
      </w:r>
    </w:p>
    <w:p w:rsidR="00780D8B" w:rsidRDefault="00780D8B" w:rsidP="00780D8B">
      <w:pPr>
        <w:spacing w:after="0" w:line="240" w:lineRule="auto"/>
        <w:jc w:val="both"/>
        <w:rPr>
          <w:rFonts w:ascii="Times New Roman" w:eastAsia="Times New Roman" w:hAnsi="Times New Roman"/>
          <w:b/>
          <w:sz w:val="28"/>
          <w:szCs w:val="28"/>
        </w:rPr>
      </w:pPr>
    </w:p>
    <w:p w:rsidR="00780D8B" w:rsidRPr="002B275C" w:rsidRDefault="00047554" w:rsidP="002B275C">
      <w:pPr>
        <w:spacing w:after="0" w:line="360" w:lineRule="auto"/>
        <w:jc w:val="both"/>
        <w:rPr>
          <w:rFonts w:ascii="Times New Roman" w:eastAsia="Times New Roman" w:hAnsi="Times New Roman"/>
          <w:sz w:val="24"/>
          <w:szCs w:val="24"/>
        </w:rPr>
      </w:pPr>
      <w:r w:rsidRPr="002B275C">
        <w:rPr>
          <w:rFonts w:ascii="Times New Roman" w:eastAsia="Times New Roman" w:hAnsi="Times New Roman"/>
          <w:sz w:val="24"/>
          <w:szCs w:val="24"/>
        </w:rPr>
        <w:t>Account payable means a company is liable to payback to others. No matter how big a business is, having accounts payable is a very normal and essential thing to getting important or emergency deals.</w:t>
      </w:r>
    </w:p>
    <w:p w:rsidR="00047554" w:rsidRPr="002B275C" w:rsidRDefault="00047554" w:rsidP="002B275C">
      <w:pPr>
        <w:spacing w:after="0" w:line="360" w:lineRule="auto"/>
        <w:jc w:val="both"/>
        <w:rPr>
          <w:rFonts w:ascii="Times New Roman" w:eastAsia="Times New Roman" w:hAnsi="Times New Roman"/>
          <w:sz w:val="24"/>
          <w:szCs w:val="24"/>
        </w:rPr>
      </w:pPr>
      <w:r w:rsidRPr="002B275C">
        <w:rPr>
          <w:rFonts w:ascii="Times New Roman" w:eastAsia="Times New Roman" w:hAnsi="Times New Roman"/>
          <w:sz w:val="24"/>
          <w:szCs w:val="24"/>
        </w:rPr>
        <w:t xml:space="preserve">Accounts payable turnover shows how quickly a company can return or pay its payable amount to others. It is important for business to pay back its payable amount to its payable specific. Otherwise a business or a company can loss its own goodwill and it will show negative </w:t>
      </w:r>
      <w:r w:rsidR="00A2646E" w:rsidRPr="002B275C">
        <w:rPr>
          <w:rFonts w:ascii="Times New Roman" w:eastAsia="Times New Roman" w:hAnsi="Times New Roman"/>
          <w:sz w:val="24"/>
          <w:szCs w:val="24"/>
        </w:rPr>
        <w:t>impact on balance s</w:t>
      </w:r>
      <w:r w:rsidRPr="002B275C">
        <w:rPr>
          <w:rFonts w:ascii="Times New Roman" w:eastAsia="Times New Roman" w:hAnsi="Times New Roman"/>
          <w:sz w:val="24"/>
          <w:szCs w:val="24"/>
        </w:rPr>
        <w:t>heet.</w:t>
      </w:r>
    </w:p>
    <w:p w:rsidR="00047554" w:rsidRPr="002B275C" w:rsidRDefault="00047554" w:rsidP="002B275C">
      <w:pPr>
        <w:spacing w:after="0" w:line="360" w:lineRule="auto"/>
        <w:jc w:val="both"/>
        <w:rPr>
          <w:rFonts w:ascii="Times New Roman" w:eastAsia="Times New Roman" w:hAnsi="Times New Roman"/>
          <w:sz w:val="24"/>
          <w:szCs w:val="24"/>
        </w:rPr>
      </w:pPr>
      <w:r w:rsidRPr="002B275C">
        <w:rPr>
          <w:rFonts w:ascii="Times New Roman" w:eastAsia="Times New Roman" w:hAnsi="Times New Roman"/>
          <w:sz w:val="24"/>
          <w:szCs w:val="24"/>
        </w:rPr>
        <w:t>Account payable turnover Formula: Total purchases/Average accounts payable</w:t>
      </w:r>
    </w:p>
    <w:p w:rsidR="00A2646E" w:rsidRDefault="00A2646E" w:rsidP="00780D8B">
      <w:pPr>
        <w:spacing w:after="0" w:line="240" w:lineRule="auto"/>
        <w:jc w:val="both"/>
        <w:rPr>
          <w:rFonts w:ascii="Times New Roman" w:eastAsia="Times New Roman" w:hAnsi="Times New Roman"/>
        </w:rPr>
      </w:pPr>
    </w:p>
    <w:p w:rsidR="00D66A9D" w:rsidRDefault="00D66A9D" w:rsidP="00780D8B">
      <w:pPr>
        <w:spacing w:after="0" w:line="240" w:lineRule="auto"/>
        <w:jc w:val="both"/>
        <w:rPr>
          <w:rFonts w:ascii="Times New Roman" w:eastAsia="Times New Roman" w:hAnsi="Times New Roman"/>
        </w:rPr>
      </w:pPr>
    </w:p>
    <w:p w:rsidR="00926C16" w:rsidRDefault="00D66A9D" w:rsidP="00926C16">
      <w:pPr>
        <w:keepNext/>
        <w:spacing w:after="0" w:line="240" w:lineRule="auto"/>
        <w:jc w:val="both"/>
      </w:pPr>
      <w:r>
        <w:rPr>
          <w:rFonts w:ascii="Times New Roman" w:eastAsia="Times New Roman" w:hAnsi="Times New Roman"/>
          <w:noProof/>
        </w:rPr>
        <w:drawing>
          <wp:inline distT="0" distB="0" distL="0" distR="0">
            <wp:extent cx="5486400" cy="3200400"/>
            <wp:effectExtent l="19050" t="0" r="1905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66A9D" w:rsidRPr="002B275C" w:rsidRDefault="00926C16" w:rsidP="00926C16">
      <w:pPr>
        <w:pStyle w:val="Caption"/>
        <w:jc w:val="both"/>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6</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Account payable turnover ratio (2016-2017)</w:t>
      </w:r>
    </w:p>
    <w:p w:rsidR="00D72210" w:rsidRDefault="004C7C6F" w:rsidP="007B26FB">
      <w:pPr>
        <w:spacing w:line="360" w:lineRule="auto"/>
        <w:rPr>
          <w:rFonts w:ascii="Times New Roman" w:hAnsi="Times New Roman" w:cs="Times New Roman"/>
          <w:sz w:val="24"/>
          <w:szCs w:val="24"/>
        </w:rPr>
      </w:pPr>
      <w:r w:rsidRPr="002B275C">
        <w:rPr>
          <w:rFonts w:ascii="Times New Roman" w:hAnsi="Times New Roman" w:cs="Times New Roman"/>
          <w:sz w:val="24"/>
          <w:szCs w:val="24"/>
        </w:rPr>
        <w:lastRenderedPageBreak/>
        <w:t xml:space="preserve">Here, at Linde account payable turnover is 1.17 in 2016 and 1.46 in 2017 which indicates very low turnover ratio. Linde pays once in a year it is not good for company itself or creditors or investors.  Even in 2017 there is no significant change in turnover. Linde pays probably within 250 days in a year. </w:t>
      </w:r>
      <w:r w:rsidR="00C05834" w:rsidRPr="002B275C">
        <w:rPr>
          <w:rFonts w:ascii="Times New Roman" w:hAnsi="Times New Roman" w:cs="Times New Roman"/>
          <w:sz w:val="24"/>
          <w:szCs w:val="24"/>
        </w:rPr>
        <w:t>It may be needs to be improved.</w:t>
      </w:r>
    </w:p>
    <w:p w:rsidR="007B26FB" w:rsidRPr="007B26FB" w:rsidRDefault="007B26FB" w:rsidP="007B26FB">
      <w:pPr>
        <w:spacing w:line="360" w:lineRule="auto"/>
        <w:rPr>
          <w:rFonts w:ascii="Times New Roman" w:hAnsi="Times New Roman" w:cs="Times New Roman"/>
          <w:sz w:val="24"/>
          <w:szCs w:val="24"/>
        </w:rPr>
      </w:pPr>
    </w:p>
    <w:p w:rsidR="00D72210" w:rsidRPr="003333CA" w:rsidRDefault="00D72210" w:rsidP="003333CA">
      <w:pPr>
        <w:pStyle w:val="Heading3"/>
        <w:rPr>
          <w:b/>
          <w:u w:val="single"/>
        </w:rPr>
      </w:pPr>
      <w:bookmarkStart w:id="27" w:name="_Toc527816478"/>
      <w:r w:rsidRPr="003333CA">
        <w:rPr>
          <w:b/>
          <w:u w:val="single"/>
        </w:rPr>
        <w:t>Fixed Asset To Equity:</w:t>
      </w:r>
      <w:bookmarkEnd w:id="27"/>
    </w:p>
    <w:p w:rsidR="007B26FB" w:rsidRPr="00D72210" w:rsidRDefault="007B26FB" w:rsidP="007B26FB">
      <w:pPr>
        <w:pStyle w:val="ListParagraph"/>
        <w:rPr>
          <w:rFonts w:ascii="Times New Roman" w:hAnsi="Times New Roman" w:cs="Times New Roman"/>
          <w:sz w:val="28"/>
          <w:szCs w:val="28"/>
        </w:rPr>
      </w:pPr>
    </w:p>
    <w:p w:rsidR="004945F6" w:rsidRPr="002B275C" w:rsidRDefault="00EC41F1"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Fixed asset to equity </w:t>
      </w:r>
      <w:r w:rsidR="004945F6" w:rsidRPr="002B275C">
        <w:rPr>
          <w:rFonts w:ascii="Times New Roman" w:hAnsi="Times New Roman" w:cs="Times New Roman"/>
          <w:sz w:val="24"/>
          <w:szCs w:val="24"/>
        </w:rPr>
        <w:t>needs measure because it shows that if the company is using its fixed asset only against its debt or stockholders equity also. In this calculation less than 1 result is appreciate able rather than more than 1 because it indicates how a company use its working capital and fixed asset against its debt.</w:t>
      </w:r>
    </w:p>
    <w:p w:rsidR="00D72210" w:rsidRPr="002B275C" w:rsidRDefault="004945F6"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Fixed asset</w:t>
      </w:r>
      <w:r w:rsidR="00971D47" w:rsidRPr="002B275C">
        <w:rPr>
          <w:rFonts w:ascii="Times New Roman" w:hAnsi="Times New Roman" w:cs="Times New Roman"/>
          <w:sz w:val="24"/>
          <w:szCs w:val="24"/>
        </w:rPr>
        <w:t xml:space="preserve"> to equity formula:  </w:t>
      </w:r>
      <w:r w:rsidRPr="002B275C">
        <w:rPr>
          <w:rFonts w:ascii="Times New Roman" w:hAnsi="Times New Roman" w:cs="Times New Roman"/>
          <w:sz w:val="24"/>
          <w:szCs w:val="24"/>
        </w:rPr>
        <w:t xml:space="preserve">Fixed asset/stockholders equity </w:t>
      </w:r>
    </w:p>
    <w:p w:rsidR="00DC6C5E" w:rsidRPr="00D72210" w:rsidRDefault="00DC6C5E" w:rsidP="00D72210">
      <w:pPr>
        <w:rPr>
          <w:rFonts w:ascii="Times New Roman" w:hAnsi="Times New Roman" w:cs="Times New Roman"/>
        </w:rPr>
      </w:pPr>
    </w:p>
    <w:p w:rsidR="00D90B12" w:rsidRDefault="00D034A9" w:rsidP="00D90B12">
      <w:pPr>
        <w:keepNext/>
        <w:spacing w:after="0" w:line="240" w:lineRule="auto"/>
        <w:jc w:val="both"/>
      </w:pPr>
      <w:r>
        <w:rPr>
          <w:rFonts w:ascii="Times New Roman" w:eastAsia="Times New Roman" w:hAnsi="Times New Roman"/>
          <w:noProof/>
        </w:rPr>
        <w:drawing>
          <wp:inline distT="0" distB="0" distL="0" distR="0">
            <wp:extent cx="5486400" cy="3200400"/>
            <wp:effectExtent l="19050" t="0" r="1905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B26FB" w:rsidRDefault="007B26FB" w:rsidP="002E0283">
      <w:pPr>
        <w:pStyle w:val="Caption"/>
        <w:jc w:val="both"/>
        <w:rPr>
          <w:rFonts w:ascii="Times New Roman" w:hAnsi="Times New Roman" w:cs="Times New Roman"/>
          <w:sz w:val="24"/>
          <w:szCs w:val="24"/>
        </w:rPr>
      </w:pPr>
    </w:p>
    <w:p w:rsidR="00DC6C5E" w:rsidRDefault="00D90B12" w:rsidP="002E0283">
      <w:pPr>
        <w:pStyle w:val="Caption"/>
        <w:jc w:val="both"/>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7</w:t>
      </w:r>
      <w:r w:rsidR="00F17BF7" w:rsidRPr="002B275C">
        <w:rPr>
          <w:rFonts w:ascii="Times New Roman" w:hAnsi="Times New Roman" w:cs="Times New Roman"/>
          <w:sz w:val="24"/>
          <w:szCs w:val="24"/>
        </w:rPr>
        <w:fldChar w:fldCharType="end"/>
      </w:r>
      <w:r w:rsidR="000538BB" w:rsidRPr="002B275C">
        <w:rPr>
          <w:rFonts w:ascii="Times New Roman" w:hAnsi="Times New Roman" w:cs="Times New Roman"/>
          <w:sz w:val="24"/>
          <w:szCs w:val="24"/>
        </w:rPr>
        <w:t>: fixed asset to equity ratio (2016-2017)</w:t>
      </w:r>
    </w:p>
    <w:p w:rsidR="007B26FB" w:rsidRPr="007B26FB" w:rsidRDefault="007B26FB" w:rsidP="007B26FB"/>
    <w:p w:rsidR="000538BB" w:rsidRPr="003333CA" w:rsidRDefault="000538BB" w:rsidP="003333CA">
      <w:pPr>
        <w:pStyle w:val="Heading3"/>
        <w:rPr>
          <w:b/>
          <w:u w:val="single"/>
        </w:rPr>
      </w:pPr>
      <w:bookmarkStart w:id="28" w:name="_Toc527816479"/>
      <w:r w:rsidRPr="003333CA">
        <w:rPr>
          <w:b/>
          <w:u w:val="single"/>
        </w:rPr>
        <w:lastRenderedPageBreak/>
        <w:t>Asset to sales:</w:t>
      </w:r>
      <w:bookmarkEnd w:id="28"/>
    </w:p>
    <w:p w:rsidR="000538BB" w:rsidRPr="002B275C" w:rsidRDefault="00F7554D"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Asset to sales is needed to see</w:t>
      </w:r>
      <w:r w:rsidR="00DC6C5E" w:rsidRPr="002B275C">
        <w:rPr>
          <w:rFonts w:ascii="Times New Roman" w:hAnsi="Times New Roman" w:cs="Times New Roman"/>
          <w:sz w:val="24"/>
          <w:szCs w:val="24"/>
        </w:rPr>
        <w:t xml:space="preserve"> for how much values a company’s asset has and compare it with the value which is generated from sales. </w:t>
      </w:r>
      <w:r w:rsidRPr="002B275C">
        <w:rPr>
          <w:rFonts w:ascii="Times New Roman" w:hAnsi="Times New Roman" w:cs="Times New Roman"/>
          <w:sz w:val="24"/>
          <w:szCs w:val="24"/>
        </w:rPr>
        <w:t xml:space="preserve">This formula is not that much famous but it is important to see the actual scenario of assets and sales. </w:t>
      </w:r>
    </w:p>
    <w:p w:rsidR="00916F57" w:rsidRPr="002B275C" w:rsidRDefault="00F7554D"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Asset to sales formula: Total asset / sales revenue</w:t>
      </w:r>
    </w:p>
    <w:p w:rsidR="00DC6C5E" w:rsidRDefault="00DC6C5E" w:rsidP="000538BB">
      <w:pPr>
        <w:rPr>
          <w:rFonts w:ascii="Times New Roman" w:hAnsi="Times New Roman" w:cs="Times New Roman"/>
        </w:rPr>
      </w:pPr>
    </w:p>
    <w:p w:rsidR="00E55EDC" w:rsidRDefault="00E55EDC" w:rsidP="00DC6C5E">
      <w:pPr>
        <w:keepNext/>
      </w:pPr>
      <w:r>
        <w:rPr>
          <w:rFonts w:ascii="Times New Roman" w:hAnsi="Times New Roman" w:cs="Times New Roman"/>
          <w:noProof/>
        </w:rPr>
        <w:drawing>
          <wp:inline distT="0" distB="0" distL="0" distR="0">
            <wp:extent cx="5619750" cy="2628900"/>
            <wp:effectExtent l="19050" t="0" r="19050" b="0"/>
            <wp:docPr id="23"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9716D" w:rsidRPr="002B275C" w:rsidRDefault="00DC6C5E" w:rsidP="00DC6C5E">
      <w:pPr>
        <w:pStyle w:val="Caption"/>
        <w:rPr>
          <w:rFonts w:ascii="Times New Roman" w:hAnsi="Times New Roman" w:cs="Times New Roman"/>
          <w:noProof/>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8</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asset to sales ratio (2016-2017)</w:t>
      </w:r>
      <w:r w:rsidR="00E55EDC" w:rsidRPr="002B275C">
        <w:rPr>
          <w:rFonts w:ascii="Times New Roman" w:hAnsi="Times New Roman" w:cs="Times New Roman"/>
          <w:noProof/>
          <w:sz w:val="24"/>
          <w:szCs w:val="24"/>
        </w:rPr>
        <w:t xml:space="preserve"> </w:t>
      </w:r>
    </w:p>
    <w:p w:rsidR="00E55EDC" w:rsidRPr="002B275C" w:rsidRDefault="00E55ED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At Linde asset sale is 1.28 in 2016 and 1.2 in 2017 which shows Linde is doing good because the results is not too high or not too low. It can be </w:t>
      </w:r>
      <w:r w:rsidR="002423A8" w:rsidRPr="002B275C">
        <w:rPr>
          <w:rFonts w:ascii="Times New Roman" w:hAnsi="Times New Roman" w:cs="Times New Roman"/>
          <w:sz w:val="24"/>
          <w:szCs w:val="24"/>
        </w:rPr>
        <w:t>taken</w:t>
      </w:r>
      <w:r w:rsidRPr="002B275C">
        <w:rPr>
          <w:rFonts w:ascii="Times New Roman" w:hAnsi="Times New Roman" w:cs="Times New Roman"/>
          <w:sz w:val="24"/>
          <w:szCs w:val="24"/>
        </w:rPr>
        <w:t xml:space="preserve"> as a satisfactory result for a company like Linde. As Linde’s result is different from 2016 to 2017 so it can be said in 2017 value is decreased than 2016 so it shows Linde’s sales revenue amount is decreasing related to its assets value. Though it is not 100% right, there can be other interpretations or explanations for this.</w:t>
      </w:r>
    </w:p>
    <w:p w:rsidR="001F18BF" w:rsidRPr="003333CA" w:rsidRDefault="001F18BF" w:rsidP="003333CA">
      <w:pPr>
        <w:pStyle w:val="Heading3"/>
        <w:rPr>
          <w:b/>
          <w:u w:val="single"/>
        </w:rPr>
      </w:pPr>
      <w:bookmarkStart w:id="29" w:name="_Toc527816480"/>
      <w:r w:rsidRPr="003333CA">
        <w:rPr>
          <w:b/>
          <w:u w:val="single"/>
        </w:rPr>
        <w:t>Asset turnover :</w:t>
      </w:r>
      <w:bookmarkEnd w:id="29"/>
    </w:p>
    <w:p w:rsidR="001F18BF" w:rsidRPr="002B275C" w:rsidRDefault="009B4A56"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Asset turnover is a formula by which a company can find a result that shows how efficiently </w:t>
      </w:r>
      <w:r w:rsidR="00DF5591" w:rsidRPr="002B275C">
        <w:rPr>
          <w:rFonts w:ascii="Times New Roman" w:hAnsi="Times New Roman" w:cs="Times New Roman"/>
          <w:sz w:val="24"/>
          <w:szCs w:val="24"/>
        </w:rPr>
        <w:t>company uses</w:t>
      </w:r>
      <w:r w:rsidRPr="002B275C">
        <w:rPr>
          <w:rFonts w:ascii="Times New Roman" w:hAnsi="Times New Roman" w:cs="Times New Roman"/>
          <w:sz w:val="24"/>
          <w:szCs w:val="24"/>
        </w:rPr>
        <w:t xml:space="preserve"> its asset to earn sales revenue.</w:t>
      </w:r>
    </w:p>
    <w:p w:rsidR="008E7B6C" w:rsidRPr="002B275C" w:rsidRDefault="008E7B6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Asset turnover formula:  Sales/Total asset</w:t>
      </w:r>
    </w:p>
    <w:p w:rsidR="005330B3" w:rsidRDefault="00DF5591" w:rsidP="005330B3">
      <w:pPr>
        <w:keepNext/>
      </w:pPr>
      <w:r>
        <w:rPr>
          <w:rFonts w:ascii="Times New Roman" w:hAnsi="Times New Roman" w:cs="Times New Roman"/>
          <w:noProof/>
        </w:rPr>
        <w:lastRenderedPageBreak/>
        <w:drawing>
          <wp:inline distT="0" distB="0" distL="0" distR="0">
            <wp:extent cx="5286375" cy="2533650"/>
            <wp:effectExtent l="19050" t="0" r="9525"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0481C" w:rsidRPr="002B275C" w:rsidRDefault="005330B3" w:rsidP="008E7B6C">
      <w:pPr>
        <w:pStyle w:val="Caption"/>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9</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asset turnover ratio (2016-2017)</w:t>
      </w:r>
    </w:p>
    <w:p w:rsidR="005330B3" w:rsidRPr="002B275C" w:rsidRDefault="005330B3"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Here, Linde’s asset turnover is .078 in 2016 and 0.84 in 2017. That’s mean </w:t>
      </w:r>
      <w:r w:rsidR="00F745FF" w:rsidRPr="002B275C">
        <w:rPr>
          <w:rFonts w:ascii="Times New Roman" w:hAnsi="Times New Roman" w:cs="Times New Roman"/>
          <w:sz w:val="24"/>
          <w:szCs w:val="24"/>
        </w:rPr>
        <w:t>Linde’s per</w:t>
      </w:r>
      <w:r w:rsidRPr="002B275C">
        <w:rPr>
          <w:rFonts w:ascii="Times New Roman" w:hAnsi="Times New Roman" w:cs="Times New Roman"/>
          <w:sz w:val="24"/>
          <w:szCs w:val="24"/>
        </w:rPr>
        <w:t xml:space="preserve"> dollar asset produce 78 cents in 2016 and 84 cents in 2017. It is good sign as it has</w:t>
      </w:r>
      <w:r w:rsidR="00F745FF" w:rsidRPr="002B275C">
        <w:rPr>
          <w:rFonts w:ascii="Times New Roman" w:hAnsi="Times New Roman" w:cs="Times New Roman"/>
          <w:sz w:val="24"/>
          <w:szCs w:val="24"/>
        </w:rPr>
        <w:t xml:space="preserve"> increased in 2017 from 2016. And</w:t>
      </w:r>
      <w:r w:rsidRPr="002B275C">
        <w:rPr>
          <w:rFonts w:ascii="Times New Roman" w:hAnsi="Times New Roman" w:cs="Times New Roman"/>
          <w:sz w:val="24"/>
          <w:szCs w:val="24"/>
        </w:rPr>
        <w:t xml:space="preserve"> it can be said that linde is improving it turnover</w:t>
      </w:r>
      <w:r w:rsidR="00F745FF" w:rsidRPr="002B275C">
        <w:rPr>
          <w:rFonts w:ascii="Times New Roman" w:hAnsi="Times New Roman" w:cs="Times New Roman"/>
          <w:sz w:val="24"/>
          <w:szCs w:val="24"/>
        </w:rPr>
        <w:t>. And high ratio</w:t>
      </w:r>
      <w:r w:rsidRPr="002B275C">
        <w:rPr>
          <w:rFonts w:ascii="Times New Roman" w:hAnsi="Times New Roman" w:cs="Times New Roman"/>
          <w:sz w:val="24"/>
          <w:szCs w:val="24"/>
        </w:rPr>
        <w:t xml:space="preserve"> is preferable for a company. </w:t>
      </w:r>
    </w:p>
    <w:p w:rsidR="0030481C" w:rsidRPr="003333CA" w:rsidRDefault="0030481C" w:rsidP="003333CA">
      <w:pPr>
        <w:pStyle w:val="Heading3"/>
        <w:rPr>
          <w:b/>
          <w:u w:val="single"/>
        </w:rPr>
      </w:pPr>
      <w:bookmarkStart w:id="30" w:name="_Toc527816481"/>
      <w:r w:rsidRPr="003333CA">
        <w:rPr>
          <w:b/>
          <w:u w:val="single"/>
        </w:rPr>
        <w:t>Average collection period:</w:t>
      </w:r>
      <w:bookmarkEnd w:id="30"/>
    </w:p>
    <w:p w:rsidR="00426F28" w:rsidRPr="007B26FB" w:rsidRDefault="00453603" w:rsidP="007B26FB">
      <w:pPr>
        <w:spacing w:line="360" w:lineRule="auto"/>
        <w:rPr>
          <w:rFonts w:ascii="Times New Roman" w:hAnsi="Times New Roman" w:cs="Times New Roman"/>
          <w:sz w:val="24"/>
          <w:szCs w:val="24"/>
        </w:rPr>
      </w:pPr>
      <w:r w:rsidRPr="002B275C">
        <w:rPr>
          <w:rFonts w:ascii="Times New Roman" w:hAnsi="Times New Roman" w:cs="Times New Roman"/>
          <w:sz w:val="24"/>
          <w:szCs w:val="24"/>
        </w:rPr>
        <w:t>Average</w:t>
      </w:r>
      <w:r w:rsidR="0030481C" w:rsidRPr="002B275C">
        <w:rPr>
          <w:rFonts w:ascii="Times New Roman" w:hAnsi="Times New Roman" w:cs="Times New Roman"/>
          <w:sz w:val="24"/>
          <w:szCs w:val="24"/>
        </w:rPr>
        <w:t xml:space="preserve"> collection period is a time when a company collects cash from its </w:t>
      </w:r>
      <w:r w:rsidRPr="002B275C">
        <w:rPr>
          <w:rFonts w:ascii="Times New Roman" w:hAnsi="Times New Roman" w:cs="Times New Roman"/>
          <w:sz w:val="24"/>
          <w:szCs w:val="24"/>
        </w:rPr>
        <w:t xml:space="preserve">receivables. It will be good if cash can be collected as soon as possible. It is important to calculate average collection period so that others can have a fair picture </w:t>
      </w:r>
      <w:r w:rsidR="00A50C6C" w:rsidRPr="002B275C">
        <w:rPr>
          <w:rFonts w:ascii="Times New Roman" w:hAnsi="Times New Roman" w:cs="Times New Roman"/>
          <w:sz w:val="24"/>
          <w:szCs w:val="24"/>
        </w:rPr>
        <w:t>of liquidity</w:t>
      </w:r>
      <w:r w:rsidRPr="002B275C">
        <w:rPr>
          <w:rFonts w:ascii="Times New Roman" w:hAnsi="Times New Roman" w:cs="Times New Roman"/>
          <w:sz w:val="24"/>
          <w:szCs w:val="24"/>
        </w:rPr>
        <w:t xml:space="preserve"> </w:t>
      </w:r>
      <w:r w:rsidR="00A50C6C" w:rsidRPr="002B275C">
        <w:rPr>
          <w:rFonts w:ascii="Times New Roman" w:hAnsi="Times New Roman" w:cs="Times New Roman"/>
          <w:sz w:val="24"/>
          <w:szCs w:val="24"/>
        </w:rPr>
        <w:t>because</w:t>
      </w:r>
      <w:r w:rsidRPr="002B275C">
        <w:rPr>
          <w:rFonts w:ascii="Times New Roman" w:hAnsi="Times New Roman" w:cs="Times New Roman"/>
          <w:sz w:val="24"/>
          <w:szCs w:val="24"/>
        </w:rPr>
        <w:t xml:space="preserve"> it is also a </w:t>
      </w:r>
      <w:r w:rsidR="00A50C6C" w:rsidRPr="002B275C">
        <w:rPr>
          <w:rFonts w:ascii="Times New Roman" w:hAnsi="Times New Roman" w:cs="Times New Roman"/>
          <w:sz w:val="24"/>
          <w:szCs w:val="24"/>
        </w:rPr>
        <w:t>part</w:t>
      </w:r>
      <w:r w:rsidR="007B26FB">
        <w:rPr>
          <w:rFonts w:ascii="Times New Roman" w:hAnsi="Times New Roman" w:cs="Times New Roman"/>
          <w:sz w:val="24"/>
          <w:szCs w:val="24"/>
        </w:rPr>
        <w:t xml:space="preserve"> of liquidity.</w:t>
      </w:r>
    </w:p>
    <w:p w:rsidR="00453603" w:rsidRDefault="00453603" w:rsidP="00453603">
      <w:pPr>
        <w:keepNext/>
      </w:pPr>
      <w:r>
        <w:rPr>
          <w:rFonts w:ascii="Times New Roman" w:hAnsi="Times New Roman" w:cs="Times New Roman"/>
          <w:noProof/>
        </w:rPr>
        <w:drawing>
          <wp:inline distT="0" distB="0" distL="0" distR="0">
            <wp:extent cx="5391150" cy="2400300"/>
            <wp:effectExtent l="19050" t="0" r="1905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26F28" w:rsidRPr="002B275C" w:rsidRDefault="00453603" w:rsidP="00486BFA">
      <w:pPr>
        <w:pStyle w:val="Caption"/>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10</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average collection period (2016-2017)</w:t>
      </w:r>
    </w:p>
    <w:p w:rsidR="007B26FB" w:rsidRDefault="007B26FB" w:rsidP="002B275C">
      <w:pPr>
        <w:spacing w:line="360" w:lineRule="auto"/>
        <w:rPr>
          <w:rFonts w:ascii="Times New Roman" w:hAnsi="Times New Roman" w:cs="Times New Roman"/>
          <w:sz w:val="24"/>
          <w:szCs w:val="24"/>
        </w:rPr>
      </w:pPr>
    </w:p>
    <w:p w:rsidR="000C6390" w:rsidRPr="002B275C" w:rsidRDefault="00A50C6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Here,</w:t>
      </w:r>
      <w:r w:rsidR="008469A8" w:rsidRPr="002B275C">
        <w:rPr>
          <w:rFonts w:ascii="Times New Roman" w:hAnsi="Times New Roman" w:cs="Times New Roman"/>
          <w:sz w:val="24"/>
          <w:szCs w:val="24"/>
        </w:rPr>
        <w:t xml:space="preserve"> at figure 10</w:t>
      </w:r>
      <w:r w:rsidRPr="002B275C">
        <w:rPr>
          <w:rFonts w:ascii="Times New Roman" w:hAnsi="Times New Roman" w:cs="Times New Roman"/>
          <w:sz w:val="24"/>
          <w:szCs w:val="24"/>
        </w:rPr>
        <w:t xml:space="preserve"> </w:t>
      </w:r>
      <w:r w:rsidR="002423A8" w:rsidRPr="002B275C">
        <w:rPr>
          <w:rFonts w:ascii="Times New Roman" w:hAnsi="Times New Roman" w:cs="Times New Roman"/>
          <w:sz w:val="24"/>
          <w:szCs w:val="24"/>
        </w:rPr>
        <w:t>Linde’s</w:t>
      </w:r>
      <w:r w:rsidRPr="002B275C">
        <w:rPr>
          <w:rFonts w:ascii="Times New Roman" w:hAnsi="Times New Roman" w:cs="Times New Roman"/>
          <w:sz w:val="24"/>
          <w:szCs w:val="24"/>
        </w:rPr>
        <w:t xml:space="preserve"> average collection period is 41.71 days in 2016. That’s mean Linde need 41.71 days or in every 41.71th day linde collects from its receivables. In 2017 linde take 44.95 days for collection. That’s mean days have increased than previous </w:t>
      </w:r>
      <w:r w:rsidR="00486BFA" w:rsidRPr="002B275C">
        <w:rPr>
          <w:rFonts w:ascii="Times New Roman" w:hAnsi="Times New Roman" w:cs="Times New Roman"/>
          <w:sz w:val="24"/>
          <w:szCs w:val="24"/>
        </w:rPr>
        <w:t xml:space="preserve">year. </w:t>
      </w:r>
      <w:r w:rsidRPr="002B275C">
        <w:rPr>
          <w:rFonts w:ascii="Times New Roman" w:hAnsi="Times New Roman" w:cs="Times New Roman"/>
          <w:sz w:val="24"/>
          <w:szCs w:val="24"/>
        </w:rPr>
        <w:t>Though days have increased but it’s not too bad for a company like linde, so it can be said that average collection period is good enough</w:t>
      </w:r>
      <w:r w:rsidR="00E6518B" w:rsidRPr="002B275C">
        <w:rPr>
          <w:rFonts w:ascii="Times New Roman" w:hAnsi="Times New Roman" w:cs="Times New Roman"/>
          <w:sz w:val="24"/>
          <w:szCs w:val="24"/>
        </w:rPr>
        <w:t>.</w:t>
      </w:r>
    </w:p>
    <w:p w:rsidR="00E6518B" w:rsidRDefault="00C95A32" w:rsidP="000C6390">
      <w:pPr>
        <w:keepNext/>
      </w:pPr>
      <w:r>
        <w:rPr>
          <w:noProof/>
        </w:rPr>
        <w:drawing>
          <wp:inline distT="0" distB="0" distL="0" distR="0">
            <wp:extent cx="6286500" cy="325755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E0283" w:rsidRPr="002B275C" w:rsidRDefault="00426F28" w:rsidP="000C6390">
      <w:pPr>
        <w:pStyle w:val="Caption"/>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11</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Activity ratios of Linde with variance (2016-2017)</w:t>
      </w:r>
    </w:p>
    <w:p w:rsidR="000C6390" w:rsidRPr="002B275C" w:rsidRDefault="000C6390"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So activity ratio, the name itself is expressing that this ratio measures activity of a company. Here, few activities of linde are shown with the change (variance %) which is happen from 2016 to 2017 in figure 11. There are two negative values which show decrease from 2016 to 2017 which are account receivable turnover and asset to sales. </w:t>
      </w:r>
    </w:p>
    <w:p w:rsidR="00843600" w:rsidRDefault="00843600" w:rsidP="00843600">
      <w:pPr>
        <w:pStyle w:val="Heading2"/>
        <w:rPr>
          <w:rFonts w:ascii="Times New Roman" w:eastAsia="Times New Roman" w:hAnsi="Times New Roman" w:cs="Times New Roman"/>
          <w:b/>
        </w:rPr>
      </w:pPr>
      <w:bookmarkStart w:id="31" w:name="_Toc527816482"/>
      <w:r>
        <w:rPr>
          <w:rFonts w:ascii="Times New Roman" w:eastAsia="Times New Roman" w:hAnsi="Times New Roman" w:cs="Times New Roman"/>
          <w:b/>
        </w:rPr>
        <w:t xml:space="preserve">Profitability </w:t>
      </w:r>
      <w:r w:rsidRPr="00DD0935">
        <w:rPr>
          <w:rFonts w:ascii="Times New Roman" w:eastAsia="Times New Roman" w:hAnsi="Times New Roman" w:cs="Times New Roman"/>
          <w:b/>
        </w:rPr>
        <w:t>ratio:</w:t>
      </w:r>
      <w:bookmarkEnd w:id="31"/>
    </w:p>
    <w:p w:rsidR="007177A4" w:rsidRDefault="00843600" w:rsidP="007177A4">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To calculate </w:t>
      </w:r>
      <w:r w:rsidR="008469A8" w:rsidRPr="002B275C">
        <w:rPr>
          <w:rFonts w:ascii="Times New Roman" w:hAnsi="Times New Roman" w:cs="Times New Roman"/>
          <w:sz w:val="24"/>
          <w:szCs w:val="24"/>
        </w:rPr>
        <w:t>profitability</w:t>
      </w:r>
      <w:r w:rsidRPr="002B275C">
        <w:rPr>
          <w:rFonts w:ascii="Times New Roman" w:hAnsi="Times New Roman" w:cs="Times New Roman"/>
          <w:sz w:val="24"/>
          <w:szCs w:val="24"/>
        </w:rPr>
        <w:t xml:space="preserve"> ratio, few specific ratios need to be calculated first. Those are </w:t>
      </w:r>
      <w:r w:rsidR="008469A8" w:rsidRPr="002B275C">
        <w:rPr>
          <w:rFonts w:ascii="Times New Roman" w:hAnsi="Times New Roman" w:cs="Times New Roman"/>
          <w:sz w:val="24"/>
          <w:szCs w:val="24"/>
        </w:rPr>
        <w:t>given</w:t>
      </w:r>
      <w:r w:rsidRPr="002B275C">
        <w:rPr>
          <w:rFonts w:ascii="Times New Roman" w:hAnsi="Times New Roman" w:cs="Times New Roman"/>
          <w:sz w:val="24"/>
          <w:szCs w:val="24"/>
        </w:rPr>
        <w:t xml:space="preserve"> below:</w:t>
      </w:r>
    </w:p>
    <w:p w:rsidR="00843600" w:rsidRPr="007177A4" w:rsidRDefault="00843600" w:rsidP="007177A4">
      <w:pPr>
        <w:pStyle w:val="Heading3"/>
        <w:rPr>
          <w:rFonts w:ascii="Times New Roman" w:hAnsi="Times New Roman" w:cs="Times New Roman"/>
          <w:b/>
          <w:sz w:val="24"/>
          <w:szCs w:val="24"/>
          <w:u w:val="single"/>
        </w:rPr>
      </w:pPr>
      <w:bookmarkStart w:id="32" w:name="_Toc527816483"/>
      <w:r w:rsidRPr="007177A4">
        <w:rPr>
          <w:b/>
          <w:u w:val="single"/>
        </w:rPr>
        <w:t>Gross Profit</w:t>
      </w:r>
      <w:r w:rsidR="006F2495" w:rsidRPr="007177A4">
        <w:rPr>
          <w:b/>
          <w:u w:val="single"/>
        </w:rPr>
        <w:t xml:space="preserve"> Percentage</w:t>
      </w:r>
      <w:r w:rsidRPr="007177A4">
        <w:rPr>
          <w:b/>
          <w:u w:val="single"/>
        </w:rPr>
        <w:t>:</w:t>
      </w:r>
      <w:bookmarkEnd w:id="32"/>
      <w:r w:rsidRPr="007177A4">
        <w:rPr>
          <w:b/>
          <w:u w:val="single"/>
        </w:rPr>
        <w:t xml:space="preserve"> </w:t>
      </w:r>
    </w:p>
    <w:p w:rsidR="007177A4" w:rsidRDefault="007177A4" w:rsidP="002B275C">
      <w:pPr>
        <w:spacing w:line="360" w:lineRule="auto"/>
        <w:rPr>
          <w:rFonts w:ascii="Times New Roman" w:hAnsi="Times New Roman" w:cs="Times New Roman"/>
          <w:sz w:val="24"/>
          <w:szCs w:val="24"/>
        </w:rPr>
      </w:pPr>
    </w:p>
    <w:p w:rsidR="00843600" w:rsidRPr="002B275C" w:rsidRDefault="006F2495"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lastRenderedPageBreak/>
        <w:t xml:space="preserve">Gross profit percentage or gross profit margin is a very important tool for business and also investors. By using this tools it can be know that how a company is doing profit at initial stage as this shows profit margin before paying other expenses. So easily it can be said that </w:t>
      </w:r>
      <w:r w:rsidR="00780F1E" w:rsidRPr="002B275C">
        <w:rPr>
          <w:rFonts w:ascii="Times New Roman" w:hAnsi="Times New Roman" w:cs="Times New Roman"/>
          <w:sz w:val="24"/>
          <w:szCs w:val="24"/>
        </w:rPr>
        <w:t>higher</w:t>
      </w:r>
      <w:r w:rsidRPr="002B275C">
        <w:rPr>
          <w:rFonts w:ascii="Times New Roman" w:hAnsi="Times New Roman" w:cs="Times New Roman"/>
          <w:sz w:val="24"/>
          <w:szCs w:val="24"/>
        </w:rPr>
        <w:t xml:space="preserve"> result will be taken as a good indicator. </w:t>
      </w:r>
    </w:p>
    <w:p w:rsidR="006F2495" w:rsidRPr="002B275C" w:rsidRDefault="006F2495"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Gross </w:t>
      </w:r>
      <w:r w:rsidR="00780F1E" w:rsidRPr="002B275C">
        <w:rPr>
          <w:rFonts w:ascii="Times New Roman" w:hAnsi="Times New Roman" w:cs="Times New Roman"/>
          <w:sz w:val="24"/>
          <w:szCs w:val="24"/>
        </w:rPr>
        <w:t>profit</w:t>
      </w:r>
      <w:r w:rsidRPr="002B275C">
        <w:rPr>
          <w:rFonts w:ascii="Times New Roman" w:hAnsi="Times New Roman" w:cs="Times New Roman"/>
          <w:sz w:val="24"/>
          <w:szCs w:val="24"/>
        </w:rPr>
        <w:t xml:space="preserve"> percentage formula: Total sales- COGS/ Total sales</w:t>
      </w:r>
    </w:p>
    <w:p w:rsidR="006F2495" w:rsidRDefault="006F2495" w:rsidP="006F2495">
      <w:pPr>
        <w:keepNext/>
      </w:pPr>
      <w:r>
        <w:rPr>
          <w:rFonts w:ascii="Times New Roman" w:hAnsi="Times New Roman" w:cs="Times New Roman"/>
          <w:noProof/>
        </w:rPr>
        <w:drawing>
          <wp:inline distT="0" distB="0" distL="0" distR="0">
            <wp:extent cx="5486400" cy="3200400"/>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F2495" w:rsidRPr="002B275C" w:rsidRDefault="006F2495" w:rsidP="002B275C">
      <w:pPr>
        <w:pStyle w:val="Caption"/>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12</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gross profit percentage ratio (2016-2017)</w:t>
      </w:r>
    </w:p>
    <w:p w:rsidR="006F2495" w:rsidRPr="002B275C" w:rsidRDefault="006F2495"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Linde has gross profit 46.34 % in 2016 which indicates linde make profit at per dollar 46.34 cents before making any other expenses. In 2017 linde makes profit 46.73 cents against per dollar. So it has increased. This tool is important, because it shows the ability to sells products and make profits.</w:t>
      </w:r>
    </w:p>
    <w:p w:rsidR="006F2495" w:rsidRPr="003333CA" w:rsidRDefault="00771590" w:rsidP="003333CA">
      <w:pPr>
        <w:pStyle w:val="Heading3"/>
        <w:rPr>
          <w:b/>
          <w:u w:val="single"/>
        </w:rPr>
      </w:pPr>
      <w:bookmarkStart w:id="33" w:name="_Toc527816484"/>
      <w:r w:rsidRPr="003333CA">
        <w:rPr>
          <w:b/>
          <w:u w:val="single"/>
        </w:rPr>
        <w:t xml:space="preserve">Net </w:t>
      </w:r>
      <w:r w:rsidR="006F2495" w:rsidRPr="003333CA">
        <w:rPr>
          <w:b/>
          <w:u w:val="single"/>
        </w:rPr>
        <w:t>Profit Margin</w:t>
      </w:r>
      <w:r w:rsidRPr="003333CA">
        <w:rPr>
          <w:b/>
          <w:u w:val="single"/>
        </w:rPr>
        <w:t xml:space="preserve"> Ratio</w:t>
      </w:r>
      <w:r w:rsidR="006F2495" w:rsidRPr="003333CA">
        <w:rPr>
          <w:b/>
          <w:u w:val="single"/>
        </w:rPr>
        <w:t>:</w:t>
      </w:r>
      <w:bookmarkEnd w:id="33"/>
    </w:p>
    <w:p w:rsidR="006F2495" w:rsidRPr="002B275C" w:rsidRDefault="00E55ED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Net profit margin ratio is a tool which shows about a company’s net income, how much a company keeps net income as revenue. For investors or shareholders or other related it is important to know how a company works with its profit.</w:t>
      </w:r>
    </w:p>
    <w:p w:rsidR="008E7B6C" w:rsidRPr="002B275C" w:rsidRDefault="008E7B6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Net profit margin formula: </w:t>
      </w:r>
      <w:r w:rsidR="00720E0F" w:rsidRPr="002B275C">
        <w:rPr>
          <w:rFonts w:ascii="Times New Roman" w:hAnsi="Times New Roman" w:cs="Times New Roman"/>
          <w:sz w:val="24"/>
          <w:szCs w:val="24"/>
        </w:rPr>
        <w:t>Net profit/Revenue</w:t>
      </w:r>
    </w:p>
    <w:p w:rsidR="00970E5F" w:rsidRDefault="00970E5F" w:rsidP="00970E5F">
      <w:pPr>
        <w:keepNext/>
      </w:pPr>
      <w:r>
        <w:rPr>
          <w:rFonts w:ascii="Times New Roman" w:hAnsi="Times New Roman" w:cs="Times New Roman"/>
          <w:noProof/>
        </w:rPr>
        <w:lastRenderedPageBreak/>
        <w:drawing>
          <wp:inline distT="0" distB="0" distL="0" distR="0">
            <wp:extent cx="5067300" cy="2638425"/>
            <wp:effectExtent l="19050" t="0" r="1905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70E5F" w:rsidRPr="002B275C" w:rsidRDefault="00970E5F" w:rsidP="002B275C">
      <w:pPr>
        <w:pStyle w:val="Caption"/>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13</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Net profit margin ration of linde (2016-2017)</w:t>
      </w:r>
    </w:p>
    <w:p w:rsidR="00970E5F" w:rsidRPr="002B275C" w:rsidRDefault="00970E5F"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Here</w:t>
      </w:r>
      <w:r w:rsidR="002423A8">
        <w:rPr>
          <w:rFonts w:ascii="Times New Roman" w:hAnsi="Times New Roman" w:cs="Times New Roman"/>
          <w:sz w:val="24"/>
          <w:szCs w:val="24"/>
        </w:rPr>
        <w:t xml:space="preserve"> in figure 13, it can see that Lin</w:t>
      </w:r>
      <w:r w:rsidRPr="002B275C">
        <w:rPr>
          <w:rFonts w:ascii="Times New Roman" w:hAnsi="Times New Roman" w:cs="Times New Roman"/>
          <w:sz w:val="24"/>
          <w:szCs w:val="24"/>
        </w:rPr>
        <w:t>de’s net profit margin ratio in 2016 is 20.63% that means linde keeps revenue 20 percent as a net income. And in 2017 linde keeps 19.28 % revenue as net income. Keeping revenues as net income is good but not always</w:t>
      </w:r>
      <w:r w:rsidR="00685A81" w:rsidRPr="002B275C">
        <w:rPr>
          <w:rFonts w:ascii="Times New Roman" w:hAnsi="Times New Roman" w:cs="Times New Roman"/>
          <w:sz w:val="24"/>
          <w:szCs w:val="24"/>
        </w:rPr>
        <w:t>. B</w:t>
      </w:r>
      <w:r w:rsidRPr="002B275C">
        <w:rPr>
          <w:rFonts w:ascii="Times New Roman" w:hAnsi="Times New Roman" w:cs="Times New Roman"/>
          <w:sz w:val="24"/>
          <w:szCs w:val="24"/>
        </w:rPr>
        <w:t xml:space="preserve">ecause </w:t>
      </w:r>
      <w:r w:rsidR="00685A81" w:rsidRPr="002B275C">
        <w:rPr>
          <w:rFonts w:ascii="Times New Roman" w:hAnsi="Times New Roman" w:cs="Times New Roman"/>
          <w:sz w:val="24"/>
          <w:szCs w:val="24"/>
        </w:rPr>
        <w:t xml:space="preserve">sometimes </w:t>
      </w:r>
      <w:r w:rsidRPr="002B275C">
        <w:rPr>
          <w:rFonts w:ascii="Times New Roman" w:hAnsi="Times New Roman" w:cs="Times New Roman"/>
          <w:sz w:val="24"/>
          <w:szCs w:val="24"/>
        </w:rPr>
        <w:t xml:space="preserve">higher ratio indicates that company might not use their </w:t>
      </w:r>
      <w:r w:rsidR="00685A81" w:rsidRPr="002B275C">
        <w:rPr>
          <w:rFonts w:ascii="Times New Roman" w:hAnsi="Times New Roman" w:cs="Times New Roman"/>
          <w:sz w:val="24"/>
          <w:szCs w:val="24"/>
        </w:rPr>
        <w:t>net income properly or</w:t>
      </w:r>
      <w:r w:rsidRPr="002B275C">
        <w:rPr>
          <w:rFonts w:ascii="Times New Roman" w:hAnsi="Times New Roman" w:cs="Times New Roman"/>
          <w:sz w:val="24"/>
          <w:szCs w:val="24"/>
        </w:rPr>
        <w:t xml:space="preserve"> in effective way.</w:t>
      </w:r>
    </w:p>
    <w:p w:rsidR="00685A81" w:rsidRPr="003333CA" w:rsidRDefault="001910CD" w:rsidP="003333CA">
      <w:pPr>
        <w:pStyle w:val="Heading3"/>
        <w:rPr>
          <w:b/>
          <w:u w:val="single"/>
        </w:rPr>
      </w:pPr>
      <w:bookmarkStart w:id="34" w:name="_Toc527816485"/>
      <w:r w:rsidRPr="003333CA">
        <w:rPr>
          <w:b/>
          <w:u w:val="single"/>
        </w:rPr>
        <w:t>Rate of Return On Asset:</w:t>
      </w:r>
      <w:bookmarkEnd w:id="34"/>
    </w:p>
    <w:p w:rsidR="001910CD" w:rsidRPr="002B275C" w:rsidRDefault="001910CD"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Return on asset, easily can be understand that it expresses about the returns can be made by using asset. Now how much return is generates by using how much asset is a important thing to know. </w:t>
      </w:r>
    </w:p>
    <w:p w:rsidR="001910CD" w:rsidRDefault="001910CD" w:rsidP="001910CD">
      <w:pPr>
        <w:keepNext/>
      </w:pPr>
      <w:r>
        <w:rPr>
          <w:rFonts w:ascii="Times New Roman" w:hAnsi="Times New Roman" w:cs="Times New Roman"/>
          <w:noProof/>
        </w:rPr>
        <w:drawing>
          <wp:inline distT="0" distB="0" distL="0" distR="0">
            <wp:extent cx="5600700" cy="2447925"/>
            <wp:effectExtent l="19050" t="0" r="1905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11DB2" w:rsidRDefault="001910CD" w:rsidP="00811DB2">
      <w:pPr>
        <w:pStyle w:val="Caption"/>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0054482C"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14</w:t>
      </w:r>
      <w:r w:rsidR="00F17BF7" w:rsidRPr="002B275C">
        <w:rPr>
          <w:rFonts w:ascii="Times New Roman" w:hAnsi="Times New Roman" w:cs="Times New Roman"/>
          <w:sz w:val="24"/>
          <w:szCs w:val="24"/>
        </w:rPr>
        <w:fldChar w:fldCharType="end"/>
      </w:r>
      <w:r w:rsidR="00190F6B" w:rsidRPr="002B275C">
        <w:rPr>
          <w:rFonts w:ascii="Times New Roman" w:hAnsi="Times New Roman" w:cs="Times New Roman"/>
          <w:sz w:val="24"/>
          <w:szCs w:val="24"/>
        </w:rPr>
        <w:t>: Rate of return on asset of linde (2016-2017)</w:t>
      </w:r>
    </w:p>
    <w:p w:rsidR="00676368" w:rsidRPr="002B275C" w:rsidRDefault="00676368"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lastRenderedPageBreak/>
        <w:t>ROA formula: Net income/ Total asset</w:t>
      </w:r>
    </w:p>
    <w:p w:rsidR="00493EA9" w:rsidRPr="002B275C" w:rsidRDefault="00493EA9"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In this figure 14, Linde’s ROA is 16.08% in 2016 and 16.02% in 2017. Higher ROA is good but as multinational company and as its production is huge so ROA 16% might be good in case of this company. So means linde generates return 16.02% by their asset in 2017 and in 2016 it was 16.08%. In 2017 percentage or producing returns has been decreased which can be a negative indicator. </w:t>
      </w:r>
    </w:p>
    <w:p w:rsidR="00B777D7" w:rsidRPr="003333CA" w:rsidRDefault="00B777D7" w:rsidP="003333CA">
      <w:pPr>
        <w:pStyle w:val="Heading3"/>
        <w:rPr>
          <w:b/>
          <w:u w:val="single"/>
        </w:rPr>
      </w:pPr>
      <w:bookmarkStart w:id="35" w:name="_Toc527816486"/>
      <w:r w:rsidRPr="003333CA">
        <w:rPr>
          <w:b/>
          <w:u w:val="single"/>
        </w:rPr>
        <w:t>Rate of Return on Equity:</w:t>
      </w:r>
      <w:bookmarkEnd w:id="35"/>
    </w:p>
    <w:p w:rsidR="008246E6" w:rsidRPr="002B275C" w:rsidRDefault="008E7B6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Return on </w:t>
      </w:r>
      <w:r w:rsidR="003333CA" w:rsidRPr="002B275C">
        <w:rPr>
          <w:rFonts w:ascii="Times New Roman" w:hAnsi="Times New Roman" w:cs="Times New Roman"/>
          <w:sz w:val="24"/>
          <w:szCs w:val="24"/>
        </w:rPr>
        <w:t>equity</w:t>
      </w:r>
      <w:r w:rsidRPr="002B275C">
        <w:rPr>
          <w:rFonts w:ascii="Times New Roman" w:hAnsi="Times New Roman" w:cs="Times New Roman"/>
          <w:sz w:val="24"/>
          <w:szCs w:val="24"/>
        </w:rPr>
        <w:t xml:space="preserve"> is also like return on asset. But the </w:t>
      </w:r>
      <w:r w:rsidR="003333CA" w:rsidRPr="002B275C">
        <w:rPr>
          <w:rFonts w:ascii="Times New Roman" w:hAnsi="Times New Roman" w:cs="Times New Roman"/>
          <w:sz w:val="24"/>
          <w:szCs w:val="24"/>
        </w:rPr>
        <w:t>difference</w:t>
      </w:r>
      <w:r w:rsidRPr="002B275C">
        <w:rPr>
          <w:rFonts w:ascii="Times New Roman" w:hAnsi="Times New Roman" w:cs="Times New Roman"/>
          <w:sz w:val="24"/>
          <w:szCs w:val="24"/>
        </w:rPr>
        <w:t xml:space="preserve"> is </w:t>
      </w:r>
      <w:r w:rsidR="003333CA" w:rsidRPr="002B275C">
        <w:rPr>
          <w:rFonts w:ascii="Times New Roman" w:hAnsi="Times New Roman" w:cs="Times New Roman"/>
          <w:sz w:val="24"/>
          <w:szCs w:val="24"/>
        </w:rPr>
        <w:t>its calculated returns come</w:t>
      </w:r>
      <w:r w:rsidRPr="002B275C">
        <w:rPr>
          <w:rFonts w:ascii="Times New Roman" w:hAnsi="Times New Roman" w:cs="Times New Roman"/>
          <w:sz w:val="24"/>
          <w:szCs w:val="24"/>
        </w:rPr>
        <w:t xml:space="preserve"> from equity not from asset. Both ROA and ROE is important tool to see how much a company generates return from equity and asset.</w:t>
      </w:r>
    </w:p>
    <w:p w:rsidR="00B777D7" w:rsidRPr="002B275C" w:rsidRDefault="008E7B6C" w:rsidP="002B275C">
      <w:pPr>
        <w:spacing w:line="360" w:lineRule="auto"/>
        <w:rPr>
          <w:rFonts w:ascii="Times New Roman" w:hAnsi="Times New Roman" w:cs="Times New Roman"/>
          <w:sz w:val="24"/>
          <w:szCs w:val="24"/>
        </w:rPr>
      </w:pPr>
      <w:r w:rsidRPr="002B275C">
        <w:rPr>
          <w:rFonts w:ascii="Times New Roman" w:hAnsi="Times New Roman" w:cs="Times New Roman"/>
          <w:sz w:val="24"/>
          <w:szCs w:val="24"/>
        </w:rPr>
        <w:t xml:space="preserve">ROE formula: Net </w:t>
      </w:r>
      <w:r w:rsidR="003333CA" w:rsidRPr="002B275C">
        <w:rPr>
          <w:rFonts w:ascii="Times New Roman" w:hAnsi="Times New Roman" w:cs="Times New Roman"/>
          <w:sz w:val="24"/>
          <w:szCs w:val="24"/>
        </w:rPr>
        <w:t>income</w:t>
      </w:r>
      <w:r w:rsidRPr="002B275C">
        <w:rPr>
          <w:rFonts w:ascii="Times New Roman" w:hAnsi="Times New Roman" w:cs="Times New Roman"/>
          <w:sz w:val="24"/>
          <w:szCs w:val="24"/>
        </w:rPr>
        <w:t xml:space="preserve"> / shareholders </w:t>
      </w:r>
      <w:r w:rsidR="003333CA" w:rsidRPr="002B275C">
        <w:rPr>
          <w:rFonts w:ascii="Times New Roman" w:hAnsi="Times New Roman" w:cs="Times New Roman"/>
          <w:sz w:val="24"/>
          <w:szCs w:val="24"/>
        </w:rPr>
        <w:t>equity</w:t>
      </w:r>
      <w:r w:rsidRPr="002B275C">
        <w:rPr>
          <w:rFonts w:ascii="Times New Roman" w:hAnsi="Times New Roman" w:cs="Times New Roman"/>
          <w:sz w:val="24"/>
          <w:szCs w:val="24"/>
        </w:rPr>
        <w:t xml:space="preserve"> </w:t>
      </w:r>
    </w:p>
    <w:p w:rsidR="003625F8" w:rsidRDefault="00CF21B0" w:rsidP="003625F8">
      <w:pPr>
        <w:keepNext/>
      </w:pPr>
      <w:r>
        <w:rPr>
          <w:rFonts w:ascii="Times New Roman" w:hAnsi="Times New Roman" w:cs="Times New Roman"/>
          <w:noProof/>
        </w:rPr>
        <w:drawing>
          <wp:inline distT="0" distB="0" distL="0" distR="0">
            <wp:extent cx="5486400" cy="3200400"/>
            <wp:effectExtent l="19050" t="0" r="190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F21B0" w:rsidRPr="002B275C" w:rsidRDefault="003625F8" w:rsidP="003625F8">
      <w:pPr>
        <w:pStyle w:val="Caption"/>
        <w:rPr>
          <w:rFonts w:ascii="Times New Roman" w:hAnsi="Times New Roman" w:cs="Times New Roman"/>
          <w:sz w:val="24"/>
          <w:szCs w:val="24"/>
        </w:rPr>
      </w:pPr>
      <w:r w:rsidRPr="002B275C">
        <w:rPr>
          <w:rFonts w:ascii="Times New Roman" w:hAnsi="Times New Roman" w:cs="Times New Roman"/>
          <w:sz w:val="24"/>
          <w:szCs w:val="24"/>
        </w:rPr>
        <w:t xml:space="preserve">Figure </w:t>
      </w:r>
      <w:r w:rsidR="00F17BF7" w:rsidRPr="002B275C">
        <w:rPr>
          <w:rFonts w:ascii="Times New Roman" w:hAnsi="Times New Roman" w:cs="Times New Roman"/>
          <w:sz w:val="24"/>
          <w:szCs w:val="24"/>
        </w:rPr>
        <w:fldChar w:fldCharType="begin"/>
      </w:r>
      <w:r w:rsidRPr="002B275C">
        <w:rPr>
          <w:rFonts w:ascii="Times New Roman" w:hAnsi="Times New Roman" w:cs="Times New Roman"/>
          <w:sz w:val="24"/>
          <w:szCs w:val="24"/>
        </w:rPr>
        <w:instrText xml:space="preserve"> SEQ Figure \* ARABIC </w:instrText>
      </w:r>
      <w:r w:rsidR="00F17BF7" w:rsidRPr="002B275C">
        <w:rPr>
          <w:rFonts w:ascii="Times New Roman" w:hAnsi="Times New Roman" w:cs="Times New Roman"/>
          <w:sz w:val="24"/>
          <w:szCs w:val="24"/>
        </w:rPr>
        <w:fldChar w:fldCharType="separate"/>
      </w:r>
      <w:r w:rsidR="00E74B04" w:rsidRPr="002B275C">
        <w:rPr>
          <w:rFonts w:ascii="Times New Roman" w:hAnsi="Times New Roman" w:cs="Times New Roman"/>
          <w:noProof/>
          <w:sz w:val="24"/>
          <w:szCs w:val="24"/>
        </w:rPr>
        <w:t>15</w:t>
      </w:r>
      <w:r w:rsidR="00F17BF7" w:rsidRPr="002B275C">
        <w:rPr>
          <w:rFonts w:ascii="Times New Roman" w:hAnsi="Times New Roman" w:cs="Times New Roman"/>
          <w:sz w:val="24"/>
          <w:szCs w:val="24"/>
        </w:rPr>
        <w:fldChar w:fldCharType="end"/>
      </w:r>
      <w:r w:rsidRPr="002B275C">
        <w:rPr>
          <w:rFonts w:ascii="Times New Roman" w:hAnsi="Times New Roman" w:cs="Times New Roman"/>
          <w:sz w:val="24"/>
          <w:szCs w:val="24"/>
        </w:rPr>
        <w:t>: return on equity ratio of linde (2016-2017)</w:t>
      </w:r>
    </w:p>
    <w:p w:rsidR="003625F8" w:rsidRDefault="00E43808" w:rsidP="002B275C">
      <w:pPr>
        <w:spacing w:line="360" w:lineRule="auto"/>
      </w:pPr>
      <w:r w:rsidRPr="002B275C">
        <w:rPr>
          <w:rFonts w:ascii="Times New Roman" w:hAnsi="Times New Roman" w:cs="Times New Roman"/>
          <w:sz w:val="24"/>
          <w:szCs w:val="24"/>
        </w:rPr>
        <w:t>In this figure 15</w:t>
      </w:r>
      <w:r w:rsidR="002423A8" w:rsidRPr="002B275C">
        <w:rPr>
          <w:rFonts w:ascii="Times New Roman" w:hAnsi="Times New Roman" w:cs="Times New Roman"/>
          <w:sz w:val="24"/>
          <w:szCs w:val="24"/>
        </w:rPr>
        <w:t>, it</w:t>
      </w:r>
      <w:r w:rsidRPr="002B275C">
        <w:rPr>
          <w:rFonts w:ascii="Times New Roman" w:hAnsi="Times New Roman" w:cs="Times New Roman"/>
          <w:sz w:val="24"/>
          <w:szCs w:val="24"/>
        </w:rPr>
        <w:t xml:space="preserve"> shows linde has generate returns on equity 27.66% in 2016 and 25.92% in 2017.2017 results has been decreased from 2016</w:t>
      </w:r>
      <w:r>
        <w:t xml:space="preserve">. </w:t>
      </w:r>
    </w:p>
    <w:p w:rsidR="00107D59" w:rsidRPr="007177A4" w:rsidRDefault="00107D59" w:rsidP="007177A4">
      <w:pPr>
        <w:pStyle w:val="Heading3"/>
        <w:rPr>
          <w:b/>
          <w:u w:val="single"/>
        </w:rPr>
      </w:pPr>
      <w:bookmarkStart w:id="36" w:name="_Toc527816487"/>
      <w:r w:rsidRPr="007177A4">
        <w:rPr>
          <w:b/>
          <w:u w:val="single"/>
        </w:rPr>
        <w:t>Earnings Per Share:</w:t>
      </w:r>
      <w:bookmarkEnd w:id="36"/>
    </w:p>
    <w:p w:rsidR="00107D59" w:rsidRPr="002B275C" w:rsidRDefault="00107D59" w:rsidP="002B275C">
      <w:pPr>
        <w:spacing w:line="360" w:lineRule="auto"/>
        <w:ind w:left="360"/>
        <w:rPr>
          <w:rFonts w:ascii="Times New Roman" w:hAnsi="Times New Roman" w:cs="Times New Roman"/>
          <w:sz w:val="24"/>
          <w:szCs w:val="24"/>
        </w:rPr>
      </w:pPr>
      <w:r w:rsidRPr="002B275C">
        <w:rPr>
          <w:rFonts w:ascii="Times New Roman" w:hAnsi="Times New Roman" w:cs="Times New Roman"/>
          <w:sz w:val="24"/>
          <w:szCs w:val="24"/>
        </w:rPr>
        <w:t xml:space="preserve">Earnings per share means how much a company earns by </w:t>
      </w:r>
      <w:r w:rsidR="002423A8" w:rsidRPr="002B275C">
        <w:rPr>
          <w:rFonts w:ascii="Times New Roman" w:hAnsi="Times New Roman" w:cs="Times New Roman"/>
          <w:sz w:val="24"/>
          <w:szCs w:val="24"/>
        </w:rPr>
        <w:t>its</w:t>
      </w:r>
      <w:r w:rsidRPr="002B275C">
        <w:rPr>
          <w:rFonts w:ascii="Times New Roman" w:hAnsi="Times New Roman" w:cs="Times New Roman"/>
          <w:sz w:val="24"/>
          <w:szCs w:val="24"/>
        </w:rPr>
        <w:t xml:space="preserve"> per share. </w:t>
      </w:r>
    </w:p>
    <w:p w:rsidR="00107D59" w:rsidRPr="002B275C" w:rsidRDefault="00107D59" w:rsidP="002B275C">
      <w:pPr>
        <w:spacing w:line="360" w:lineRule="auto"/>
        <w:ind w:left="360"/>
        <w:rPr>
          <w:rFonts w:ascii="Times New Roman" w:hAnsi="Times New Roman" w:cs="Times New Roman"/>
          <w:color w:val="111111"/>
          <w:sz w:val="24"/>
          <w:szCs w:val="24"/>
          <w:shd w:val="clear" w:color="auto" w:fill="FFFFFF"/>
        </w:rPr>
      </w:pPr>
      <w:r w:rsidRPr="002B275C">
        <w:rPr>
          <w:rFonts w:ascii="Times New Roman" w:hAnsi="Times New Roman" w:cs="Times New Roman"/>
          <w:sz w:val="24"/>
          <w:szCs w:val="24"/>
        </w:rPr>
        <w:lastRenderedPageBreak/>
        <w:t xml:space="preserve">EPS formula: </w:t>
      </w:r>
      <w:r w:rsidRPr="002B275C">
        <w:rPr>
          <w:rFonts w:ascii="Times New Roman" w:hAnsi="Times New Roman" w:cs="Times New Roman"/>
          <w:color w:val="111111"/>
          <w:sz w:val="24"/>
          <w:szCs w:val="24"/>
          <w:shd w:val="clear" w:color="auto" w:fill="FFFFFF"/>
        </w:rPr>
        <w:t>Net Income - Dividends on Preferred Stock) / Average Outstanding Shares</w:t>
      </w:r>
    </w:p>
    <w:p w:rsidR="00107D59" w:rsidRDefault="00107D59" w:rsidP="00107D59">
      <w:pPr>
        <w:keepNext/>
        <w:ind w:left="360"/>
      </w:pPr>
      <w:r>
        <w:rPr>
          <w:rFonts w:ascii="Times New Roman" w:hAnsi="Times New Roman" w:cs="Times New Roman"/>
          <w:noProof/>
        </w:rPr>
        <w:drawing>
          <wp:inline distT="0" distB="0" distL="0" distR="0">
            <wp:extent cx="5191125" cy="2705100"/>
            <wp:effectExtent l="1905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07D59" w:rsidRPr="005201E7" w:rsidRDefault="00107D59" w:rsidP="00107D59">
      <w:pPr>
        <w:pStyle w:val="Caption"/>
        <w:rPr>
          <w:rFonts w:ascii="Times New Roman" w:hAnsi="Times New Roman" w:cs="Times New Roman"/>
          <w:sz w:val="24"/>
          <w:szCs w:val="24"/>
        </w:rPr>
      </w:pPr>
      <w:r w:rsidRPr="005201E7">
        <w:rPr>
          <w:rFonts w:ascii="Times New Roman" w:hAnsi="Times New Roman" w:cs="Times New Roman"/>
          <w:sz w:val="24"/>
          <w:szCs w:val="24"/>
        </w:rPr>
        <w:t xml:space="preserve">Figure </w:t>
      </w:r>
      <w:r w:rsidR="00F17BF7" w:rsidRPr="005201E7">
        <w:rPr>
          <w:rFonts w:ascii="Times New Roman" w:hAnsi="Times New Roman" w:cs="Times New Roman"/>
          <w:sz w:val="24"/>
          <w:szCs w:val="24"/>
        </w:rPr>
        <w:fldChar w:fldCharType="begin"/>
      </w:r>
      <w:r w:rsidRPr="005201E7">
        <w:rPr>
          <w:rFonts w:ascii="Times New Roman" w:hAnsi="Times New Roman" w:cs="Times New Roman"/>
          <w:sz w:val="24"/>
          <w:szCs w:val="24"/>
        </w:rPr>
        <w:instrText xml:space="preserve"> SEQ Figure \* ARABIC </w:instrText>
      </w:r>
      <w:r w:rsidR="00F17BF7" w:rsidRPr="005201E7">
        <w:rPr>
          <w:rFonts w:ascii="Times New Roman" w:hAnsi="Times New Roman" w:cs="Times New Roman"/>
          <w:sz w:val="24"/>
          <w:szCs w:val="24"/>
        </w:rPr>
        <w:fldChar w:fldCharType="separate"/>
      </w:r>
      <w:r w:rsidR="00E74B04" w:rsidRPr="005201E7">
        <w:rPr>
          <w:rFonts w:ascii="Times New Roman" w:hAnsi="Times New Roman" w:cs="Times New Roman"/>
          <w:noProof/>
          <w:sz w:val="24"/>
          <w:szCs w:val="24"/>
        </w:rPr>
        <w:t>16</w:t>
      </w:r>
      <w:r w:rsidR="00F17BF7" w:rsidRPr="005201E7">
        <w:rPr>
          <w:rFonts w:ascii="Times New Roman" w:hAnsi="Times New Roman" w:cs="Times New Roman"/>
          <w:sz w:val="24"/>
          <w:szCs w:val="24"/>
        </w:rPr>
        <w:fldChar w:fldCharType="end"/>
      </w:r>
      <w:r w:rsidRPr="005201E7">
        <w:rPr>
          <w:rFonts w:ascii="Times New Roman" w:hAnsi="Times New Roman" w:cs="Times New Roman"/>
          <w:sz w:val="24"/>
          <w:szCs w:val="24"/>
        </w:rPr>
        <w:t>: EPs of line (2016-2017)</w:t>
      </w:r>
    </w:p>
    <w:p w:rsidR="00107D59" w:rsidRPr="005201E7" w:rsidRDefault="00107D59" w:rsidP="005201E7">
      <w:pPr>
        <w:spacing w:line="360" w:lineRule="auto"/>
        <w:rPr>
          <w:rFonts w:ascii="Times New Roman" w:hAnsi="Times New Roman" w:cs="Times New Roman"/>
          <w:sz w:val="24"/>
          <w:szCs w:val="24"/>
        </w:rPr>
      </w:pPr>
      <w:r w:rsidRPr="005201E7">
        <w:rPr>
          <w:rFonts w:ascii="Times New Roman" w:hAnsi="Times New Roman" w:cs="Times New Roman"/>
          <w:sz w:val="24"/>
          <w:szCs w:val="24"/>
        </w:rPr>
        <w:t xml:space="preserve">Here a difference can see from 2016 to 2017. Linde has increased it EPS to 62.6 from 57.9. </w:t>
      </w:r>
    </w:p>
    <w:p w:rsidR="00031287" w:rsidRDefault="00D30990" w:rsidP="00031287">
      <w:pPr>
        <w:keepNext/>
      </w:pPr>
      <w:r>
        <w:rPr>
          <w:noProof/>
        </w:rPr>
        <w:drawing>
          <wp:inline distT="0" distB="0" distL="0" distR="0">
            <wp:extent cx="5343525" cy="3152775"/>
            <wp:effectExtent l="19050" t="0" r="9525"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07D59" w:rsidRPr="005201E7" w:rsidRDefault="00D30990" w:rsidP="00D30990">
      <w:pPr>
        <w:pStyle w:val="Caption"/>
        <w:rPr>
          <w:rFonts w:ascii="Times New Roman" w:hAnsi="Times New Roman" w:cs="Times New Roman"/>
          <w:sz w:val="24"/>
          <w:szCs w:val="24"/>
        </w:rPr>
      </w:pPr>
      <w:r w:rsidRPr="005201E7">
        <w:rPr>
          <w:rFonts w:ascii="Times New Roman" w:hAnsi="Times New Roman" w:cs="Times New Roman"/>
          <w:sz w:val="24"/>
          <w:szCs w:val="24"/>
        </w:rPr>
        <w:t xml:space="preserve">Figure </w:t>
      </w:r>
      <w:r w:rsidR="00F17BF7" w:rsidRPr="005201E7">
        <w:rPr>
          <w:rFonts w:ascii="Times New Roman" w:hAnsi="Times New Roman" w:cs="Times New Roman"/>
          <w:sz w:val="24"/>
          <w:szCs w:val="24"/>
        </w:rPr>
        <w:fldChar w:fldCharType="begin"/>
      </w:r>
      <w:r w:rsidRPr="005201E7">
        <w:rPr>
          <w:rFonts w:ascii="Times New Roman" w:hAnsi="Times New Roman" w:cs="Times New Roman"/>
          <w:sz w:val="24"/>
          <w:szCs w:val="24"/>
        </w:rPr>
        <w:instrText xml:space="preserve"> SEQ Figure \* ARABIC </w:instrText>
      </w:r>
      <w:r w:rsidR="00F17BF7" w:rsidRPr="005201E7">
        <w:rPr>
          <w:rFonts w:ascii="Times New Roman" w:hAnsi="Times New Roman" w:cs="Times New Roman"/>
          <w:sz w:val="24"/>
          <w:szCs w:val="24"/>
        </w:rPr>
        <w:fldChar w:fldCharType="separate"/>
      </w:r>
      <w:r w:rsidR="00E74B04" w:rsidRPr="005201E7">
        <w:rPr>
          <w:rFonts w:ascii="Times New Roman" w:hAnsi="Times New Roman" w:cs="Times New Roman"/>
          <w:noProof/>
          <w:sz w:val="24"/>
          <w:szCs w:val="24"/>
        </w:rPr>
        <w:t>17</w:t>
      </w:r>
      <w:r w:rsidR="00F17BF7" w:rsidRPr="005201E7">
        <w:rPr>
          <w:rFonts w:ascii="Times New Roman" w:hAnsi="Times New Roman" w:cs="Times New Roman"/>
          <w:sz w:val="24"/>
          <w:szCs w:val="24"/>
        </w:rPr>
        <w:fldChar w:fldCharType="end"/>
      </w:r>
      <w:r w:rsidRPr="005201E7">
        <w:rPr>
          <w:rFonts w:ascii="Times New Roman" w:hAnsi="Times New Roman" w:cs="Times New Roman"/>
          <w:sz w:val="24"/>
          <w:szCs w:val="24"/>
        </w:rPr>
        <w:t xml:space="preserve">: Profitability ratios of linde (2016-2017) with variance </w:t>
      </w:r>
    </w:p>
    <w:p w:rsidR="00031287" w:rsidRPr="005201E7" w:rsidRDefault="002423A8" w:rsidP="005201E7">
      <w:pPr>
        <w:spacing w:line="360" w:lineRule="auto"/>
        <w:rPr>
          <w:rFonts w:ascii="Times New Roman" w:hAnsi="Times New Roman" w:cs="Times New Roman"/>
          <w:sz w:val="24"/>
          <w:szCs w:val="24"/>
        </w:rPr>
      </w:pPr>
      <w:r>
        <w:rPr>
          <w:rFonts w:ascii="Times New Roman" w:hAnsi="Times New Roman" w:cs="Times New Roman"/>
          <w:sz w:val="24"/>
          <w:szCs w:val="24"/>
        </w:rPr>
        <w:t>Here, in figure 17 there are tw</w:t>
      </w:r>
      <w:r w:rsidR="00031287" w:rsidRPr="005201E7">
        <w:rPr>
          <w:rFonts w:ascii="Times New Roman" w:hAnsi="Times New Roman" w:cs="Times New Roman"/>
          <w:sz w:val="24"/>
          <w:szCs w:val="24"/>
        </w:rPr>
        <w:t xml:space="preserve">o negative bars first one is net profit margin and second one is ROE. These are negative that’s not mean linde is not doing good but </w:t>
      </w:r>
      <w:r w:rsidRPr="005201E7">
        <w:rPr>
          <w:rFonts w:ascii="Times New Roman" w:hAnsi="Times New Roman" w:cs="Times New Roman"/>
          <w:sz w:val="24"/>
          <w:szCs w:val="24"/>
        </w:rPr>
        <w:t>it’s</w:t>
      </w:r>
      <w:r w:rsidR="00031287" w:rsidRPr="005201E7">
        <w:rPr>
          <w:rFonts w:ascii="Times New Roman" w:hAnsi="Times New Roman" w:cs="Times New Roman"/>
          <w:sz w:val="24"/>
          <w:szCs w:val="24"/>
        </w:rPr>
        <w:t xml:space="preserve"> just shows that linde has </w:t>
      </w:r>
      <w:r w:rsidR="00031287" w:rsidRPr="005201E7">
        <w:rPr>
          <w:rFonts w:ascii="Times New Roman" w:hAnsi="Times New Roman" w:cs="Times New Roman"/>
          <w:sz w:val="24"/>
          <w:szCs w:val="24"/>
        </w:rPr>
        <w:lastRenderedPageBreak/>
        <w:t>been decreased from its last year performance.</w:t>
      </w:r>
      <w:r w:rsidR="006D3355" w:rsidRPr="005201E7">
        <w:rPr>
          <w:rFonts w:ascii="Times New Roman" w:hAnsi="Times New Roman" w:cs="Times New Roman"/>
          <w:sz w:val="24"/>
          <w:szCs w:val="24"/>
        </w:rPr>
        <w:t xml:space="preserve"> So it can be said Linde’s profitability ratio may be </w:t>
      </w:r>
      <w:r w:rsidR="007E2F4A" w:rsidRPr="005201E7">
        <w:rPr>
          <w:rFonts w:ascii="Times New Roman" w:hAnsi="Times New Roman" w:cs="Times New Roman"/>
          <w:sz w:val="24"/>
          <w:szCs w:val="24"/>
        </w:rPr>
        <w:t>good.</w:t>
      </w:r>
    </w:p>
    <w:p w:rsidR="007E2F4A" w:rsidRPr="007177A4" w:rsidRDefault="007E2F4A" w:rsidP="007177A4">
      <w:pPr>
        <w:pStyle w:val="Heading2"/>
        <w:rPr>
          <w:rFonts w:eastAsia="Times New Roman"/>
          <w:b/>
        </w:rPr>
      </w:pPr>
      <w:bookmarkStart w:id="37" w:name="_Toc527816488"/>
      <w:r w:rsidRPr="007177A4">
        <w:rPr>
          <w:rFonts w:eastAsia="Times New Roman"/>
          <w:b/>
        </w:rPr>
        <w:t>Coverage ratios:</w:t>
      </w:r>
      <w:bookmarkEnd w:id="37"/>
    </w:p>
    <w:p w:rsidR="007177A4" w:rsidRPr="007177A4" w:rsidRDefault="007177A4" w:rsidP="007177A4">
      <w:pPr>
        <w:pStyle w:val="Heading2"/>
        <w:rPr>
          <w:b/>
        </w:rPr>
      </w:pPr>
    </w:p>
    <w:p w:rsidR="00D875B3" w:rsidRPr="005201E7" w:rsidRDefault="00D875B3" w:rsidP="005201E7">
      <w:pPr>
        <w:spacing w:line="360" w:lineRule="auto"/>
        <w:rPr>
          <w:rFonts w:ascii="Times New Roman" w:hAnsi="Times New Roman" w:cs="Times New Roman"/>
          <w:sz w:val="24"/>
          <w:szCs w:val="24"/>
        </w:rPr>
      </w:pPr>
      <w:r w:rsidRPr="005201E7">
        <w:rPr>
          <w:rFonts w:ascii="Times New Roman" w:hAnsi="Times New Roman" w:cs="Times New Roman"/>
          <w:sz w:val="24"/>
          <w:szCs w:val="24"/>
        </w:rPr>
        <w:t>Coverage ratio calculates the ability of a company that how a company can give coverage to its debt or obligations. To see coverage ratio there are two ratios need to calculate.</w:t>
      </w:r>
    </w:p>
    <w:p w:rsidR="00D875B3" w:rsidRDefault="00D875B3" w:rsidP="007177A4">
      <w:pPr>
        <w:pStyle w:val="Heading3"/>
        <w:rPr>
          <w:b/>
          <w:u w:val="single"/>
        </w:rPr>
      </w:pPr>
      <w:bookmarkStart w:id="38" w:name="_Toc527816489"/>
      <w:r w:rsidRPr="007177A4">
        <w:rPr>
          <w:b/>
          <w:u w:val="single"/>
        </w:rPr>
        <w:t>Debt to Equity Ratio:</w:t>
      </w:r>
      <w:bookmarkEnd w:id="38"/>
    </w:p>
    <w:p w:rsidR="007177A4" w:rsidRPr="007177A4" w:rsidRDefault="007177A4" w:rsidP="007177A4"/>
    <w:p w:rsidR="00B777D7" w:rsidRPr="005201E7" w:rsidRDefault="00340F95" w:rsidP="005201E7">
      <w:pPr>
        <w:spacing w:line="360" w:lineRule="auto"/>
        <w:rPr>
          <w:rFonts w:ascii="Times New Roman" w:hAnsi="Times New Roman" w:cs="Times New Roman"/>
          <w:sz w:val="24"/>
          <w:szCs w:val="24"/>
        </w:rPr>
      </w:pPr>
      <w:r w:rsidRPr="005201E7">
        <w:rPr>
          <w:rFonts w:ascii="Times New Roman" w:hAnsi="Times New Roman" w:cs="Times New Roman"/>
          <w:sz w:val="24"/>
          <w:szCs w:val="24"/>
        </w:rPr>
        <w:t xml:space="preserve">Debt to equity ratio shows how much a company has debt to maintain its asset and how shareholders </w:t>
      </w:r>
      <w:r w:rsidR="002423A8" w:rsidRPr="005201E7">
        <w:rPr>
          <w:rFonts w:ascii="Times New Roman" w:hAnsi="Times New Roman" w:cs="Times New Roman"/>
          <w:sz w:val="24"/>
          <w:szCs w:val="24"/>
        </w:rPr>
        <w:t>equity</w:t>
      </w:r>
      <w:r w:rsidRPr="005201E7">
        <w:rPr>
          <w:rFonts w:ascii="Times New Roman" w:hAnsi="Times New Roman" w:cs="Times New Roman"/>
          <w:sz w:val="24"/>
          <w:szCs w:val="24"/>
        </w:rPr>
        <w:t xml:space="preserve"> contributes to this.</w:t>
      </w:r>
    </w:p>
    <w:p w:rsidR="00340F95" w:rsidRPr="005201E7" w:rsidRDefault="00340F95" w:rsidP="005201E7">
      <w:pPr>
        <w:spacing w:line="360" w:lineRule="auto"/>
        <w:rPr>
          <w:rFonts w:ascii="Times New Roman" w:hAnsi="Times New Roman" w:cs="Times New Roman"/>
          <w:sz w:val="24"/>
          <w:szCs w:val="24"/>
        </w:rPr>
      </w:pPr>
      <w:r w:rsidRPr="005201E7">
        <w:rPr>
          <w:rFonts w:ascii="Times New Roman" w:hAnsi="Times New Roman" w:cs="Times New Roman"/>
          <w:sz w:val="24"/>
          <w:szCs w:val="24"/>
        </w:rPr>
        <w:t>Debt to equity formula: Total liabilities/ total equity</w:t>
      </w:r>
    </w:p>
    <w:p w:rsidR="00340F95" w:rsidRDefault="00340F95" w:rsidP="00340F95">
      <w:pPr>
        <w:keepNext/>
      </w:pPr>
      <w:r>
        <w:rPr>
          <w:rFonts w:ascii="Times New Roman" w:hAnsi="Times New Roman" w:cs="Times New Roman"/>
          <w:b/>
          <w:noProof/>
          <w:sz w:val="28"/>
          <w:szCs w:val="28"/>
        </w:rPr>
        <w:drawing>
          <wp:inline distT="0" distB="0" distL="0" distR="0">
            <wp:extent cx="5486400" cy="3200400"/>
            <wp:effectExtent l="19050" t="0" r="1905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40F95" w:rsidRPr="005201E7" w:rsidRDefault="00340F95" w:rsidP="00340F95">
      <w:pPr>
        <w:pStyle w:val="Caption"/>
        <w:rPr>
          <w:rFonts w:ascii="Times New Roman" w:hAnsi="Times New Roman" w:cs="Times New Roman"/>
          <w:sz w:val="24"/>
          <w:szCs w:val="24"/>
        </w:rPr>
      </w:pPr>
      <w:r w:rsidRPr="005201E7">
        <w:rPr>
          <w:rFonts w:ascii="Times New Roman" w:hAnsi="Times New Roman" w:cs="Times New Roman"/>
          <w:sz w:val="24"/>
          <w:szCs w:val="24"/>
        </w:rPr>
        <w:t xml:space="preserve">Figure </w:t>
      </w:r>
      <w:r w:rsidR="00F17BF7" w:rsidRPr="005201E7">
        <w:rPr>
          <w:rFonts w:ascii="Times New Roman" w:hAnsi="Times New Roman" w:cs="Times New Roman"/>
          <w:sz w:val="24"/>
          <w:szCs w:val="24"/>
        </w:rPr>
        <w:fldChar w:fldCharType="begin"/>
      </w:r>
      <w:r w:rsidRPr="005201E7">
        <w:rPr>
          <w:rFonts w:ascii="Times New Roman" w:hAnsi="Times New Roman" w:cs="Times New Roman"/>
          <w:sz w:val="24"/>
          <w:szCs w:val="24"/>
        </w:rPr>
        <w:instrText xml:space="preserve"> SEQ Figure \* ARABIC </w:instrText>
      </w:r>
      <w:r w:rsidR="00F17BF7" w:rsidRPr="005201E7">
        <w:rPr>
          <w:rFonts w:ascii="Times New Roman" w:hAnsi="Times New Roman" w:cs="Times New Roman"/>
          <w:sz w:val="24"/>
          <w:szCs w:val="24"/>
        </w:rPr>
        <w:fldChar w:fldCharType="separate"/>
      </w:r>
      <w:r w:rsidR="00E74B04" w:rsidRPr="005201E7">
        <w:rPr>
          <w:rFonts w:ascii="Times New Roman" w:hAnsi="Times New Roman" w:cs="Times New Roman"/>
          <w:noProof/>
          <w:sz w:val="24"/>
          <w:szCs w:val="24"/>
        </w:rPr>
        <w:t>18</w:t>
      </w:r>
      <w:r w:rsidR="00F17BF7" w:rsidRPr="005201E7">
        <w:rPr>
          <w:rFonts w:ascii="Times New Roman" w:hAnsi="Times New Roman" w:cs="Times New Roman"/>
          <w:sz w:val="24"/>
          <w:szCs w:val="24"/>
        </w:rPr>
        <w:fldChar w:fldCharType="end"/>
      </w:r>
      <w:r w:rsidRPr="005201E7">
        <w:rPr>
          <w:rFonts w:ascii="Times New Roman" w:hAnsi="Times New Roman" w:cs="Times New Roman"/>
          <w:sz w:val="24"/>
          <w:szCs w:val="24"/>
        </w:rPr>
        <w:t>: Debt to equity ratio of linde (2016-2017)</w:t>
      </w:r>
    </w:p>
    <w:p w:rsidR="00340F95" w:rsidRDefault="00340F95" w:rsidP="005201E7">
      <w:pPr>
        <w:spacing w:line="360" w:lineRule="auto"/>
      </w:pPr>
      <w:r w:rsidRPr="005201E7">
        <w:rPr>
          <w:rFonts w:ascii="Times New Roman" w:hAnsi="Times New Roman" w:cs="Times New Roman"/>
          <w:sz w:val="24"/>
          <w:szCs w:val="24"/>
        </w:rPr>
        <w:t>Here linde is doing well because in 2017 debt to equity ratio has decreased more than 2016. Linde in 2016 had ratio less than 1, so it was a good result for a company like linde. And in 2017 linde has improved the ratio into .61. So .61 or .72 expresses that Linde’s debt are less than its equity</w:t>
      </w:r>
      <w:r>
        <w:t xml:space="preserve">. </w:t>
      </w:r>
    </w:p>
    <w:p w:rsidR="00D95221" w:rsidRDefault="00D95221" w:rsidP="007177A4">
      <w:pPr>
        <w:pStyle w:val="Heading3"/>
        <w:rPr>
          <w:b/>
          <w:u w:val="single"/>
        </w:rPr>
      </w:pPr>
      <w:bookmarkStart w:id="39" w:name="_Toc527816490"/>
      <w:r w:rsidRPr="007177A4">
        <w:rPr>
          <w:b/>
          <w:u w:val="single"/>
        </w:rPr>
        <w:lastRenderedPageBreak/>
        <w:t>Debt to Total Asset:</w:t>
      </w:r>
      <w:bookmarkEnd w:id="39"/>
    </w:p>
    <w:p w:rsidR="007177A4" w:rsidRPr="007177A4" w:rsidRDefault="007177A4" w:rsidP="007177A4"/>
    <w:p w:rsidR="00D95221" w:rsidRPr="005201E7" w:rsidRDefault="00D95221" w:rsidP="005201E7">
      <w:pPr>
        <w:spacing w:line="360" w:lineRule="auto"/>
        <w:rPr>
          <w:rFonts w:ascii="Times New Roman" w:hAnsi="Times New Roman" w:cs="Times New Roman"/>
          <w:sz w:val="24"/>
          <w:szCs w:val="24"/>
        </w:rPr>
      </w:pPr>
      <w:r w:rsidRPr="005201E7">
        <w:rPr>
          <w:rFonts w:ascii="Times New Roman" w:hAnsi="Times New Roman" w:cs="Times New Roman"/>
          <w:sz w:val="24"/>
          <w:szCs w:val="24"/>
        </w:rPr>
        <w:t xml:space="preserve">This ratio is very useful and essential for a company .Debt to asset ratio shows how much asset has invested by the creditors. IT shows how much a company make asset by its creditor and by its investors or how much capital has owned by shareholders. </w:t>
      </w:r>
    </w:p>
    <w:p w:rsidR="00D95221" w:rsidRPr="005201E7" w:rsidRDefault="00D95221" w:rsidP="005201E7">
      <w:pPr>
        <w:spacing w:line="360" w:lineRule="auto"/>
        <w:rPr>
          <w:rFonts w:ascii="Times New Roman" w:hAnsi="Times New Roman" w:cs="Times New Roman"/>
          <w:sz w:val="24"/>
          <w:szCs w:val="24"/>
        </w:rPr>
      </w:pPr>
      <w:r w:rsidRPr="005201E7">
        <w:rPr>
          <w:rFonts w:ascii="Times New Roman" w:hAnsi="Times New Roman" w:cs="Times New Roman"/>
          <w:sz w:val="24"/>
          <w:szCs w:val="24"/>
        </w:rPr>
        <w:t>Debt to Total Asset Formula: Total Debt/ Total Asset</w:t>
      </w:r>
    </w:p>
    <w:p w:rsidR="00E02426" w:rsidRDefault="00071099" w:rsidP="00E02426">
      <w:pPr>
        <w:keepNext/>
      </w:pPr>
      <w:r>
        <w:rPr>
          <w:rFonts w:ascii="Times New Roman" w:hAnsi="Times New Roman" w:cs="Times New Roman"/>
          <w:noProof/>
        </w:rPr>
        <w:drawing>
          <wp:inline distT="0" distB="0" distL="0" distR="0">
            <wp:extent cx="5191125" cy="2466975"/>
            <wp:effectExtent l="19050" t="0" r="9525"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71099" w:rsidRPr="005201E7" w:rsidRDefault="00E02426" w:rsidP="00E02426">
      <w:pPr>
        <w:pStyle w:val="Caption"/>
        <w:rPr>
          <w:rFonts w:ascii="Times New Roman" w:hAnsi="Times New Roman" w:cs="Times New Roman"/>
          <w:sz w:val="24"/>
          <w:szCs w:val="24"/>
        </w:rPr>
      </w:pPr>
      <w:r w:rsidRPr="005201E7">
        <w:rPr>
          <w:rFonts w:ascii="Times New Roman" w:hAnsi="Times New Roman" w:cs="Times New Roman"/>
          <w:sz w:val="24"/>
          <w:szCs w:val="24"/>
        </w:rPr>
        <w:t xml:space="preserve">Figure </w:t>
      </w:r>
      <w:r w:rsidR="00F17BF7" w:rsidRPr="005201E7">
        <w:rPr>
          <w:rFonts w:ascii="Times New Roman" w:hAnsi="Times New Roman" w:cs="Times New Roman"/>
          <w:sz w:val="24"/>
          <w:szCs w:val="24"/>
        </w:rPr>
        <w:fldChar w:fldCharType="begin"/>
      </w:r>
      <w:r w:rsidRPr="005201E7">
        <w:rPr>
          <w:rFonts w:ascii="Times New Roman" w:hAnsi="Times New Roman" w:cs="Times New Roman"/>
          <w:sz w:val="24"/>
          <w:szCs w:val="24"/>
        </w:rPr>
        <w:instrText xml:space="preserve"> SEQ Figure \* ARABIC </w:instrText>
      </w:r>
      <w:r w:rsidR="00F17BF7" w:rsidRPr="005201E7">
        <w:rPr>
          <w:rFonts w:ascii="Times New Roman" w:hAnsi="Times New Roman" w:cs="Times New Roman"/>
          <w:sz w:val="24"/>
          <w:szCs w:val="24"/>
        </w:rPr>
        <w:fldChar w:fldCharType="separate"/>
      </w:r>
      <w:r w:rsidR="00E74B04" w:rsidRPr="005201E7">
        <w:rPr>
          <w:rFonts w:ascii="Times New Roman" w:hAnsi="Times New Roman" w:cs="Times New Roman"/>
          <w:noProof/>
          <w:sz w:val="24"/>
          <w:szCs w:val="24"/>
        </w:rPr>
        <w:t>19</w:t>
      </w:r>
      <w:r w:rsidR="00F17BF7" w:rsidRPr="005201E7">
        <w:rPr>
          <w:rFonts w:ascii="Times New Roman" w:hAnsi="Times New Roman" w:cs="Times New Roman"/>
          <w:sz w:val="24"/>
          <w:szCs w:val="24"/>
        </w:rPr>
        <w:fldChar w:fldCharType="end"/>
      </w:r>
      <w:r w:rsidRPr="005201E7">
        <w:rPr>
          <w:rFonts w:ascii="Times New Roman" w:hAnsi="Times New Roman" w:cs="Times New Roman"/>
          <w:sz w:val="24"/>
          <w:szCs w:val="24"/>
        </w:rPr>
        <w:t>: Debt to total asset ratio of linde (2016-2017)</w:t>
      </w:r>
    </w:p>
    <w:p w:rsidR="00A40E59" w:rsidRPr="005201E7" w:rsidRDefault="0026580B" w:rsidP="00A336D2">
      <w:pPr>
        <w:spacing w:line="360" w:lineRule="auto"/>
        <w:rPr>
          <w:rFonts w:ascii="Times New Roman" w:hAnsi="Times New Roman" w:cs="Times New Roman"/>
          <w:sz w:val="24"/>
          <w:szCs w:val="24"/>
        </w:rPr>
      </w:pPr>
      <w:r w:rsidRPr="005201E7">
        <w:rPr>
          <w:rFonts w:ascii="Times New Roman" w:hAnsi="Times New Roman" w:cs="Times New Roman"/>
          <w:sz w:val="24"/>
          <w:szCs w:val="24"/>
        </w:rPr>
        <w:t xml:space="preserve">Here linde’s Debt to total asset ratio is 42% and 38% in 2016 and in 2017. That’s mean Linde has less asset than its liability. Still it needs to be </w:t>
      </w:r>
      <w:r w:rsidR="00A40E59" w:rsidRPr="005201E7">
        <w:rPr>
          <w:rFonts w:ascii="Times New Roman" w:hAnsi="Times New Roman" w:cs="Times New Roman"/>
          <w:sz w:val="24"/>
          <w:szCs w:val="24"/>
        </w:rPr>
        <w:t>comparing</w:t>
      </w:r>
      <w:r w:rsidRPr="005201E7">
        <w:rPr>
          <w:rFonts w:ascii="Times New Roman" w:hAnsi="Times New Roman" w:cs="Times New Roman"/>
          <w:sz w:val="24"/>
          <w:szCs w:val="24"/>
        </w:rPr>
        <w:t xml:space="preserve"> with its industry average. </w:t>
      </w:r>
    </w:p>
    <w:p w:rsidR="00E74B04" w:rsidRDefault="00E74B04" w:rsidP="00E74B04">
      <w:pPr>
        <w:keepNext/>
        <w:spacing w:after="0" w:line="240" w:lineRule="auto"/>
        <w:jc w:val="both"/>
      </w:pPr>
      <w:r>
        <w:rPr>
          <w:rFonts w:ascii="Times New Roman" w:eastAsia="Times New Roman" w:hAnsi="Times New Roman"/>
        </w:rPr>
        <w:t xml:space="preserve"> </w:t>
      </w:r>
      <w:r>
        <w:rPr>
          <w:rFonts w:ascii="Times New Roman" w:eastAsia="Times New Roman" w:hAnsi="Times New Roman"/>
          <w:noProof/>
        </w:rPr>
        <w:drawing>
          <wp:inline distT="0" distB="0" distL="0" distR="0">
            <wp:extent cx="5153025" cy="2409825"/>
            <wp:effectExtent l="19050" t="0" r="952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85C3F" w:rsidRPr="00D85C3F" w:rsidRDefault="00E74B04" w:rsidP="00D85C3F">
      <w:pPr>
        <w:pStyle w:val="Caption"/>
        <w:jc w:val="both"/>
        <w:rPr>
          <w:rFonts w:ascii="Times New Roman" w:hAnsi="Times New Roman" w:cs="Times New Roman"/>
          <w:sz w:val="24"/>
          <w:szCs w:val="24"/>
        </w:rPr>
      </w:pPr>
      <w:r w:rsidRPr="005201E7">
        <w:rPr>
          <w:rFonts w:ascii="Times New Roman" w:hAnsi="Times New Roman" w:cs="Times New Roman"/>
          <w:sz w:val="24"/>
          <w:szCs w:val="24"/>
        </w:rPr>
        <w:t xml:space="preserve">Figure </w:t>
      </w:r>
      <w:r w:rsidR="00F17BF7" w:rsidRPr="005201E7">
        <w:rPr>
          <w:rFonts w:ascii="Times New Roman" w:hAnsi="Times New Roman" w:cs="Times New Roman"/>
          <w:sz w:val="24"/>
          <w:szCs w:val="24"/>
        </w:rPr>
        <w:fldChar w:fldCharType="begin"/>
      </w:r>
      <w:r w:rsidRPr="005201E7">
        <w:rPr>
          <w:rFonts w:ascii="Times New Roman" w:hAnsi="Times New Roman" w:cs="Times New Roman"/>
          <w:sz w:val="24"/>
          <w:szCs w:val="24"/>
        </w:rPr>
        <w:instrText xml:space="preserve"> SEQ Figure \* ARABIC </w:instrText>
      </w:r>
      <w:r w:rsidR="00F17BF7" w:rsidRPr="005201E7">
        <w:rPr>
          <w:rFonts w:ascii="Times New Roman" w:hAnsi="Times New Roman" w:cs="Times New Roman"/>
          <w:sz w:val="24"/>
          <w:szCs w:val="24"/>
        </w:rPr>
        <w:fldChar w:fldCharType="separate"/>
      </w:r>
      <w:r w:rsidRPr="005201E7">
        <w:rPr>
          <w:rFonts w:ascii="Times New Roman" w:hAnsi="Times New Roman" w:cs="Times New Roman"/>
          <w:noProof/>
          <w:sz w:val="24"/>
          <w:szCs w:val="24"/>
        </w:rPr>
        <w:t>20</w:t>
      </w:r>
      <w:r w:rsidR="00F17BF7" w:rsidRPr="005201E7">
        <w:rPr>
          <w:rFonts w:ascii="Times New Roman" w:hAnsi="Times New Roman" w:cs="Times New Roman"/>
          <w:sz w:val="24"/>
          <w:szCs w:val="24"/>
        </w:rPr>
        <w:fldChar w:fldCharType="end"/>
      </w:r>
      <w:r w:rsidRPr="005201E7">
        <w:rPr>
          <w:rFonts w:ascii="Times New Roman" w:hAnsi="Times New Roman" w:cs="Times New Roman"/>
          <w:sz w:val="24"/>
          <w:szCs w:val="24"/>
        </w:rPr>
        <w:t xml:space="preserve">: Coverage ratios of linde with variance (2016-2017) </w:t>
      </w:r>
    </w:p>
    <w:p w:rsidR="00D01419" w:rsidRDefault="00D01419" w:rsidP="00D01419"/>
    <w:p w:rsidR="00D01419" w:rsidRPr="003333CA" w:rsidRDefault="00D01419" w:rsidP="003333CA">
      <w:pPr>
        <w:pStyle w:val="Heading2"/>
        <w:rPr>
          <w:b/>
        </w:rPr>
      </w:pPr>
      <w:bookmarkStart w:id="40" w:name="_Toc527816491"/>
      <w:r w:rsidRPr="003333CA">
        <w:rPr>
          <w:b/>
        </w:rPr>
        <w:t>Industry Average:</w:t>
      </w:r>
      <w:bookmarkEnd w:id="40"/>
    </w:p>
    <w:p w:rsidR="00D01419" w:rsidRPr="00D01419" w:rsidRDefault="00D01419" w:rsidP="00D01419"/>
    <w:p w:rsidR="00B51F2B" w:rsidRPr="002B2779" w:rsidRDefault="00B51F2B"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Here Linde’s ratio will be compared with </w:t>
      </w:r>
      <w:r w:rsidR="002423A8" w:rsidRPr="002B2779">
        <w:rPr>
          <w:rFonts w:ascii="Times New Roman" w:hAnsi="Times New Roman" w:cs="Times New Roman"/>
          <w:sz w:val="24"/>
          <w:szCs w:val="24"/>
        </w:rPr>
        <w:t>Industries</w:t>
      </w:r>
      <w:r w:rsidRPr="002B2779">
        <w:rPr>
          <w:rFonts w:ascii="Times New Roman" w:hAnsi="Times New Roman" w:cs="Times New Roman"/>
          <w:sz w:val="24"/>
          <w:szCs w:val="24"/>
        </w:rPr>
        <w:t xml:space="preserve"> average ratios</w:t>
      </w:r>
    </w:p>
    <w:tbl>
      <w:tblPr>
        <w:tblStyle w:val="TableGrid"/>
        <w:tblW w:w="0" w:type="auto"/>
        <w:tblLook w:val="04A0"/>
      </w:tblPr>
      <w:tblGrid>
        <w:gridCol w:w="3222"/>
        <w:gridCol w:w="3222"/>
        <w:gridCol w:w="3222"/>
      </w:tblGrid>
      <w:tr w:rsidR="00B51F2B" w:rsidRPr="002B2779" w:rsidTr="00B51F2B">
        <w:tc>
          <w:tcPr>
            <w:tcW w:w="3222" w:type="dxa"/>
            <w:vMerge w:val="restart"/>
          </w:tcPr>
          <w:p w:rsidR="00B51F2B" w:rsidRPr="002B2779" w:rsidRDefault="00B51F2B" w:rsidP="002B2779">
            <w:pPr>
              <w:spacing w:line="360" w:lineRule="auto"/>
              <w:jc w:val="center"/>
              <w:rPr>
                <w:rFonts w:ascii="Times New Roman" w:hAnsi="Times New Roman" w:cs="Times New Roman"/>
                <w:sz w:val="24"/>
                <w:szCs w:val="24"/>
              </w:rPr>
            </w:pPr>
          </w:p>
          <w:p w:rsidR="00B51F2B" w:rsidRPr="002B2779" w:rsidRDefault="00B51F2B" w:rsidP="002B2779">
            <w:pPr>
              <w:spacing w:line="360" w:lineRule="auto"/>
              <w:jc w:val="center"/>
              <w:rPr>
                <w:rFonts w:ascii="Times New Roman" w:hAnsi="Times New Roman" w:cs="Times New Roman"/>
                <w:b/>
                <w:sz w:val="24"/>
                <w:szCs w:val="24"/>
              </w:rPr>
            </w:pPr>
            <w:r w:rsidRPr="002B2779">
              <w:rPr>
                <w:rFonts w:ascii="Times New Roman" w:hAnsi="Times New Roman" w:cs="Times New Roman"/>
                <w:b/>
                <w:sz w:val="24"/>
                <w:szCs w:val="24"/>
              </w:rPr>
              <w:t>Current R</w:t>
            </w:r>
            <w:r w:rsidR="00CA76AC" w:rsidRPr="002B2779">
              <w:rPr>
                <w:rFonts w:ascii="Times New Roman" w:hAnsi="Times New Roman" w:cs="Times New Roman"/>
                <w:b/>
                <w:sz w:val="24"/>
                <w:szCs w:val="24"/>
              </w:rPr>
              <w:t>a</w:t>
            </w:r>
            <w:r w:rsidRPr="002B2779">
              <w:rPr>
                <w:rFonts w:ascii="Times New Roman" w:hAnsi="Times New Roman" w:cs="Times New Roman"/>
                <w:b/>
                <w:sz w:val="24"/>
                <w:szCs w:val="24"/>
              </w:rPr>
              <w:t>tio</w:t>
            </w:r>
          </w:p>
        </w:tc>
        <w:tc>
          <w:tcPr>
            <w:tcW w:w="3222" w:type="dxa"/>
          </w:tcPr>
          <w:p w:rsidR="00B51F2B" w:rsidRPr="002B2779" w:rsidRDefault="009E53E0"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2017</w:t>
            </w:r>
            <w:r w:rsidR="00CA76AC" w:rsidRPr="002B2779">
              <w:rPr>
                <w:rFonts w:ascii="Times New Roman" w:hAnsi="Times New Roman" w:cs="Times New Roman"/>
                <w:sz w:val="24"/>
                <w:szCs w:val="24"/>
              </w:rPr>
              <w:t>-201</w:t>
            </w:r>
            <w:r w:rsidRPr="002B2779">
              <w:rPr>
                <w:rFonts w:ascii="Times New Roman" w:hAnsi="Times New Roman" w:cs="Times New Roman"/>
                <w:sz w:val="24"/>
                <w:szCs w:val="24"/>
              </w:rPr>
              <w:t>6</w:t>
            </w:r>
          </w:p>
        </w:tc>
        <w:tc>
          <w:tcPr>
            <w:tcW w:w="3222" w:type="dxa"/>
          </w:tcPr>
          <w:p w:rsidR="00B51F2B" w:rsidRPr="002B2779" w:rsidRDefault="00B51F2B"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Indu</w:t>
            </w:r>
            <w:r w:rsidR="00CA76AC" w:rsidRPr="002B2779">
              <w:rPr>
                <w:rFonts w:ascii="Times New Roman" w:hAnsi="Times New Roman" w:cs="Times New Roman"/>
                <w:sz w:val="24"/>
                <w:szCs w:val="24"/>
              </w:rPr>
              <w:t>s</w:t>
            </w:r>
            <w:r w:rsidRPr="002B2779">
              <w:rPr>
                <w:rFonts w:ascii="Times New Roman" w:hAnsi="Times New Roman" w:cs="Times New Roman"/>
                <w:sz w:val="24"/>
                <w:szCs w:val="24"/>
              </w:rPr>
              <w:t>try Average</w:t>
            </w:r>
          </w:p>
        </w:tc>
      </w:tr>
      <w:tr w:rsidR="00B51F2B" w:rsidRPr="002B2779" w:rsidTr="00B51F2B">
        <w:tc>
          <w:tcPr>
            <w:tcW w:w="3222" w:type="dxa"/>
            <w:vMerge/>
          </w:tcPr>
          <w:p w:rsidR="00B51F2B" w:rsidRPr="002B2779" w:rsidRDefault="00B51F2B" w:rsidP="002B2779">
            <w:pPr>
              <w:spacing w:line="360" w:lineRule="auto"/>
              <w:rPr>
                <w:rFonts w:ascii="Times New Roman" w:hAnsi="Times New Roman" w:cs="Times New Roman"/>
                <w:sz w:val="24"/>
                <w:szCs w:val="24"/>
              </w:rPr>
            </w:pPr>
          </w:p>
        </w:tc>
        <w:tc>
          <w:tcPr>
            <w:tcW w:w="3222" w:type="dxa"/>
          </w:tcPr>
          <w:p w:rsidR="00B51F2B"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1.67-1.55</w:t>
            </w:r>
          </w:p>
        </w:tc>
        <w:tc>
          <w:tcPr>
            <w:tcW w:w="3222" w:type="dxa"/>
          </w:tcPr>
          <w:p w:rsidR="00B51F2B"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1.80 to 3.00</w:t>
            </w:r>
          </w:p>
        </w:tc>
      </w:tr>
      <w:tr w:rsidR="00B51F2B" w:rsidRPr="002B2779" w:rsidTr="009E53E0">
        <w:trPr>
          <w:trHeight w:val="638"/>
        </w:trPr>
        <w:tc>
          <w:tcPr>
            <w:tcW w:w="9666" w:type="dxa"/>
            <w:gridSpan w:val="3"/>
          </w:tcPr>
          <w:p w:rsidR="00B51F2B"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Explanation: Linde’s current ratio is within the industry average .So it can be said Linde is doing well.</w:t>
            </w:r>
          </w:p>
        </w:tc>
      </w:tr>
    </w:tbl>
    <w:p w:rsidR="00B51F2B" w:rsidRPr="002B2779" w:rsidRDefault="00B51F2B" w:rsidP="002B2779">
      <w:pPr>
        <w:spacing w:line="360" w:lineRule="auto"/>
        <w:rPr>
          <w:rFonts w:ascii="Times New Roman" w:hAnsi="Times New Roman" w:cs="Times New Roman"/>
          <w:sz w:val="24"/>
          <w:szCs w:val="24"/>
        </w:rPr>
      </w:pPr>
    </w:p>
    <w:tbl>
      <w:tblPr>
        <w:tblStyle w:val="TableGrid"/>
        <w:tblW w:w="0" w:type="auto"/>
        <w:tblLook w:val="04A0"/>
      </w:tblPr>
      <w:tblGrid>
        <w:gridCol w:w="3222"/>
        <w:gridCol w:w="3222"/>
        <w:gridCol w:w="3222"/>
      </w:tblGrid>
      <w:tr w:rsidR="00CA76AC" w:rsidRPr="002B2779" w:rsidTr="00BB273F">
        <w:tc>
          <w:tcPr>
            <w:tcW w:w="3222" w:type="dxa"/>
            <w:vMerge w:val="restart"/>
          </w:tcPr>
          <w:p w:rsidR="00CA76AC" w:rsidRPr="002B2779" w:rsidRDefault="00CA76AC" w:rsidP="002B2779">
            <w:pPr>
              <w:spacing w:line="360" w:lineRule="auto"/>
              <w:jc w:val="center"/>
              <w:rPr>
                <w:rFonts w:ascii="Times New Roman" w:hAnsi="Times New Roman" w:cs="Times New Roman"/>
                <w:sz w:val="24"/>
                <w:szCs w:val="24"/>
              </w:rPr>
            </w:pPr>
          </w:p>
          <w:p w:rsidR="00CA76AC" w:rsidRPr="002B2779" w:rsidRDefault="00CA76AC" w:rsidP="002B2779">
            <w:pPr>
              <w:spacing w:line="360" w:lineRule="auto"/>
              <w:jc w:val="center"/>
              <w:rPr>
                <w:rFonts w:ascii="Times New Roman" w:hAnsi="Times New Roman" w:cs="Times New Roman"/>
                <w:b/>
                <w:sz w:val="24"/>
                <w:szCs w:val="24"/>
              </w:rPr>
            </w:pPr>
            <w:r w:rsidRPr="002B2779">
              <w:rPr>
                <w:rFonts w:ascii="Times New Roman" w:hAnsi="Times New Roman" w:cs="Times New Roman"/>
                <w:b/>
                <w:sz w:val="24"/>
                <w:szCs w:val="24"/>
              </w:rPr>
              <w:t>Quick Ratio</w:t>
            </w:r>
          </w:p>
        </w:tc>
        <w:tc>
          <w:tcPr>
            <w:tcW w:w="3222" w:type="dxa"/>
          </w:tcPr>
          <w:p w:rsidR="00CA76AC" w:rsidRPr="002B2779" w:rsidRDefault="009E53E0"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2017</w:t>
            </w:r>
            <w:r w:rsidR="00CA76AC" w:rsidRPr="002B2779">
              <w:rPr>
                <w:rFonts w:ascii="Times New Roman" w:hAnsi="Times New Roman" w:cs="Times New Roman"/>
                <w:sz w:val="24"/>
                <w:szCs w:val="24"/>
              </w:rPr>
              <w:t>-201</w:t>
            </w:r>
            <w:r w:rsidRPr="002B2779">
              <w:rPr>
                <w:rFonts w:ascii="Times New Roman" w:hAnsi="Times New Roman" w:cs="Times New Roman"/>
                <w:sz w:val="24"/>
                <w:szCs w:val="24"/>
              </w:rPr>
              <w:t>6</w:t>
            </w:r>
          </w:p>
        </w:tc>
        <w:tc>
          <w:tcPr>
            <w:tcW w:w="3222" w:type="dxa"/>
          </w:tcPr>
          <w:p w:rsidR="00CA76AC"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CA76AC" w:rsidRPr="002B2779" w:rsidTr="00BB273F">
        <w:tc>
          <w:tcPr>
            <w:tcW w:w="3222" w:type="dxa"/>
            <w:vMerge/>
          </w:tcPr>
          <w:p w:rsidR="00CA76AC" w:rsidRPr="002B2779" w:rsidRDefault="00CA76AC" w:rsidP="002B2779">
            <w:pPr>
              <w:spacing w:line="360" w:lineRule="auto"/>
              <w:rPr>
                <w:rFonts w:ascii="Times New Roman" w:hAnsi="Times New Roman" w:cs="Times New Roman"/>
                <w:sz w:val="24"/>
                <w:szCs w:val="24"/>
              </w:rPr>
            </w:pPr>
          </w:p>
        </w:tc>
        <w:tc>
          <w:tcPr>
            <w:tcW w:w="3222" w:type="dxa"/>
          </w:tcPr>
          <w:p w:rsidR="00CA76AC"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1.</w:t>
            </w:r>
            <w:r w:rsidR="009E53E0" w:rsidRPr="002B2779">
              <w:rPr>
                <w:rFonts w:ascii="Times New Roman" w:hAnsi="Times New Roman" w:cs="Times New Roman"/>
                <w:sz w:val="24"/>
                <w:szCs w:val="24"/>
              </w:rPr>
              <w:t>24-1.15</w:t>
            </w:r>
          </w:p>
        </w:tc>
        <w:tc>
          <w:tcPr>
            <w:tcW w:w="3222" w:type="dxa"/>
          </w:tcPr>
          <w:p w:rsidR="00CA76AC"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1.00 to 2.20</w:t>
            </w:r>
          </w:p>
        </w:tc>
      </w:tr>
      <w:tr w:rsidR="00CA76AC" w:rsidRPr="002B2779" w:rsidTr="00BB273F">
        <w:tc>
          <w:tcPr>
            <w:tcW w:w="9666" w:type="dxa"/>
            <w:gridSpan w:val="3"/>
          </w:tcPr>
          <w:p w:rsidR="00CA76AC" w:rsidRPr="002B2779" w:rsidRDefault="00CA76AC"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Explanation: Linde’s </w:t>
            </w:r>
            <w:r w:rsidR="009E53E0" w:rsidRPr="002B2779">
              <w:rPr>
                <w:rFonts w:ascii="Times New Roman" w:hAnsi="Times New Roman" w:cs="Times New Roman"/>
                <w:sz w:val="24"/>
                <w:szCs w:val="24"/>
              </w:rPr>
              <w:t xml:space="preserve">quick </w:t>
            </w:r>
            <w:r w:rsidRPr="002B2779">
              <w:rPr>
                <w:rFonts w:ascii="Times New Roman" w:hAnsi="Times New Roman" w:cs="Times New Roman"/>
                <w:sz w:val="24"/>
                <w:szCs w:val="24"/>
              </w:rPr>
              <w:t>ratio is within the industry average .So it can be said Linde is doing well.</w:t>
            </w:r>
          </w:p>
        </w:tc>
      </w:tr>
    </w:tbl>
    <w:p w:rsidR="00A379A7" w:rsidRPr="002B2779" w:rsidRDefault="00A379A7" w:rsidP="002B2779">
      <w:pPr>
        <w:spacing w:after="0" w:line="360" w:lineRule="auto"/>
        <w:jc w:val="both"/>
        <w:rPr>
          <w:rFonts w:ascii="Times New Roman" w:eastAsia="Times New Roman" w:hAnsi="Times New Roman" w:cs="Times New Roman"/>
          <w:b/>
          <w:sz w:val="24"/>
          <w:szCs w:val="24"/>
        </w:rPr>
      </w:pPr>
    </w:p>
    <w:tbl>
      <w:tblPr>
        <w:tblStyle w:val="TableGrid"/>
        <w:tblW w:w="0" w:type="auto"/>
        <w:tblLook w:val="04A0"/>
      </w:tblPr>
      <w:tblGrid>
        <w:gridCol w:w="3222"/>
        <w:gridCol w:w="3222"/>
        <w:gridCol w:w="3222"/>
      </w:tblGrid>
      <w:tr w:rsidR="00F37F95" w:rsidRPr="002B2779" w:rsidTr="00643096">
        <w:tc>
          <w:tcPr>
            <w:tcW w:w="3222" w:type="dxa"/>
            <w:vMerge w:val="restart"/>
          </w:tcPr>
          <w:p w:rsidR="00F37F95" w:rsidRPr="002B2779" w:rsidRDefault="00F37F95" w:rsidP="002B2779">
            <w:pPr>
              <w:spacing w:line="360" w:lineRule="auto"/>
              <w:jc w:val="center"/>
              <w:rPr>
                <w:rFonts w:ascii="Times New Roman" w:hAnsi="Times New Roman" w:cs="Times New Roman"/>
                <w:sz w:val="24"/>
                <w:szCs w:val="24"/>
              </w:rPr>
            </w:pPr>
          </w:p>
          <w:p w:rsidR="00F37F95" w:rsidRPr="002B2779" w:rsidRDefault="00F37F95" w:rsidP="002B2779">
            <w:pPr>
              <w:spacing w:line="360" w:lineRule="auto"/>
              <w:jc w:val="center"/>
              <w:rPr>
                <w:rFonts w:ascii="Times New Roman" w:hAnsi="Times New Roman" w:cs="Times New Roman"/>
                <w:b/>
                <w:sz w:val="24"/>
                <w:szCs w:val="24"/>
              </w:rPr>
            </w:pPr>
            <w:r w:rsidRPr="002B2779">
              <w:rPr>
                <w:rFonts w:ascii="Times New Roman" w:hAnsi="Times New Roman" w:cs="Times New Roman"/>
                <w:b/>
                <w:sz w:val="24"/>
                <w:szCs w:val="24"/>
              </w:rPr>
              <w:t>Average collection Period</w:t>
            </w:r>
          </w:p>
        </w:tc>
        <w:tc>
          <w:tcPr>
            <w:tcW w:w="3222" w:type="dxa"/>
          </w:tcPr>
          <w:p w:rsidR="00F37F95" w:rsidRPr="002B2779" w:rsidRDefault="00F37F9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2017-2016</w:t>
            </w:r>
          </w:p>
        </w:tc>
        <w:tc>
          <w:tcPr>
            <w:tcW w:w="3222" w:type="dxa"/>
          </w:tcPr>
          <w:p w:rsidR="00F37F95" w:rsidRPr="002B2779" w:rsidRDefault="00F37F9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F37F95" w:rsidRPr="002B2779" w:rsidTr="00643096">
        <w:tc>
          <w:tcPr>
            <w:tcW w:w="3222" w:type="dxa"/>
            <w:vMerge/>
          </w:tcPr>
          <w:p w:rsidR="00F37F95" w:rsidRPr="002B2779" w:rsidRDefault="00F37F95" w:rsidP="002B2779">
            <w:pPr>
              <w:spacing w:line="360" w:lineRule="auto"/>
              <w:rPr>
                <w:rFonts w:ascii="Times New Roman" w:hAnsi="Times New Roman" w:cs="Times New Roman"/>
                <w:sz w:val="24"/>
                <w:szCs w:val="24"/>
              </w:rPr>
            </w:pPr>
          </w:p>
        </w:tc>
        <w:tc>
          <w:tcPr>
            <w:tcW w:w="3222" w:type="dxa"/>
          </w:tcPr>
          <w:p w:rsidR="00F37F95" w:rsidRPr="002B2779" w:rsidRDefault="00F37F9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44.95 days-41.71 days</w:t>
            </w:r>
          </w:p>
        </w:tc>
        <w:tc>
          <w:tcPr>
            <w:tcW w:w="3222" w:type="dxa"/>
          </w:tcPr>
          <w:p w:rsidR="00F37F95" w:rsidRPr="002B2779" w:rsidRDefault="00F37F9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20.00 to 50.00 days</w:t>
            </w:r>
          </w:p>
        </w:tc>
      </w:tr>
      <w:tr w:rsidR="00F37F95" w:rsidRPr="002B2779" w:rsidTr="00643096">
        <w:tc>
          <w:tcPr>
            <w:tcW w:w="9666" w:type="dxa"/>
            <w:gridSpan w:val="3"/>
          </w:tcPr>
          <w:p w:rsidR="00F37F95" w:rsidRPr="002B2779" w:rsidRDefault="00F37F9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Explanation: Linde’s average collection period not in standard range .But it will be better if collection days get lower. </w:t>
            </w:r>
          </w:p>
        </w:tc>
      </w:tr>
    </w:tbl>
    <w:p w:rsidR="00A379A7" w:rsidRDefault="00A379A7" w:rsidP="002B2779">
      <w:pPr>
        <w:spacing w:after="0" w:line="360" w:lineRule="auto"/>
        <w:jc w:val="both"/>
        <w:rPr>
          <w:rFonts w:ascii="Times New Roman" w:eastAsia="Times New Roman" w:hAnsi="Times New Roman" w:cs="Times New Roman"/>
          <w:b/>
          <w:sz w:val="24"/>
          <w:szCs w:val="24"/>
        </w:rPr>
      </w:pPr>
    </w:p>
    <w:p w:rsidR="00185092" w:rsidRPr="002B2779" w:rsidRDefault="00185092" w:rsidP="002B2779">
      <w:pPr>
        <w:spacing w:after="0" w:line="360" w:lineRule="auto"/>
        <w:jc w:val="both"/>
        <w:rPr>
          <w:rFonts w:ascii="Times New Roman" w:eastAsia="Times New Roman" w:hAnsi="Times New Roman" w:cs="Times New Roman"/>
          <w:b/>
          <w:sz w:val="24"/>
          <w:szCs w:val="24"/>
        </w:rPr>
      </w:pPr>
    </w:p>
    <w:tbl>
      <w:tblPr>
        <w:tblStyle w:val="TableGrid"/>
        <w:tblW w:w="0" w:type="auto"/>
        <w:tblLook w:val="04A0"/>
      </w:tblPr>
      <w:tblGrid>
        <w:gridCol w:w="3222"/>
        <w:gridCol w:w="3222"/>
        <w:gridCol w:w="3222"/>
      </w:tblGrid>
      <w:tr w:rsidR="00691025" w:rsidRPr="002B2779" w:rsidTr="00643096">
        <w:tc>
          <w:tcPr>
            <w:tcW w:w="3222" w:type="dxa"/>
            <w:vMerge w:val="restart"/>
          </w:tcPr>
          <w:p w:rsidR="00691025" w:rsidRPr="002B2779" w:rsidRDefault="00691025" w:rsidP="002B2779">
            <w:pPr>
              <w:spacing w:line="360" w:lineRule="auto"/>
              <w:jc w:val="center"/>
              <w:rPr>
                <w:rFonts w:ascii="Times New Roman" w:hAnsi="Times New Roman" w:cs="Times New Roman"/>
                <w:sz w:val="24"/>
                <w:szCs w:val="24"/>
              </w:rPr>
            </w:pPr>
          </w:p>
          <w:p w:rsidR="00691025" w:rsidRPr="002B2779" w:rsidRDefault="00691025" w:rsidP="002B2779">
            <w:pPr>
              <w:spacing w:line="360" w:lineRule="auto"/>
              <w:jc w:val="center"/>
              <w:rPr>
                <w:rFonts w:ascii="Times New Roman" w:hAnsi="Times New Roman" w:cs="Times New Roman"/>
                <w:b/>
                <w:sz w:val="24"/>
                <w:szCs w:val="24"/>
              </w:rPr>
            </w:pPr>
            <w:r w:rsidRPr="002B2779">
              <w:rPr>
                <w:rFonts w:ascii="Times New Roman" w:hAnsi="Times New Roman" w:cs="Times New Roman"/>
                <w:b/>
                <w:sz w:val="24"/>
                <w:szCs w:val="24"/>
              </w:rPr>
              <w:t>Gross Profit percentage</w:t>
            </w:r>
          </w:p>
        </w:tc>
        <w:tc>
          <w:tcPr>
            <w:tcW w:w="3222" w:type="dxa"/>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2017-2016</w:t>
            </w:r>
          </w:p>
        </w:tc>
        <w:tc>
          <w:tcPr>
            <w:tcW w:w="3222" w:type="dxa"/>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691025" w:rsidRPr="002B2779" w:rsidTr="00643096">
        <w:tc>
          <w:tcPr>
            <w:tcW w:w="3222" w:type="dxa"/>
            <w:vMerge/>
          </w:tcPr>
          <w:p w:rsidR="00691025" w:rsidRPr="002B2779" w:rsidRDefault="00691025" w:rsidP="002B2779">
            <w:pPr>
              <w:spacing w:line="360" w:lineRule="auto"/>
              <w:rPr>
                <w:rFonts w:ascii="Times New Roman" w:hAnsi="Times New Roman" w:cs="Times New Roman"/>
                <w:sz w:val="24"/>
                <w:szCs w:val="24"/>
              </w:rPr>
            </w:pPr>
          </w:p>
        </w:tc>
        <w:tc>
          <w:tcPr>
            <w:tcW w:w="3222" w:type="dxa"/>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46.73% – 46.34%</w:t>
            </w:r>
          </w:p>
        </w:tc>
        <w:tc>
          <w:tcPr>
            <w:tcW w:w="3222" w:type="dxa"/>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38.00% to 52.00%</w:t>
            </w:r>
          </w:p>
        </w:tc>
      </w:tr>
      <w:tr w:rsidR="00691025" w:rsidRPr="002B2779" w:rsidTr="00643096">
        <w:tc>
          <w:tcPr>
            <w:tcW w:w="9666" w:type="dxa"/>
            <w:gridSpan w:val="3"/>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Explanation: Linde’s gross profit margin is within a range.</w:t>
            </w:r>
          </w:p>
        </w:tc>
      </w:tr>
    </w:tbl>
    <w:p w:rsidR="00A379A7" w:rsidRDefault="00A379A7" w:rsidP="002B2779">
      <w:pPr>
        <w:spacing w:after="0" w:line="360" w:lineRule="auto"/>
        <w:jc w:val="both"/>
        <w:rPr>
          <w:rFonts w:ascii="Times New Roman" w:eastAsia="Times New Roman" w:hAnsi="Times New Roman" w:cs="Times New Roman"/>
          <w:b/>
          <w:sz w:val="24"/>
          <w:szCs w:val="24"/>
        </w:rPr>
      </w:pPr>
    </w:p>
    <w:p w:rsidR="00185092" w:rsidRPr="002B2779" w:rsidRDefault="00185092" w:rsidP="002B2779">
      <w:pPr>
        <w:spacing w:after="0" w:line="360" w:lineRule="auto"/>
        <w:jc w:val="both"/>
        <w:rPr>
          <w:rFonts w:ascii="Times New Roman" w:eastAsia="Times New Roman" w:hAnsi="Times New Roman" w:cs="Times New Roman"/>
          <w:b/>
          <w:sz w:val="24"/>
          <w:szCs w:val="24"/>
        </w:rPr>
      </w:pPr>
    </w:p>
    <w:tbl>
      <w:tblPr>
        <w:tblStyle w:val="TableGrid"/>
        <w:tblW w:w="0" w:type="auto"/>
        <w:tblLook w:val="04A0"/>
      </w:tblPr>
      <w:tblGrid>
        <w:gridCol w:w="3222"/>
        <w:gridCol w:w="3222"/>
        <w:gridCol w:w="3222"/>
      </w:tblGrid>
      <w:tr w:rsidR="00691025" w:rsidRPr="002B2779" w:rsidTr="00643096">
        <w:tc>
          <w:tcPr>
            <w:tcW w:w="3222" w:type="dxa"/>
            <w:vMerge w:val="restart"/>
          </w:tcPr>
          <w:p w:rsidR="00691025" w:rsidRPr="002B2779" w:rsidRDefault="00691025" w:rsidP="002B2779">
            <w:pPr>
              <w:spacing w:line="360" w:lineRule="auto"/>
              <w:jc w:val="center"/>
              <w:rPr>
                <w:rFonts w:ascii="Times New Roman" w:hAnsi="Times New Roman" w:cs="Times New Roman"/>
                <w:sz w:val="24"/>
                <w:szCs w:val="24"/>
              </w:rPr>
            </w:pPr>
          </w:p>
          <w:p w:rsidR="00691025" w:rsidRPr="002B2779" w:rsidRDefault="004D71E0" w:rsidP="002B2779">
            <w:pPr>
              <w:spacing w:line="360" w:lineRule="auto"/>
              <w:jc w:val="center"/>
              <w:rPr>
                <w:rFonts w:ascii="Times New Roman" w:hAnsi="Times New Roman" w:cs="Times New Roman"/>
                <w:b/>
                <w:sz w:val="24"/>
                <w:szCs w:val="24"/>
              </w:rPr>
            </w:pPr>
            <w:r w:rsidRPr="002B2779">
              <w:rPr>
                <w:rFonts w:ascii="Times New Roman" w:hAnsi="Times New Roman" w:cs="Times New Roman"/>
                <w:b/>
                <w:sz w:val="24"/>
                <w:szCs w:val="24"/>
              </w:rPr>
              <w:t xml:space="preserve">Net </w:t>
            </w:r>
            <w:r w:rsidR="00691025" w:rsidRPr="002B2779">
              <w:rPr>
                <w:rFonts w:ascii="Times New Roman" w:hAnsi="Times New Roman" w:cs="Times New Roman"/>
                <w:b/>
                <w:sz w:val="24"/>
                <w:szCs w:val="24"/>
              </w:rPr>
              <w:t xml:space="preserve">Profit </w:t>
            </w:r>
            <w:r w:rsidRPr="002B2779">
              <w:rPr>
                <w:rFonts w:ascii="Times New Roman" w:hAnsi="Times New Roman" w:cs="Times New Roman"/>
                <w:b/>
                <w:sz w:val="24"/>
                <w:szCs w:val="24"/>
              </w:rPr>
              <w:t xml:space="preserve">Margin </w:t>
            </w:r>
          </w:p>
        </w:tc>
        <w:tc>
          <w:tcPr>
            <w:tcW w:w="3222" w:type="dxa"/>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2017-2016</w:t>
            </w:r>
          </w:p>
        </w:tc>
        <w:tc>
          <w:tcPr>
            <w:tcW w:w="3222" w:type="dxa"/>
          </w:tcPr>
          <w:p w:rsidR="00691025" w:rsidRPr="002B2779" w:rsidRDefault="00691025"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691025" w:rsidRPr="002B2779" w:rsidTr="00643096">
        <w:tc>
          <w:tcPr>
            <w:tcW w:w="3222" w:type="dxa"/>
            <w:vMerge/>
          </w:tcPr>
          <w:p w:rsidR="00691025" w:rsidRPr="002B2779" w:rsidRDefault="00691025" w:rsidP="002B2779">
            <w:pPr>
              <w:spacing w:line="360" w:lineRule="auto"/>
              <w:rPr>
                <w:rFonts w:ascii="Times New Roman" w:hAnsi="Times New Roman" w:cs="Times New Roman"/>
                <w:sz w:val="24"/>
                <w:szCs w:val="24"/>
              </w:rPr>
            </w:pPr>
          </w:p>
        </w:tc>
        <w:tc>
          <w:tcPr>
            <w:tcW w:w="3222" w:type="dxa"/>
          </w:tcPr>
          <w:p w:rsidR="00691025" w:rsidRPr="002B2779" w:rsidRDefault="004D3638"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19.28</w:t>
            </w:r>
            <w:r w:rsidR="00691025" w:rsidRPr="002B2779">
              <w:rPr>
                <w:rFonts w:ascii="Times New Roman" w:hAnsi="Times New Roman" w:cs="Times New Roman"/>
                <w:sz w:val="24"/>
                <w:szCs w:val="24"/>
              </w:rPr>
              <w:t>% –</w:t>
            </w:r>
            <w:r w:rsidRPr="002B2779">
              <w:rPr>
                <w:rFonts w:ascii="Times New Roman" w:hAnsi="Times New Roman" w:cs="Times New Roman"/>
                <w:sz w:val="24"/>
                <w:szCs w:val="24"/>
              </w:rPr>
              <w:t>20.63</w:t>
            </w:r>
            <w:r w:rsidR="00691025" w:rsidRPr="002B2779">
              <w:rPr>
                <w:rFonts w:ascii="Times New Roman" w:hAnsi="Times New Roman" w:cs="Times New Roman"/>
                <w:sz w:val="24"/>
                <w:szCs w:val="24"/>
              </w:rPr>
              <w:t>%</w:t>
            </w:r>
          </w:p>
        </w:tc>
        <w:tc>
          <w:tcPr>
            <w:tcW w:w="3222" w:type="dxa"/>
          </w:tcPr>
          <w:p w:rsidR="00691025" w:rsidRPr="002B2779" w:rsidRDefault="004D3638"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2.00% to 8.00%</w:t>
            </w:r>
          </w:p>
        </w:tc>
      </w:tr>
      <w:tr w:rsidR="00691025" w:rsidRPr="002B2779" w:rsidTr="00643096">
        <w:tc>
          <w:tcPr>
            <w:tcW w:w="9666" w:type="dxa"/>
            <w:gridSpan w:val="3"/>
          </w:tcPr>
          <w:p w:rsidR="00691025" w:rsidRPr="002B2779" w:rsidRDefault="00691025" w:rsidP="002606D3">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Explanation: Linde’s </w:t>
            </w:r>
            <w:r w:rsidR="004D3638" w:rsidRPr="002B2779">
              <w:rPr>
                <w:rFonts w:ascii="Times New Roman" w:hAnsi="Times New Roman" w:cs="Times New Roman"/>
                <w:sz w:val="24"/>
                <w:szCs w:val="24"/>
              </w:rPr>
              <w:t xml:space="preserve">net </w:t>
            </w:r>
            <w:r w:rsidR="003C26C5" w:rsidRPr="002B2779">
              <w:rPr>
                <w:rFonts w:ascii="Times New Roman" w:hAnsi="Times New Roman" w:cs="Times New Roman"/>
                <w:sz w:val="24"/>
                <w:szCs w:val="24"/>
              </w:rPr>
              <w:t>profit</w:t>
            </w:r>
            <w:r w:rsidR="004D3638" w:rsidRPr="002B2779">
              <w:rPr>
                <w:rFonts w:ascii="Times New Roman" w:hAnsi="Times New Roman" w:cs="Times New Roman"/>
                <w:sz w:val="24"/>
                <w:szCs w:val="24"/>
              </w:rPr>
              <w:t xml:space="preserve"> margin is </w:t>
            </w:r>
            <w:r w:rsidR="003C26C5" w:rsidRPr="002B2779">
              <w:rPr>
                <w:rFonts w:ascii="Times New Roman" w:hAnsi="Times New Roman" w:cs="Times New Roman"/>
                <w:sz w:val="24"/>
                <w:szCs w:val="24"/>
              </w:rPr>
              <w:t>greater</w:t>
            </w:r>
            <w:r w:rsidR="004D3638" w:rsidRPr="002B2779">
              <w:rPr>
                <w:rFonts w:ascii="Times New Roman" w:hAnsi="Times New Roman" w:cs="Times New Roman"/>
                <w:sz w:val="24"/>
                <w:szCs w:val="24"/>
              </w:rPr>
              <w:t xml:space="preserve"> than industry average.</w:t>
            </w:r>
            <w:r w:rsidR="002606D3">
              <w:rPr>
                <w:rFonts w:ascii="Times New Roman" w:hAnsi="Times New Roman" w:cs="Times New Roman"/>
                <w:sz w:val="24"/>
                <w:szCs w:val="24"/>
              </w:rPr>
              <w:t xml:space="preserve"> But </w:t>
            </w:r>
            <w:r w:rsidR="003C26C5">
              <w:rPr>
                <w:rFonts w:ascii="Times New Roman" w:hAnsi="Times New Roman" w:cs="Times New Roman"/>
                <w:sz w:val="24"/>
                <w:szCs w:val="24"/>
              </w:rPr>
              <w:t>higher</w:t>
            </w:r>
            <w:r w:rsidR="002606D3">
              <w:rPr>
                <w:rFonts w:ascii="Times New Roman" w:hAnsi="Times New Roman" w:cs="Times New Roman"/>
                <w:sz w:val="24"/>
                <w:szCs w:val="24"/>
              </w:rPr>
              <w:t xml:space="preserve"> is better so linde’s net profit margin is in better condition.</w:t>
            </w:r>
          </w:p>
        </w:tc>
      </w:tr>
    </w:tbl>
    <w:p w:rsidR="00A379A7" w:rsidRPr="002B2779" w:rsidRDefault="00A379A7" w:rsidP="002B2779">
      <w:pPr>
        <w:spacing w:after="0" w:line="360" w:lineRule="auto"/>
        <w:ind w:right="20"/>
        <w:jc w:val="both"/>
        <w:rPr>
          <w:rFonts w:ascii="Times New Roman" w:hAnsi="Times New Roman" w:cs="Times New Roman"/>
          <w:b/>
          <w:color w:val="0033CC"/>
          <w:sz w:val="24"/>
          <w:szCs w:val="24"/>
        </w:rPr>
      </w:pPr>
    </w:p>
    <w:tbl>
      <w:tblPr>
        <w:tblStyle w:val="TableGrid"/>
        <w:tblW w:w="0" w:type="auto"/>
        <w:tblLook w:val="04A0"/>
      </w:tblPr>
      <w:tblGrid>
        <w:gridCol w:w="3222"/>
        <w:gridCol w:w="3222"/>
        <w:gridCol w:w="3222"/>
      </w:tblGrid>
      <w:tr w:rsidR="002B2779" w:rsidRPr="002B2779" w:rsidTr="00643096">
        <w:tc>
          <w:tcPr>
            <w:tcW w:w="3222" w:type="dxa"/>
            <w:vMerge w:val="restart"/>
          </w:tcPr>
          <w:p w:rsidR="002B2779" w:rsidRDefault="002B2779" w:rsidP="002B2779">
            <w:pPr>
              <w:spacing w:line="360" w:lineRule="auto"/>
              <w:jc w:val="center"/>
              <w:rPr>
                <w:rFonts w:ascii="Times New Roman" w:hAnsi="Times New Roman" w:cs="Times New Roman"/>
                <w:b/>
                <w:sz w:val="24"/>
                <w:szCs w:val="24"/>
              </w:rPr>
            </w:pPr>
          </w:p>
          <w:p w:rsidR="002B2779" w:rsidRPr="002B2779" w:rsidRDefault="002B2779" w:rsidP="002B2779">
            <w:pPr>
              <w:spacing w:line="360" w:lineRule="auto"/>
              <w:jc w:val="center"/>
              <w:rPr>
                <w:rFonts w:ascii="Times New Roman" w:hAnsi="Times New Roman" w:cs="Times New Roman"/>
                <w:b/>
                <w:sz w:val="24"/>
                <w:szCs w:val="24"/>
              </w:rPr>
            </w:pPr>
            <w:r w:rsidRPr="002B2779">
              <w:rPr>
                <w:rFonts w:ascii="Times New Roman" w:hAnsi="Times New Roman" w:cs="Times New Roman"/>
                <w:b/>
                <w:sz w:val="24"/>
                <w:szCs w:val="24"/>
              </w:rPr>
              <w:t>Return on Equity</w:t>
            </w:r>
          </w:p>
        </w:tc>
        <w:tc>
          <w:tcPr>
            <w:tcW w:w="3222" w:type="dxa"/>
          </w:tcPr>
          <w:p w:rsidR="002B2779" w:rsidRPr="002B2779" w:rsidRDefault="002B2779"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2017-2016</w:t>
            </w:r>
          </w:p>
        </w:tc>
        <w:tc>
          <w:tcPr>
            <w:tcW w:w="3222" w:type="dxa"/>
          </w:tcPr>
          <w:p w:rsidR="002B2779" w:rsidRPr="002B2779" w:rsidRDefault="002B2779" w:rsidP="002B2779">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2B2779" w:rsidRPr="002B2779" w:rsidTr="00643096">
        <w:tc>
          <w:tcPr>
            <w:tcW w:w="3222" w:type="dxa"/>
            <w:vMerge/>
          </w:tcPr>
          <w:p w:rsidR="002B2779" w:rsidRPr="002B2779" w:rsidRDefault="002B2779" w:rsidP="002B2779">
            <w:pPr>
              <w:spacing w:line="360" w:lineRule="auto"/>
              <w:rPr>
                <w:rFonts w:ascii="Times New Roman" w:hAnsi="Times New Roman" w:cs="Times New Roman"/>
                <w:sz w:val="24"/>
                <w:szCs w:val="24"/>
              </w:rPr>
            </w:pPr>
          </w:p>
        </w:tc>
        <w:tc>
          <w:tcPr>
            <w:tcW w:w="3222" w:type="dxa"/>
          </w:tcPr>
          <w:p w:rsidR="002B2779" w:rsidRPr="002B2779" w:rsidRDefault="002B2779" w:rsidP="002B2779">
            <w:pPr>
              <w:spacing w:line="360" w:lineRule="auto"/>
              <w:rPr>
                <w:rFonts w:ascii="Times New Roman" w:hAnsi="Times New Roman" w:cs="Times New Roman"/>
                <w:sz w:val="24"/>
                <w:szCs w:val="24"/>
              </w:rPr>
            </w:pPr>
            <w:r>
              <w:rPr>
                <w:rFonts w:ascii="Times New Roman" w:hAnsi="Times New Roman" w:cs="Times New Roman"/>
                <w:sz w:val="24"/>
                <w:szCs w:val="24"/>
              </w:rPr>
              <w:t>25.92</w:t>
            </w:r>
            <w:r w:rsidRPr="002B2779">
              <w:rPr>
                <w:rFonts w:ascii="Times New Roman" w:hAnsi="Times New Roman" w:cs="Times New Roman"/>
                <w:sz w:val="24"/>
                <w:szCs w:val="24"/>
              </w:rPr>
              <w:t>% –</w:t>
            </w:r>
            <w:r>
              <w:rPr>
                <w:rFonts w:ascii="Times New Roman" w:hAnsi="Times New Roman" w:cs="Times New Roman"/>
                <w:sz w:val="24"/>
                <w:szCs w:val="24"/>
              </w:rPr>
              <w:t>27.66</w:t>
            </w:r>
            <w:r w:rsidRPr="002B2779">
              <w:rPr>
                <w:rFonts w:ascii="Times New Roman" w:hAnsi="Times New Roman" w:cs="Times New Roman"/>
                <w:sz w:val="24"/>
                <w:szCs w:val="24"/>
              </w:rPr>
              <w:t>%</w:t>
            </w:r>
          </w:p>
        </w:tc>
        <w:tc>
          <w:tcPr>
            <w:tcW w:w="3222" w:type="dxa"/>
          </w:tcPr>
          <w:p w:rsidR="002B2779" w:rsidRPr="002B2779" w:rsidRDefault="002B2779" w:rsidP="002B2779">
            <w:pPr>
              <w:spacing w:line="360" w:lineRule="auto"/>
              <w:rPr>
                <w:rFonts w:ascii="Times New Roman" w:hAnsi="Times New Roman" w:cs="Times New Roman"/>
                <w:sz w:val="24"/>
                <w:szCs w:val="24"/>
              </w:rPr>
            </w:pPr>
            <w:r>
              <w:rPr>
                <w:rFonts w:ascii="Times New Roman" w:hAnsi="Times New Roman" w:cs="Times New Roman"/>
                <w:sz w:val="24"/>
                <w:szCs w:val="24"/>
              </w:rPr>
              <w:t>5.00% to 15</w:t>
            </w:r>
            <w:r w:rsidRPr="002B2779">
              <w:rPr>
                <w:rFonts w:ascii="Times New Roman" w:hAnsi="Times New Roman" w:cs="Times New Roman"/>
                <w:sz w:val="24"/>
                <w:szCs w:val="24"/>
              </w:rPr>
              <w:t>.00%</w:t>
            </w:r>
          </w:p>
        </w:tc>
      </w:tr>
      <w:tr w:rsidR="002B2779" w:rsidRPr="002B2779" w:rsidTr="00643096">
        <w:tc>
          <w:tcPr>
            <w:tcW w:w="9666" w:type="dxa"/>
            <w:gridSpan w:val="3"/>
          </w:tcPr>
          <w:p w:rsidR="002B2779" w:rsidRPr="002B2779" w:rsidRDefault="002B2779" w:rsidP="003C26C5">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Explanation: Linde’s </w:t>
            </w:r>
            <w:r w:rsidR="001E6DB1">
              <w:rPr>
                <w:rFonts w:ascii="Times New Roman" w:hAnsi="Times New Roman" w:cs="Times New Roman"/>
                <w:sz w:val="24"/>
                <w:szCs w:val="24"/>
              </w:rPr>
              <w:t xml:space="preserve">ROE is </w:t>
            </w:r>
            <w:r w:rsidR="003C26C5">
              <w:rPr>
                <w:rFonts w:ascii="Times New Roman" w:hAnsi="Times New Roman" w:cs="Times New Roman"/>
                <w:sz w:val="24"/>
                <w:szCs w:val="24"/>
              </w:rPr>
              <w:t xml:space="preserve">greater </w:t>
            </w:r>
            <w:r w:rsidRPr="002B2779">
              <w:rPr>
                <w:rFonts w:ascii="Times New Roman" w:hAnsi="Times New Roman" w:cs="Times New Roman"/>
                <w:sz w:val="24"/>
                <w:szCs w:val="24"/>
              </w:rPr>
              <w:t>than industry average.</w:t>
            </w:r>
            <w:r w:rsidR="002606D3">
              <w:rPr>
                <w:rFonts w:ascii="Times New Roman" w:hAnsi="Times New Roman" w:cs="Times New Roman"/>
                <w:sz w:val="24"/>
                <w:szCs w:val="24"/>
              </w:rPr>
              <w:t xml:space="preserve"> But </w:t>
            </w:r>
            <w:r w:rsidR="003C26C5">
              <w:rPr>
                <w:rFonts w:ascii="Times New Roman" w:hAnsi="Times New Roman" w:cs="Times New Roman"/>
                <w:sz w:val="24"/>
                <w:szCs w:val="24"/>
              </w:rPr>
              <w:t>higher</w:t>
            </w:r>
            <w:r w:rsidR="002606D3">
              <w:rPr>
                <w:rFonts w:ascii="Times New Roman" w:hAnsi="Times New Roman" w:cs="Times New Roman"/>
                <w:sz w:val="24"/>
                <w:szCs w:val="24"/>
              </w:rPr>
              <w:t xml:space="preserve"> is better so linde’s ROE</w:t>
            </w:r>
            <w:r w:rsidR="00C43E2A">
              <w:rPr>
                <w:rFonts w:ascii="Times New Roman" w:hAnsi="Times New Roman" w:cs="Times New Roman"/>
                <w:sz w:val="24"/>
                <w:szCs w:val="24"/>
              </w:rPr>
              <w:t xml:space="preserve"> is </w:t>
            </w:r>
            <w:r w:rsidR="002606D3">
              <w:rPr>
                <w:rFonts w:ascii="Times New Roman" w:hAnsi="Times New Roman" w:cs="Times New Roman"/>
                <w:sz w:val="24"/>
                <w:szCs w:val="24"/>
              </w:rPr>
              <w:t xml:space="preserve"> in better condition.</w:t>
            </w:r>
          </w:p>
        </w:tc>
      </w:tr>
    </w:tbl>
    <w:p w:rsidR="00A379A7" w:rsidRPr="002B2779" w:rsidRDefault="00A379A7" w:rsidP="002B2779">
      <w:pPr>
        <w:spacing w:after="0" w:line="360" w:lineRule="auto"/>
        <w:ind w:right="20"/>
        <w:jc w:val="both"/>
        <w:rPr>
          <w:rFonts w:ascii="Times New Roman" w:hAnsi="Times New Roman" w:cs="Times New Roman"/>
          <w:b/>
          <w:color w:val="0033CC"/>
          <w:sz w:val="24"/>
          <w:szCs w:val="24"/>
        </w:rPr>
      </w:pPr>
    </w:p>
    <w:tbl>
      <w:tblPr>
        <w:tblStyle w:val="TableGrid"/>
        <w:tblW w:w="0" w:type="auto"/>
        <w:tblLook w:val="04A0"/>
      </w:tblPr>
      <w:tblGrid>
        <w:gridCol w:w="3222"/>
        <w:gridCol w:w="3222"/>
        <w:gridCol w:w="3222"/>
      </w:tblGrid>
      <w:tr w:rsidR="003C26C5" w:rsidRPr="002B2779" w:rsidTr="00643096">
        <w:tc>
          <w:tcPr>
            <w:tcW w:w="3222" w:type="dxa"/>
            <w:vMerge w:val="restart"/>
          </w:tcPr>
          <w:p w:rsidR="003C26C5" w:rsidRDefault="003C26C5" w:rsidP="00643096">
            <w:pPr>
              <w:spacing w:line="360" w:lineRule="auto"/>
              <w:jc w:val="center"/>
              <w:rPr>
                <w:rFonts w:ascii="Times New Roman" w:hAnsi="Times New Roman" w:cs="Times New Roman"/>
                <w:b/>
                <w:sz w:val="24"/>
                <w:szCs w:val="24"/>
              </w:rPr>
            </w:pPr>
          </w:p>
          <w:p w:rsidR="003C26C5" w:rsidRPr="002B2779" w:rsidRDefault="003C26C5" w:rsidP="0064309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Return on Asset</w:t>
            </w:r>
          </w:p>
        </w:tc>
        <w:tc>
          <w:tcPr>
            <w:tcW w:w="3222" w:type="dxa"/>
          </w:tcPr>
          <w:p w:rsidR="003C26C5" w:rsidRPr="002B2779" w:rsidRDefault="003C26C5" w:rsidP="00643096">
            <w:pPr>
              <w:spacing w:line="360" w:lineRule="auto"/>
              <w:rPr>
                <w:rFonts w:ascii="Times New Roman" w:hAnsi="Times New Roman" w:cs="Times New Roman"/>
                <w:sz w:val="24"/>
                <w:szCs w:val="24"/>
              </w:rPr>
            </w:pPr>
            <w:r w:rsidRPr="002B2779">
              <w:rPr>
                <w:rFonts w:ascii="Times New Roman" w:hAnsi="Times New Roman" w:cs="Times New Roman"/>
                <w:sz w:val="24"/>
                <w:szCs w:val="24"/>
              </w:rPr>
              <w:t>2017-2016</w:t>
            </w:r>
          </w:p>
        </w:tc>
        <w:tc>
          <w:tcPr>
            <w:tcW w:w="3222" w:type="dxa"/>
          </w:tcPr>
          <w:p w:rsidR="003C26C5" w:rsidRPr="002B2779" w:rsidRDefault="003C26C5" w:rsidP="00643096">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3C26C5" w:rsidRPr="002B2779" w:rsidTr="00643096">
        <w:tc>
          <w:tcPr>
            <w:tcW w:w="3222" w:type="dxa"/>
            <w:vMerge/>
          </w:tcPr>
          <w:p w:rsidR="003C26C5" w:rsidRPr="002B2779" w:rsidRDefault="003C26C5" w:rsidP="00643096">
            <w:pPr>
              <w:spacing w:line="360" w:lineRule="auto"/>
              <w:rPr>
                <w:rFonts w:ascii="Times New Roman" w:hAnsi="Times New Roman" w:cs="Times New Roman"/>
                <w:sz w:val="24"/>
                <w:szCs w:val="24"/>
              </w:rPr>
            </w:pPr>
          </w:p>
        </w:tc>
        <w:tc>
          <w:tcPr>
            <w:tcW w:w="3222" w:type="dxa"/>
          </w:tcPr>
          <w:p w:rsidR="003C26C5" w:rsidRPr="002B2779" w:rsidRDefault="003C26C5" w:rsidP="003C26C5">
            <w:pPr>
              <w:spacing w:line="360" w:lineRule="auto"/>
              <w:rPr>
                <w:rFonts w:ascii="Times New Roman" w:hAnsi="Times New Roman" w:cs="Times New Roman"/>
                <w:sz w:val="24"/>
                <w:szCs w:val="24"/>
              </w:rPr>
            </w:pPr>
            <w:r>
              <w:rPr>
                <w:rFonts w:ascii="Times New Roman" w:hAnsi="Times New Roman" w:cs="Times New Roman"/>
                <w:sz w:val="24"/>
                <w:szCs w:val="24"/>
              </w:rPr>
              <w:t>16.02</w:t>
            </w:r>
            <w:r w:rsidRPr="002B2779">
              <w:rPr>
                <w:rFonts w:ascii="Times New Roman" w:hAnsi="Times New Roman" w:cs="Times New Roman"/>
                <w:sz w:val="24"/>
                <w:szCs w:val="24"/>
              </w:rPr>
              <w:t>% –</w:t>
            </w:r>
            <w:r>
              <w:rPr>
                <w:rFonts w:ascii="Times New Roman" w:hAnsi="Times New Roman" w:cs="Times New Roman"/>
                <w:sz w:val="24"/>
                <w:szCs w:val="24"/>
              </w:rPr>
              <w:t>16.08</w:t>
            </w:r>
            <w:r w:rsidRPr="002B2779">
              <w:rPr>
                <w:rFonts w:ascii="Times New Roman" w:hAnsi="Times New Roman" w:cs="Times New Roman"/>
                <w:sz w:val="24"/>
                <w:szCs w:val="24"/>
              </w:rPr>
              <w:t>%</w:t>
            </w:r>
          </w:p>
        </w:tc>
        <w:tc>
          <w:tcPr>
            <w:tcW w:w="3222" w:type="dxa"/>
          </w:tcPr>
          <w:p w:rsidR="003C26C5" w:rsidRPr="002B2779" w:rsidRDefault="003C26C5" w:rsidP="003C26C5">
            <w:pPr>
              <w:spacing w:line="360" w:lineRule="auto"/>
              <w:rPr>
                <w:rFonts w:ascii="Times New Roman" w:hAnsi="Times New Roman" w:cs="Times New Roman"/>
                <w:sz w:val="24"/>
                <w:szCs w:val="24"/>
              </w:rPr>
            </w:pPr>
            <w:r>
              <w:rPr>
                <w:rFonts w:ascii="Times New Roman" w:hAnsi="Times New Roman" w:cs="Times New Roman"/>
                <w:sz w:val="24"/>
                <w:szCs w:val="24"/>
              </w:rPr>
              <w:t>4.00%  to 9</w:t>
            </w:r>
            <w:r w:rsidRPr="002B2779">
              <w:rPr>
                <w:rFonts w:ascii="Times New Roman" w:hAnsi="Times New Roman" w:cs="Times New Roman"/>
                <w:sz w:val="24"/>
                <w:szCs w:val="24"/>
              </w:rPr>
              <w:t>.00%</w:t>
            </w:r>
          </w:p>
        </w:tc>
      </w:tr>
      <w:tr w:rsidR="003C26C5" w:rsidRPr="002B2779" w:rsidTr="00643096">
        <w:tc>
          <w:tcPr>
            <w:tcW w:w="9666" w:type="dxa"/>
            <w:gridSpan w:val="3"/>
          </w:tcPr>
          <w:p w:rsidR="003C26C5" w:rsidRPr="002B2779" w:rsidRDefault="003C26C5" w:rsidP="003C26C5">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Explanation: Linde’s </w:t>
            </w:r>
            <w:r>
              <w:rPr>
                <w:rFonts w:ascii="Times New Roman" w:hAnsi="Times New Roman" w:cs="Times New Roman"/>
                <w:sz w:val="24"/>
                <w:szCs w:val="24"/>
              </w:rPr>
              <w:t>ROA is Higher</w:t>
            </w:r>
            <w:r w:rsidRPr="002B2779">
              <w:rPr>
                <w:rFonts w:ascii="Times New Roman" w:hAnsi="Times New Roman" w:cs="Times New Roman"/>
                <w:sz w:val="24"/>
                <w:szCs w:val="24"/>
              </w:rPr>
              <w:t xml:space="preserve"> than industry average.</w:t>
            </w:r>
            <w:r>
              <w:rPr>
                <w:rFonts w:ascii="Times New Roman" w:hAnsi="Times New Roman" w:cs="Times New Roman"/>
                <w:sz w:val="24"/>
                <w:szCs w:val="24"/>
              </w:rPr>
              <w:t xml:space="preserve"> But higher is better so linde’s ROA </w:t>
            </w:r>
            <w:r w:rsidR="00D85831">
              <w:rPr>
                <w:rFonts w:ascii="Times New Roman" w:hAnsi="Times New Roman" w:cs="Times New Roman"/>
                <w:sz w:val="24"/>
                <w:szCs w:val="24"/>
              </w:rPr>
              <w:t>is in</w:t>
            </w:r>
            <w:r>
              <w:rPr>
                <w:rFonts w:ascii="Times New Roman" w:hAnsi="Times New Roman" w:cs="Times New Roman"/>
                <w:sz w:val="24"/>
                <w:szCs w:val="24"/>
              </w:rPr>
              <w:t xml:space="preserve"> better condition.</w:t>
            </w:r>
          </w:p>
        </w:tc>
      </w:tr>
    </w:tbl>
    <w:p w:rsidR="00A379A7" w:rsidRPr="002B2779" w:rsidRDefault="00A379A7" w:rsidP="002B2779">
      <w:pPr>
        <w:spacing w:after="0" w:line="360" w:lineRule="auto"/>
        <w:ind w:right="20"/>
        <w:jc w:val="both"/>
        <w:rPr>
          <w:rFonts w:ascii="Times New Roman" w:hAnsi="Times New Roman" w:cs="Times New Roman"/>
          <w:b/>
          <w:color w:val="0033CC"/>
          <w:sz w:val="24"/>
          <w:szCs w:val="24"/>
        </w:rPr>
      </w:pPr>
    </w:p>
    <w:tbl>
      <w:tblPr>
        <w:tblStyle w:val="TableGrid"/>
        <w:tblW w:w="0" w:type="auto"/>
        <w:tblLook w:val="04A0"/>
      </w:tblPr>
      <w:tblGrid>
        <w:gridCol w:w="3222"/>
        <w:gridCol w:w="3222"/>
        <w:gridCol w:w="3222"/>
      </w:tblGrid>
      <w:tr w:rsidR="00185092" w:rsidRPr="002B2779" w:rsidTr="00643096">
        <w:tc>
          <w:tcPr>
            <w:tcW w:w="3222" w:type="dxa"/>
            <w:vMerge w:val="restart"/>
          </w:tcPr>
          <w:p w:rsidR="00185092" w:rsidRDefault="00185092" w:rsidP="00643096">
            <w:pPr>
              <w:spacing w:line="360" w:lineRule="auto"/>
              <w:jc w:val="center"/>
              <w:rPr>
                <w:rFonts w:ascii="Times New Roman" w:hAnsi="Times New Roman" w:cs="Times New Roman"/>
                <w:b/>
                <w:sz w:val="24"/>
                <w:szCs w:val="24"/>
              </w:rPr>
            </w:pPr>
          </w:p>
          <w:p w:rsidR="00185092" w:rsidRPr="002B2779" w:rsidRDefault="00185092" w:rsidP="0064309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Debt to equity ratio</w:t>
            </w:r>
          </w:p>
        </w:tc>
        <w:tc>
          <w:tcPr>
            <w:tcW w:w="3222" w:type="dxa"/>
          </w:tcPr>
          <w:p w:rsidR="00185092" w:rsidRPr="002B2779" w:rsidRDefault="00185092" w:rsidP="00643096">
            <w:pPr>
              <w:spacing w:line="360" w:lineRule="auto"/>
              <w:rPr>
                <w:rFonts w:ascii="Times New Roman" w:hAnsi="Times New Roman" w:cs="Times New Roman"/>
                <w:sz w:val="24"/>
                <w:szCs w:val="24"/>
              </w:rPr>
            </w:pPr>
            <w:r w:rsidRPr="002B2779">
              <w:rPr>
                <w:rFonts w:ascii="Times New Roman" w:hAnsi="Times New Roman" w:cs="Times New Roman"/>
                <w:sz w:val="24"/>
                <w:szCs w:val="24"/>
              </w:rPr>
              <w:t>2017-2016</w:t>
            </w:r>
          </w:p>
        </w:tc>
        <w:tc>
          <w:tcPr>
            <w:tcW w:w="3222" w:type="dxa"/>
          </w:tcPr>
          <w:p w:rsidR="00185092" w:rsidRPr="002B2779" w:rsidRDefault="00185092" w:rsidP="00643096">
            <w:pPr>
              <w:spacing w:line="360" w:lineRule="auto"/>
              <w:rPr>
                <w:rFonts w:ascii="Times New Roman" w:hAnsi="Times New Roman" w:cs="Times New Roman"/>
                <w:sz w:val="24"/>
                <w:szCs w:val="24"/>
              </w:rPr>
            </w:pPr>
            <w:r w:rsidRPr="002B2779">
              <w:rPr>
                <w:rFonts w:ascii="Times New Roman" w:hAnsi="Times New Roman" w:cs="Times New Roman"/>
                <w:sz w:val="24"/>
                <w:szCs w:val="24"/>
              </w:rPr>
              <w:t>Industry Average</w:t>
            </w:r>
          </w:p>
        </w:tc>
      </w:tr>
      <w:tr w:rsidR="00185092" w:rsidRPr="002B2779" w:rsidTr="00643096">
        <w:tc>
          <w:tcPr>
            <w:tcW w:w="3222" w:type="dxa"/>
            <w:vMerge/>
          </w:tcPr>
          <w:p w:rsidR="00185092" w:rsidRPr="002B2779" w:rsidRDefault="00185092" w:rsidP="00643096">
            <w:pPr>
              <w:spacing w:line="360" w:lineRule="auto"/>
              <w:rPr>
                <w:rFonts w:ascii="Times New Roman" w:hAnsi="Times New Roman" w:cs="Times New Roman"/>
                <w:sz w:val="24"/>
                <w:szCs w:val="24"/>
              </w:rPr>
            </w:pPr>
          </w:p>
        </w:tc>
        <w:tc>
          <w:tcPr>
            <w:tcW w:w="3222" w:type="dxa"/>
          </w:tcPr>
          <w:p w:rsidR="00185092" w:rsidRPr="002B2779" w:rsidRDefault="00185092" w:rsidP="00643096">
            <w:pPr>
              <w:spacing w:line="360" w:lineRule="auto"/>
              <w:rPr>
                <w:rFonts w:ascii="Times New Roman" w:hAnsi="Times New Roman" w:cs="Times New Roman"/>
                <w:sz w:val="24"/>
                <w:szCs w:val="24"/>
              </w:rPr>
            </w:pPr>
            <w:r>
              <w:rPr>
                <w:rFonts w:ascii="Times New Roman" w:hAnsi="Times New Roman" w:cs="Times New Roman"/>
                <w:sz w:val="24"/>
                <w:szCs w:val="24"/>
              </w:rPr>
              <w:t>.61 - .72</w:t>
            </w:r>
          </w:p>
        </w:tc>
        <w:tc>
          <w:tcPr>
            <w:tcW w:w="3222" w:type="dxa"/>
          </w:tcPr>
          <w:p w:rsidR="00185092" w:rsidRPr="002B2779" w:rsidRDefault="00185092" w:rsidP="00185092">
            <w:pPr>
              <w:spacing w:line="360" w:lineRule="auto"/>
              <w:rPr>
                <w:rFonts w:ascii="Times New Roman" w:hAnsi="Times New Roman" w:cs="Times New Roman"/>
                <w:sz w:val="24"/>
                <w:szCs w:val="24"/>
              </w:rPr>
            </w:pPr>
            <w:r>
              <w:rPr>
                <w:rFonts w:ascii="Times New Roman" w:hAnsi="Times New Roman" w:cs="Times New Roman"/>
                <w:sz w:val="24"/>
                <w:szCs w:val="24"/>
              </w:rPr>
              <w:t>1.00 to 3.00</w:t>
            </w:r>
          </w:p>
        </w:tc>
      </w:tr>
      <w:tr w:rsidR="00185092" w:rsidRPr="002B2779" w:rsidTr="00643096">
        <w:tc>
          <w:tcPr>
            <w:tcW w:w="9666" w:type="dxa"/>
            <w:gridSpan w:val="3"/>
          </w:tcPr>
          <w:p w:rsidR="00185092" w:rsidRPr="002B2779" w:rsidRDefault="00185092" w:rsidP="00185092">
            <w:pPr>
              <w:spacing w:line="360" w:lineRule="auto"/>
              <w:rPr>
                <w:rFonts w:ascii="Times New Roman" w:hAnsi="Times New Roman" w:cs="Times New Roman"/>
                <w:sz w:val="24"/>
                <w:szCs w:val="24"/>
              </w:rPr>
            </w:pPr>
            <w:r w:rsidRPr="002B2779">
              <w:rPr>
                <w:rFonts w:ascii="Times New Roman" w:hAnsi="Times New Roman" w:cs="Times New Roman"/>
                <w:sz w:val="24"/>
                <w:szCs w:val="24"/>
              </w:rPr>
              <w:t xml:space="preserve">Explanation: Linde’s </w:t>
            </w:r>
            <w:r>
              <w:rPr>
                <w:rFonts w:ascii="Times New Roman" w:hAnsi="Times New Roman" w:cs="Times New Roman"/>
                <w:sz w:val="24"/>
                <w:szCs w:val="24"/>
              </w:rPr>
              <w:t xml:space="preserve">debt to equity ratio is lower </w:t>
            </w:r>
            <w:r w:rsidRPr="002B2779">
              <w:rPr>
                <w:rFonts w:ascii="Times New Roman" w:hAnsi="Times New Roman" w:cs="Times New Roman"/>
                <w:sz w:val="24"/>
                <w:szCs w:val="24"/>
              </w:rPr>
              <w:t>than industry average.</w:t>
            </w:r>
            <w:r>
              <w:rPr>
                <w:rFonts w:ascii="Times New Roman" w:hAnsi="Times New Roman" w:cs="Times New Roman"/>
                <w:sz w:val="24"/>
                <w:szCs w:val="24"/>
              </w:rPr>
              <w:t xml:space="preserve"> Creditor might prefer this but investor prefer higher ratio.</w:t>
            </w:r>
          </w:p>
        </w:tc>
      </w:tr>
    </w:tbl>
    <w:p w:rsidR="00A379A7" w:rsidRDefault="00A379A7" w:rsidP="002B2779">
      <w:pPr>
        <w:spacing w:after="0" w:line="360" w:lineRule="auto"/>
        <w:ind w:right="20"/>
        <w:jc w:val="both"/>
        <w:rPr>
          <w:rFonts w:ascii="Times New Roman" w:hAnsi="Times New Roman" w:cs="Times New Roman"/>
          <w:b/>
          <w:color w:val="0033CC"/>
          <w:sz w:val="24"/>
          <w:szCs w:val="24"/>
        </w:rPr>
      </w:pPr>
    </w:p>
    <w:p w:rsidR="00D85831" w:rsidRPr="002B2779" w:rsidRDefault="00D85831" w:rsidP="002B2779">
      <w:pPr>
        <w:spacing w:after="0" w:line="360" w:lineRule="auto"/>
        <w:ind w:right="20"/>
        <w:jc w:val="both"/>
        <w:rPr>
          <w:rFonts w:ascii="Times New Roman" w:hAnsi="Times New Roman" w:cs="Times New Roman"/>
          <w:b/>
          <w:color w:val="0033CC"/>
          <w:sz w:val="24"/>
          <w:szCs w:val="24"/>
        </w:rPr>
      </w:pPr>
      <w:r w:rsidRPr="00D85831">
        <w:rPr>
          <w:rFonts w:ascii="Times New Roman" w:hAnsi="Times New Roman" w:cs="Times New Roman"/>
          <w:color w:val="000000" w:themeColor="text1"/>
          <w:sz w:val="24"/>
          <w:szCs w:val="24"/>
        </w:rPr>
        <w:t xml:space="preserve">This result may not be100% correct because of not getting enough information and not having enough skill to do </w:t>
      </w:r>
      <w:r w:rsidR="002423A8" w:rsidRPr="00D85831">
        <w:rPr>
          <w:rFonts w:ascii="Times New Roman" w:hAnsi="Times New Roman" w:cs="Times New Roman"/>
          <w:color w:val="000000" w:themeColor="text1"/>
          <w:sz w:val="24"/>
          <w:szCs w:val="24"/>
        </w:rPr>
        <w:t>analyze</w:t>
      </w:r>
      <w:r w:rsidRPr="00D85831">
        <w:rPr>
          <w:rFonts w:ascii="Times New Roman" w:hAnsi="Times New Roman" w:cs="Times New Roman"/>
          <w:color w:val="000000" w:themeColor="text1"/>
          <w:sz w:val="24"/>
          <w:szCs w:val="24"/>
        </w:rPr>
        <w:t xml:space="preserve"> performance of a company</w:t>
      </w:r>
      <w:r>
        <w:rPr>
          <w:rFonts w:ascii="Times New Roman" w:hAnsi="Times New Roman" w:cs="Times New Roman"/>
          <w:b/>
          <w:color w:val="0033CC"/>
          <w:sz w:val="24"/>
          <w:szCs w:val="24"/>
        </w:rPr>
        <w:t>.</w:t>
      </w: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Pr="004358AD" w:rsidRDefault="004358AD" w:rsidP="004358AD">
      <w:pPr>
        <w:pStyle w:val="Heading1"/>
        <w:rPr>
          <w:b/>
        </w:rPr>
      </w:pPr>
      <w:bookmarkStart w:id="41" w:name="_Toc527816492"/>
      <w:r w:rsidRPr="004358AD">
        <w:rPr>
          <w:b/>
        </w:rPr>
        <w:lastRenderedPageBreak/>
        <w:t>Conclusion</w:t>
      </w:r>
      <w:r>
        <w:rPr>
          <w:b/>
        </w:rPr>
        <w:t>:</w:t>
      </w:r>
      <w:bookmarkEnd w:id="41"/>
    </w:p>
    <w:p w:rsidR="00A379A7" w:rsidRDefault="00A379A7">
      <w:pPr>
        <w:spacing w:after="0" w:line="240" w:lineRule="auto"/>
        <w:ind w:right="20"/>
        <w:jc w:val="both"/>
        <w:rPr>
          <w:rFonts w:ascii="Times New Roman" w:hAnsi="Times New Roman"/>
          <w:b/>
          <w:color w:val="0033CC"/>
          <w:sz w:val="32"/>
          <w:szCs w:val="32"/>
        </w:rPr>
      </w:pPr>
    </w:p>
    <w:p w:rsidR="00A379A7" w:rsidRPr="00D85831" w:rsidRDefault="00D85831" w:rsidP="00D85831">
      <w:pPr>
        <w:spacing w:after="0" w:line="360" w:lineRule="auto"/>
        <w:ind w:right="20"/>
        <w:jc w:val="both"/>
        <w:rPr>
          <w:rFonts w:ascii="Times New Roman" w:hAnsi="Times New Roman"/>
          <w:color w:val="000000" w:themeColor="text1"/>
          <w:sz w:val="24"/>
          <w:szCs w:val="24"/>
        </w:rPr>
      </w:pPr>
      <w:r w:rsidRPr="00D85831">
        <w:rPr>
          <w:rFonts w:ascii="Times New Roman" w:hAnsi="Times New Roman"/>
          <w:color w:val="000000" w:themeColor="text1"/>
          <w:sz w:val="24"/>
          <w:szCs w:val="24"/>
        </w:rPr>
        <w:t xml:space="preserve">Performance analysis </w:t>
      </w:r>
      <w:r>
        <w:rPr>
          <w:rFonts w:ascii="Times New Roman" w:hAnsi="Times New Roman"/>
          <w:color w:val="000000" w:themeColor="text1"/>
          <w:sz w:val="24"/>
          <w:szCs w:val="24"/>
        </w:rPr>
        <w:t>is a huge term, performance analysis consists so many calculations, observations, knowledge and skill. And for company like Linde Bangladesh doing performance analysis is a very tough and complex task. Linde’s most of the performance is up to the mark. In 2016 to 2017 Linde’s performance was good enough but company should try to cover up their drawbacks. And as their key concern to serve customer so they can improve their service more and they can keep exploring more new ideas.</w:t>
      </w: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ind w:right="20"/>
        <w:jc w:val="both"/>
        <w:rPr>
          <w:rFonts w:ascii="Times New Roman" w:hAnsi="Times New Roman"/>
          <w:b/>
          <w:color w:val="0033CC"/>
          <w:sz w:val="32"/>
          <w:szCs w:val="32"/>
        </w:rPr>
      </w:pPr>
    </w:p>
    <w:p w:rsidR="00A379A7" w:rsidRDefault="00A379A7">
      <w:pPr>
        <w:spacing w:after="0" w:line="240" w:lineRule="auto"/>
        <w:jc w:val="both"/>
        <w:rPr>
          <w:rFonts w:ascii="Times New Roman" w:hAnsi="Times New Roman"/>
          <w:b/>
          <w:color w:val="0033CC"/>
          <w:sz w:val="24"/>
        </w:rPr>
      </w:pPr>
    </w:p>
    <w:p w:rsidR="00A379A7" w:rsidRDefault="00A379A7">
      <w:pPr>
        <w:spacing w:after="0" w:line="240" w:lineRule="auto"/>
        <w:jc w:val="both"/>
        <w:rPr>
          <w:rFonts w:ascii="Times New Roman" w:hAnsi="Times New Roman"/>
          <w:b/>
          <w:color w:val="0033CC"/>
          <w:sz w:val="28"/>
          <w:szCs w:val="28"/>
          <w:u w:val="single"/>
        </w:rPr>
      </w:pPr>
    </w:p>
    <w:p w:rsidR="00A379A7" w:rsidRDefault="00A379A7">
      <w:pPr>
        <w:tabs>
          <w:tab w:val="left" w:pos="600"/>
          <w:tab w:val="left" w:pos="720"/>
        </w:tabs>
        <w:spacing w:after="0" w:line="240" w:lineRule="auto"/>
        <w:ind w:left="360" w:right="180"/>
        <w:jc w:val="both"/>
        <w:rPr>
          <w:rFonts w:ascii="Times New Roman" w:hAnsi="Times New Roman"/>
          <w:b/>
          <w:sz w:val="20"/>
        </w:rPr>
      </w:pPr>
    </w:p>
    <w:p w:rsidR="00A379A7" w:rsidRDefault="00A379A7">
      <w:pPr>
        <w:tabs>
          <w:tab w:val="left" w:pos="600"/>
          <w:tab w:val="left" w:pos="720"/>
        </w:tabs>
        <w:spacing w:after="0" w:line="240" w:lineRule="auto"/>
        <w:jc w:val="center"/>
        <w:rPr>
          <w:rFonts w:ascii="Times New Roman" w:hAnsi="Times New Roman"/>
          <w:b/>
          <w:sz w:val="24"/>
          <w:szCs w:val="24"/>
        </w:rPr>
      </w:pPr>
    </w:p>
    <w:p w:rsidR="0076502B" w:rsidRDefault="0076502B">
      <w:pPr>
        <w:tabs>
          <w:tab w:val="left" w:pos="600"/>
          <w:tab w:val="left" w:pos="720"/>
        </w:tabs>
        <w:spacing w:after="0" w:line="240" w:lineRule="auto"/>
        <w:jc w:val="center"/>
        <w:rPr>
          <w:rFonts w:ascii="Times New Roman" w:hAnsi="Times New Roman"/>
          <w:b/>
          <w:sz w:val="24"/>
          <w:szCs w:val="24"/>
        </w:rPr>
      </w:pPr>
    </w:p>
    <w:p w:rsidR="0076502B" w:rsidRDefault="0076502B">
      <w:pPr>
        <w:tabs>
          <w:tab w:val="left" w:pos="600"/>
          <w:tab w:val="left" w:pos="720"/>
        </w:tabs>
        <w:spacing w:after="0" w:line="240" w:lineRule="auto"/>
        <w:jc w:val="center"/>
        <w:rPr>
          <w:rFonts w:ascii="Times New Roman" w:hAnsi="Times New Roman"/>
          <w:b/>
          <w:sz w:val="24"/>
          <w:szCs w:val="24"/>
        </w:rPr>
      </w:pPr>
    </w:p>
    <w:p w:rsidR="00A379A7" w:rsidRDefault="00A379A7">
      <w:pPr>
        <w:tabs>
          <w:tab w:val="left" w:pos="600"/>
          <w:tab w:val="left" w:pos="720"/>
        </w:tabs>
        <w:spacing w:after="0" w:line="240" w:lineRule="auto"/>
        <w:jc w:val="both"/>
        <w:rPr>
          <w:rFonts w:ascii="Times New Roman" w:hAnsi="Times New Roman"/>
          <w:b/>
          <w:sz w:val="24"/>
          <w:szCs w:val="24"/>
        </w:rPr>
      </w:pPr>
    </w:p>
    <w:p w:rsidR="00A379A7" w:rsidRDefault="001418D9">
      <w:pPr>
        <w:tabs>
          <w:tab w:val="left" w:pos="600"/>
          <w:tab w:val="left" w:pos="720"/>
        </w:tabs>
        <w:spacing w:after="0" w:line="240" w:lineRule="auto"/>
        <w:jc w:val="center"/>
        <w:rPr>
          <w:rFonts w:ascii="Times New Roman" w:hAnsi="Times New Roman"/>
          <w:b/>
          <w:sz w:val="20"/>
        </w:rPr>
      </w:pPr>
      <w:r>
        <w:rPr>
          <w:rFonts w:ascii="Times New Roman" w:hAnsi="Times New Roman"/>
          <w:b/>
          <w:sz w:val="20"/>
        </w:rPr>
        <w:br w:type="textWrapping" w:clear="all"/>
      </w:r>
    </w:p>
    <w:p w:rsidR="00A379A7" w:rsidRDefault="00A379A7">
      <w:pPr>
        <w:spacing w:line="240" w:lineRule="auto"/>
        <w:jc w:val="both"/>
        <w:rPr>
          <w:rFonts w:ascii="Times New Roman" w:hAnsi="Times New Roman"/>
        </w:rPr>
      </w:pPr>
    </w:p>
    <w:p w:rsidR="00A379A7" w:rsidRDefault="00A379A7">
      <w:pPr>
        <w:spacing w:line="240" w:lineRule="auto"/>
        <w:jc w:val="both"/>
        <w:rPr>
          <w:rFonts w:ascii="Times New Roman" w:hAnsi="Times New Roman"/>
        </w:rPr>
      </w:pPr>
    </w:p>
    <w:p w:rsidR="00A379A7" w:rsidRDefault="00A379A7">
      <w:pPr>
        <w:widowControl w:val="0"/>
        <w:autoSpaceDE w:val="0"/>
        <w:autoSpaceDN w:val="0"/>
        <w:adjustRightInd w:val="0"/>
        <w:spacing w:after="0" w:line="240" w:lineRule="auto"/>
        <w:jc w:val="both"/>
        <w:rPr>
          <w:rFonts w:ascii="Times New Roman" w:hAnsi="Times New Roman"/>
        </w:rPr>
      </w:pPr>
    </w:p>
    <w:p w:rsidR="00A379A7" w:rsidRDefault="00A379A7">
      <w:pPr>
        <w:widowControl w:val="0"/>
        <w:autoSpaceDE w:val="0"/>
        <w:autoSpaceDN w:val="0"/>
        <w:adjustRightInd w:val="0"/>
        <w:spacing w:after="0" w:line="240" w:lineRule="auto"/>
        <w:jc w:val="both"/>
        <w:rPr>
          <w:rFonts w:ascii="Times New Roman" w:hAnsi="Times New Roman"/>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5F3EDA" w:rsidRPr="005F3EDA" w:rsidRDefault="005F3EDA" w:rsidP="005F3EDA">
      <w:pPr>
        <w:pStyle w:val="Heading1"/>
        <w:rPr>
          <w:b/>
          <w:color w:val="FFFFFF" w:themeColor="background1"/>
          <w:u w:val="single"/>
        </w:rPr>
      </w:pPr>
      <w:r w:rsidRPr="005F3EDA">
        <w:rPr>
          <w:b/>
          <w:u w:val="single"/>
        </w:rPr>
        <w:t xml:space="preserve"> </w:t>
      </w:r>
      <w:bookmarkStart w:id="42" w:name="_Toc527816493"/>
      <w:r w:rsidRPr="005F3EDA">
        <w:rPr>
          <w:b/>
          <w:u w:val="single"/>
        </w:rPr>
        <w:t>References</w:t>
      </w:r>
      <w:bookmarkEnd w:id="42"/>
    </w:p>
    <w:p w:rsidR="00A379A7" w:rsidRDefault="00A379A7">
      <w:pPr>
        <w:spacing w:line="240" w:lineRule="auto"/>
        <w:jc w:val="both"/>
        <w:rPr>
          <w:rFonts w:ascii="Times New Roman" w:hAnsi="Times New Roman"/>
          <w:sz w:val="24"/>
          <w:szCs w:val="24"/>
        </w:rPr>
      </w:pPr>
    </w:p>
    <w:p w:rsidR="00A379A7" w:rsidRDefault="00F17BF7" w:rsidP="00B70C6E">
      <w:pPr>
        <w:pStyle w:val="ListParagraph"/>
        <w:numPr>
          <w:ilvl w:val="0"/>
          <w:numId w:val="4"/>
        </w:numPr>
        <w:spacing w:after="200" w:line="240" w:lineRule="auto"/>
        <w:jc w:val="both"/>
        <w:rPr>
          <w:rFonts w:ascii="Times New Roman" w:hAnsi="Times New Roman"/>
          <w:sz w:val="24"/>
          <w:szCs w:val="24"/>
        </w:rPr>
      </w:pPr>
      <w:hyperlink r:id="rId39" w:history="1">
        <w:r w:rsidR="001418D9">
          <w:rPr>
            <w:rStyle w:val="Hyperlink"/>
            <w:rFonts w:ascii="Times New Roman" w:hAnsi="Times New Roman"/>
            <w:sz w:val="24"/>
            <w:szCs w:val="24"/>
          </w:rPr>
          <w:t>http://www.linde.com.bd/en/index.html</w:t>
        </w:r>
      </w:hyperlink>
    </w:p>
    <w:p w:rsidR="00A379A7" w:rsidRDefault="00F17BF7" w:rsidP="00B70C6E">
      <w:pPr>
        <w:pStyle w:val="ListParagraph"/>
        <w:numPr>
          <w:ilvl w:val="0"/>
          <w:numId w:val="4"/>
        </w:numPr>
        <w:spacing w:after="200" w:line="240" w:lineRule="auto"/>
        <w:jc w:val="both"/>
        <w:rPr>
          <w:rStyle w:val="Hyperlink"/>
        </w:rPr>
      </w:pPr>
      <w:hyperlink r:id="rId40" w:history="1">
        <w:r w:rsidR="005F3EDA" w:rsidRPr="00276F1B">
          <w:rPr>
            <w:rStyle w:val="Hyperlink"/>
          </w:rPr>
          <w:t>http://www.linde.com.bd/en/investor_relations/financial_statements/index.html</w:t>
        </w:r>
      </w:hyperlink>
    </w:p>
    <w:p w:rsidR="005F3EDA" w:rsidRPr="005F3EDA" w:rsidRDefault="005F3EDA" w:rsidP="00B70C6E">
      <w:pPr>
        <w:pStyle w:val="ListParagraph"/>
        <w:numPr>
          <w:ilvl w:val="0"/>
          <w:numId w:val="4"/>
        </w:numPr>
        <w:spacing w:after="200" w:line="240" w:lineRule="auto"/>
        <w:jc w:val="both"/>
        <w:rPr>
          <w:rStyle w:val="Hyperlink"/>
        </w:rPr>
      </w:pPr>
      <w:r w:rsidRPr="005F3EDA">
        <w:rPr>
          <w:rStyle w:val="Hyperlink"/>
        </w:rPr>
        <w:t>https://www.myaccountingcourse.com/financial-ratios</w:t>
      </w:r>
    </w:p>
    <w:p w:rsidR="00A379A7" w:rsidRPr="005F3EDA" w:rsidRDefault="00A379A7">
      <w:pPr>
        <w:pStyle w:val="ListParagraph"/>
        <w:spacing w:line="240" w:lineRule="auto"/>
        <w:jc w:val="both"/>
        <w:rPr>
          <w:rStyle w:val="Hyperlink"/>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after="0" w:line="240" w:lineRule="auto"/>
        <w:jc w:val="both"/>
        <w:rPr>
          <w:rFonts w:ascii="Times New Roman" w:hAnsi="Times New Roman"/>
          <w:b/>
          <w:sz w:val="28"/>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pPr>
        <w:spacing w:line="240" w:lineRule="auto"/>
        <w:jc w:val="both"/>
        <w:rPr>
          <w:rFonts w:ascii="Times New Roman" w:hAnsi="Times New Roman"/>
          <w:sz w:val="24"/>
          <w:szCs w:val="24"/>
        </w:rPr>
      </w:pPr>
    </w:p>
    <w:p w:rsidR="00A379A7" w:rsidRDefault="00A379A7" w:rsidP="00A623E6">
      <w:pPr>
        <w:spacing w:line="240" w:lineRule="auto"/>
        <w:jc w:val="both"/>
        <w:rPr>
          <w:rFonts w:ascii="Times New Roman" w:hAnsi="Times New Roman"/>
          <w:sz w:val="24"/>
          <w:szCs w:val="24"/>
        </w:rPr>
      </w:pPr>
    </w:p>
    <w:p w:rsidR="00A623E6" w:rsidRDefault="00A623E6">
      <w:pPr>
        <w:spacing w:line="240" w:lineRule="auto"/>
        <w:jc w:val="both"/>
        <w:rPr>
          <w:rFonts w:ascii="Times New Roman" w:hAnsi="Times New Roman"/>
          <w:sz w:val="24"/>
          <w:szCs w:val="24"/>
        </w:rPr>
      </w:pPr>
    </w:p>
    <w:sectPr w:rsidR="00A623E6" w:rsidSect="00A379A7">
      <w:headerReference w:type="default" r:id="rId41"/>
      <w:footerReference w:type="default" r:id="rId42"/>
      <w:footerReference w:type="first" r:id="rId43"/>
      <w:pgSz w:w="12240" w:h="15840"/>
      <w:pgMar w:top="1440" w:right="135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624" w:rsidRDefault="000E1624" w:rsidP="00A379A7">
      <w:pPr>
        <w:spacing w:after="0" w:line="240" w:lineRule="auto"/>
      </w:pPr>
      <w:r>
        <w:separator/>
      </w:r>
    </w:p>
  </w:endnote>
  <w:endnote w:type="continuationSeparator" w:id="1">
    <w:p w:rsidR="000E1624" w:rsidRDefault="000E1624" w:rsidP="00A379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ndeDaxGlobal-Regular">
    <w:panose1 w:val="00000000000000000000"/>
    <w:charset w:val="00"/>
    <w:family w:val="swiss"/>
    <w:notTrueType/>
    <w:pitch w:val="default"/>
    <w:sig w:usb0="00000003" w:usb1="00000000" w:usb2="00000000" w:usb3="00000000" w:csb0="00000001" w:csb1="00000000"/>
  </w:font>
  <w:font w:name="LindeDaxGlobal-Light">
    <w:panose1 w:val="00000000000000000000"/>
    <w:charset w:val="00"/>
    <w:family w:val="swiss"/>
    <w:notTrueType/>
    <w:pitch w:val="default"/>
    <w:sig w:usb0="00000003" w:usb1="09060000" w:usb2="00000010" w:usb3="00000000" w:csb0="0008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2B" w:rsidRDefault="00F17BF7">
    <w:pPr>
      <w:pStyle w:val="Footer"/>
    </w:pPr>
    <w:r>
      <w:pict>
        <v:shapetype id="_x0000_t202" coordsize="21600,21600" o:spt="202" path="m,l,21600r21600,l21600,xe">
          <v:stroke joinstyle="miter"/>
          <v:path gradientshapeok="t" o:connecttype="rect"/>
        </v:shapetype>
        <v:shape id="_x0000_s2050" type="#_x0000_t202" style="position:absolute;margin-left:0;margin-top:0;width:2in;height:2in;z-index:25166540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iMyQsgIAANcFAAAOAAAAAAAAAAEAIAAAAB8BAABkcnMv&#10;ZTJvRG9jLnhtbFBLBQYAAAAABgAGAFkBAABDBgAAAAA=&#10;" filled="f" stroked="f" strokeweight=".5pt">
          <v:textbox style="mso-fit-shape-to-text:t" inset="0,0,0,0">
            <w:txbxContent>
              <w:p w:rsidR="00B51F2B" w:rsidRDefault="00F17BF7">
                <w:pPr>
                  <w:pStyle w:val="Footer"/>
                </w:pPr>
                <w:fldSimple w:instr=" PAGE  \* MERGEFORMAT ">
                  <w:r w:rsidR="003A5FBC">
                    <w:rPr>
                      <w:noProof/>
                    </w:rPr>
                    <w:t>10</w:t>
                  </w:r>
                </w:fldSimple>
              </w:p>
            </w:txbxContent>
          </v:textbox>
          <w10:wrap anchorx="margin"/>
        </v:shape>
      </w:pict>
    </w:r>
    <w:sdt>
      <w:sdtPr>
        <w:id w:val="1532919542"/>
      </w:sdtPr>
      <w:sdtContent>
        <w:r>
          <w:pict>
            <v:shapetype id="_x0000_t32" coordsize="21600,21600" o:spt="32" o:oned="t" path="m,l21600,21600e" filled="f">
              <v:path arrowok="t" fillok="f" o:connecttype="none"/>
              <o:lock v:ext="edit" shapetype="t"/>
            </v:shapetype>
            <v:shape id="AutoShape 21" o:spid="_x0000_s2049" type="#_x0000_t32" style="position:absolute;margin-left:91pt;margin-top:756pt;width:434.5pt;height:0;z-index:251660288;mso-position-horizontal-relative:page;mso-position-vertical-relative:page" o:gfxdata="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j8bcDRAAAAAgEAAA8AAAAAAAAAAQAgAAAAIgAAAGRycy9kb3ducmV2Lnht&#10;bFBLAQIUABQAAAAIAIdO4kBS3dZ0xwEAAJUDAAAOAAAAAAAAAAEAIAAAACABAABkcnMvZTJvRG9j&#10;LnhtbFBLBQYAAAAABgAGAFkBAABZBQAAAAA=&#10;" strokecolor="gray" strokeweight="1pt">
              <w10:wrap anchorx="page" anchory="page"/>
            </v:shape>
          </w:pic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2B" w:rsidRDefault="00F17BF7">
    <w:pPr>
      <w:pStyle w:val="Footer"/>
    </w:pPr>
    <w:r>
      <w:pict>
        <v:shapetype id="_x0000_t202" coordsize="21600,21600" o:spt="202" path="m,l,21600r21600,l21600,xe">
          <v:stroke joinstyle="miter"/>
          <v:path gradientshapeok="t" o:connecttype="rect"/>
        </v:shapetype>
        <v:shape id="_x0000_s2051" type="#_x0000_t202" style="position:absolute;margin-left:0;margin-top:0;width:2in;height:2in;z-index:25166643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RovzmsgIAANcFAAAOAAAAAAAAAAEAIAAAAB8BAABkcnMv&#10;ZTJvRG9jLnhtbFBLBQYAAAAABgAGAFkBAABDBgAAAAA=&#10;" filled="f" stroked="f" strokeweight=".5pt">
          <v:textbox style="mso-fit-shape-to-text:t" inset="0,0,0,0">
            <w:txbxContent>
              <w:p w:rsidR="00B51F2B" w:rsidRDefault="00F17BF7">
                <w:pPr>
                  <w:pStyle w:val="Footer"/>
                </w:pPr>
                <w:fldSimple w:instr=" PAGE  \* MERGEFORMAT ">
                  <w:r w:rsidR="007F7B68">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624" w:rsidRDefault="000E1624" w:rsidP="00A379A7">
      <w:pPr>
        <w:spacing w:after="0" w:line="240" w:lineRule="auto"/>
      </w:pPr>
      <w:r>
        <w:separator/>
      </w:r>
    </w:p>
  </w:footnote>
  <w:footnote w:type="continuationSeparator" w:id="1">
    <w:p w:rsidR="000E1624" w:rsidRDefault="000E1624" w:rsidP="00A379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F2B" w:rsidRDefault="00B51F2B">
    <w:pPr>
      <w:jc w:val="both"/>
    </w:pPr>
    <w:r>
      <w:rPr>
        <w:noProof/>
        <w:u w:val="single"/>
      </w:rPr>
      <w:drawing>
        <wp:anchor distT="0" distB="0" distL="114300" distR="114300" simplePos="0" relativeHeight="251664384" behindDoc="0" locked="0" layoutInCell="1" allowOverlap="1">
          <wp:simplePos x="0" y="0"/>
          <wp:positionH relativeFrom="column">
            <wp:posOffset>4552950</wp:posOffset>
          </wp:positionH>
          <wp:positionV relativeFrom="paragraph">
            <wp:posOffset>-266700</wp:posOffset>
          </wp:positionV>
          <wp:extent cx="2133600" cy="725170"/>
          <wp:effectExtent l="0" t="0" r="0" b="0"/>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pic:cNvPicPr>
                    <a:picLocks noChangeAspect="1" noChangeArrowheads="1"/>
                  </pic:cNvPicPr>
                </pic:nvPicPr>
                <pic:blipFill>
                  <a:blip r:embed="rId1"/>
                  <a:srcRect/>
                  <a:stretch>
                    <a:fillRect/>
                  </a:stretch>
                </pic:blipFill>
                <pic:spPr>
                  <a:xfrm>
                    <a:off x="0" y="0"/>
                    <a:ext cx="2133600" cy="725170"/>
                  </a:xfrm>
                  <a:prstGeom prst="rect">
                    <a:avLst/>
                  </a:prstGeom>
                  <a:noFill/>
                  <a:ln w="9525">
                    <a:noFill/>
                    <a:miter lim="800000"/>
                    <a:headEnd/>
                    <a:tailEnd/>
                  </a:ln>
                </pic:spPr>
              </pic:pic>
            </a:graphicData>
          </a:graphic>
        </wp:anchor>
      </w:drawing>
    </w:r>
  </w:p>
  <w:p w:rsidR="00B51F2B" w:rsidRDefault="00B51F2B">
    <w:pPr>
      <w:jc w:val="both"/>
    </w:pPr>
  </w:p>
  <w:p w:rsidR="00B51F2B" w:rsidRDefault="00B51F2B">
    <w:pPr>
      <w:shd w:val="clear" w:color="auto" w:fill="4F81BD" w:themeFill="accent1"/>
      <w:jc w:val="both"/>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4535F"/>
    <w:multiLevelType w:val="multilevel"/>
    <w:tmpl w:val="019C04C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960A3C"/>
    <w:multiLevelType w:val="hybridMultilevel"/>
    <w:tmpl w:val="38BCF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FA0CAE"/>
    <w:multiLevelType w:val="multilevel"/>
    <w:tmpl w:val="26FA0CAE"/>
    <w:lvl w:ilvl="0">
      <w:start w:val="1"/>
      <w:numFmt w:val="bullet"/>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FA92C95"/>
    <w:multiLevelType w:val="multilevel"/>
    <w:tmpl w:val="A68A935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130DDB"/>
    <w:multiLevelType w:val="hybridMultilevel"/>
    <w:tmpl w:val="9808E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1E5071"/>
    <w:multiLevelType w:val="hybridMultilevel"/>
    <w:tmpl w:val="47A2A3BC"/>
    <w:lvl w:ilvl="0" w:tplc="C7C8F33C">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7417A8"/>
    <w:multiLevelType w:val="hybridMultilevel"/>
    <w:tmpl w:val="E7D0B646"/>
    <w:lvl w:ilvl="0" w:tplc="1D709CEE">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D67FB7"/>
    <w:multiLevelType w:val="hybridMultilevel"/>
    <w:tmpl w:val="AD841C06"/>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8">
    <w:nsid w:val="64C07710"/>
    <w:multiLevelType w:val="hybridMultilevel"/>
    <w:tmpl w:val="CFB025A4"/>
    <w:lvl w:ilvl="0" w:tplc="73C6FDDE">
      <w:start w:val="1"/>
      <w:numFmt w:val="decimal"/>
      <w:lvlText w:val="%1)"/>
      <w:lvlJc w:val="left"/>
      <w:pPr>
        <w:ind w:left="840" w:hanging="360"/>
      </w:pPr>
      <w:rPr>
        <w:rFonts w:ascii="Times New Roman" w:hAnsi="Times New Roman" w:cs="Times New Roman" w:hint="default"/>
        <w:b/>
        <w:sz w:val="28"/>
        <w:szCs w:val="28"/>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nsid w:val="65F07CD5"/>
    <w:multiLevelType w:val="multilevel"/>
    <w:tmpl w:val="65F07CD5"/>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D372A7F"/>
    <w:multiLevelType w:val="hybridMultilevel"/>
    <w:tmpl w:val="798A20C6"/>
    <w:lvl w:ilvl="0" w:tplc="CE48239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C06827"/>
    <w:multiLevelType w:val="hybridMultilevel"/>
    <w:tmpl w:val="29980310"/>
    <w:lvl w:ilvl="0" w:tplc="06A8BDE4">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3"/>
  </w:num>
  <w:num w:numId="4">
    <w:abstractNumId w:val="2"/>
  </w:num>
  <w:num w:numId="5">
    <w:abstractNumId w:val="10"/>
  </w:num>
  <w:num w:numId="6">
    <w:abstractNumId w:val="1"/>
  </w:num>
  <w:num w:numId="7">
    <w:abstractNumId w:val="6"/>
  </w:num>
  <w:num w:numId="8">
    <w:abstractNumId w:val="11"/>
  </w:num>
  <w:num w:numId="9">
    <w:abstractNumId w:val="5"/>
  </w:num>
  <w:num w:numId="10">
    <w:abstractNumId w:val="8"/>
  </w:num>
  <w:num w:numId="11">
    <w:abstractNumId w:val="7"/>
  </w:num>
  <w:num w:numId="12">
    <w:abstractNumId w:val="4"/>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24578" fillcolor="white">
      <v:fill color="white"/>
    </o:shapedefaults>
    <o:shapelayout v:ext="edit">
      <o:idmap v:ext="edit" data="2"/>
      <o:rules v:ext="edit">
        <o:r id="V:Rule2" type="connector" idref="#AutoShape 21"/>
      </o:rules>
    </o:shapelayout>
  </w:hdrShapeDefaults>
  <w:footnotePr>
    <w:footnote w:id="0"/>
    <w:footnote w:id="1"/>
  </w:footnotePr>
  <w:endnotePr>
    <w:endnote w:id="0"/>
    <w:endnote w:id="1"/>
  </w:endnotePr>
  <w:compat>
    <w:useFELayout/>
  </w:compat>
  <w:rsids>
    <w:rsidRoot w:val="00573891"/>
    <w:rsid w:val="00001CEE"/>
    <w:rsid w:val="00002255"/>
    <w:rsid w:val="00002551"/>
    <w:rsid w:val="00003734"/>
    <w:rsid w:val="000060AD"/>
    <w:rsid w:val="00010B33"/>
    <w:rsid w:val="000114B1"/>
    <w:rsid w:val="000117A7"/>
    <w:rsid w:val="000117AD"/>
    <w:rsid w:val="00011BC7"/>
    <w:rsid w:val="00011E62"/>
    <w:rsid w:val="000126D2"/>
    <w:rsid w:val="000200F3"/>
    <w:rsid w:val="00022149"/>
    <w:rsid w:val="0002280A"/>
    <w:rsid w:val="0002404E"/>
    <w:rsid w:val="000240FB"/>
    <w:rsid w:val="00024A51"/>
    <w:rsid w:val="00025D54"/>
    <w:rsid w:val="00031287"/>
    <w:rsid w:val="00036065"/>
    <w:rsid w:val="000366E4"/>
    <w:rsid w:val="00036CF7"/>
    <w:rsid w:val="000416BA"/>
    <w:rsid w:val="000431F9"/>
    <w:rsid w:val="00047554"/>
    <w:rsid w:val="000538BB"/>
    <w:rsid w:val="00055872"/>
    <w:rsid w:val="00055BC0"/>
    <w:rsid w:val="0006482C"/>
    <w:rsid w:val="00064E71"/>
    <w:rsid w:val="00066EE8"/>
    <w:rsid w:val="00067941"/>
    <w:rsid w:val="00067E91"/>
    <w:rsid w:val="00071099"/>
    <w:rsid w:val="00071C5A"/>
    <w:rsid w:val="00086F89"/>
    <w:rsid w:val="0009173F"/>
    <w:rsid w:val="00094C26"/>
    <w:rsid w:val="000A070E"/>
    <w:rsid w:val="000A349C"/>
    <w:rsid w:val="000A36C6"/>
    <w:rsid w:val="000A439D"/>
    <w:rsid w:val="000A498E"/>
    <w:rsid w:val="000B095F"/>
    <w:rsid w:val="000B10FA"/>
    <w:rsid w:val="000B18DA"/>
    <w:rsid w:val="000B2897"/>
    <w:rsid w:val="000B40E6"/>
    <w:rsid w:val="000B4C26"/>
    <w:rsid w:val="000C0C84"/>
    <w:rsid w:val="000C1BB8"/>
    <w:rsid w:val="000C6390"/>
    <w:rsid w:val="000D1AB4"/>
    <w:rsid w:val="000D1AC1"/>
    <w:rsid w:val="000D26AB"/>
    <w:rsid w:val="000D4F52"/>
    <w:rsid w:val="000D75FB"/>
    <w:rsid w:val="000E1624"/>
    <w:rsid w:val="000F4F07"/>
    <w:rsid w:val="000F7C86"/>
    <w:rsid w:val="0010115E"/>
    <w:rsid w:val="00106A72"/>
    <w:rsid w:val="00107D59"/>
    <w:rsid w:val="00121641"/>
    <w:rsid w:val="001220DF"/>
    <w:rsid w:val="001223DA"/>
    <w:rsid w:val="0012794B"/>
    <w:rsid w:val="00133C59"/>
    <w:rsid w:val="001402B8"/>
    <w:rsid w:val="001418D9"/>
    <w:rsid w:val="001456E0"/>
    <w:rsid w:val="001573A8"/>
    <w:rsid w:val="00157705"/>
    <w:rsid w:val="0016241E"/>
    <w:rsid w:val="00163DB0"/>
    <w:rsid w:val="00164E14"/>
    <w:rsid w:val="00165877"/>
    <w:rsid w:val="00166625"/>
    <w:rsid w:val="00166C31"/>
    <w:rsid w:val="00170821"/>
    <w:rsid w:val="00173B52"/>
    <w:rsid w:val="001761C1"/>
    <w:rsid w:val="0018178F"/>
    <w:rsid w:val="001842B2"/>
    <w:rsid w:val="00185092"/>
    <w:rsid w:val="00185170"/>
    <w:rsid w:val="00186DF3"/>
    <w:rsid w:val="0018756B"/>
    <w:rsid w:val="00190F6B"/>
    <w:rsid w:val="001910CD"/>
    <w:rsid w:val="00192CFC"/>
    <w:rsid w:val="001A04DB"/>
    <w:rsid w:val="001A0C7D"/>
    <w:rsid w:val="001A560D"/>
    <w:rsid w:val="001A7FF2"/>
    <w:rsid w:val="001B5CE6"/>
    <w:rsid w:val="001C08D6"/>
    <w:rsid w:val="001C5552"/>
    <w:rsid w:val="001C76D8"/>
    <w:rsid w:val="001C7C66"/>
    <w:rsid w:val="001D0380"/>
    <w:rsid w:val="001D0779"/>
    <w:rsid w:val="001E00D0"/>
    <w:rsid w:val="001E257D"/>
    <w:rsid w:val="001E43CC"/>
    <w:rsid w:val="001E5B99"/>
    <w:rsid w:val="001E6DB1"/>
    <w:rsid w:val="001F18BF"/>
    <w:rsid w:val="001F23CD"/>
    <w:rsid w:val="00202C11"/>
    <w:rsid w:val="002071AC"/>
    <w:rsid w:val="0021130A"/>
    <w:rsid w:val="002117C0"/>
    <w:rsid w:val="00213F83"/>
    <w:rsid w:val="00214473"/>
    <w:rsid w:val="00214E8E"/>
    <w:rsid w:val="00221855"/>
    <w:rsid w:val="00223887"/>
    <w:rsid w:val="00226054"/>
    <w:rsid w:val="00226791"/>
    <w:rsid w:val="00230366"/>
    <w:rsid w:val="00232808"/>
    <w:rsid w:val="00233AEB"/>
    <w:rsid w:val="002355B0"/>
    <w:rsid w:val="002423A8"/>
    <w:rsid w:val="00246127"/>
    <w:rsid w:val="00246DC3"/>
    <w:rsid w:val="00250FEC"/>
    <w:rsid w:val="00255F5F"/>
    <w:rsid w:val="00256FBA"/>
    <w:rsid w:val="002606D3"/>
    <w:rsid w:val="00261F5B"/>
    <w:rsid w:val="00264A2F"/>
    <w:rsid w:val="002651E3"/>
    <w:rsid w:val="0026580B"/>
    <w:rsid w:val="002666E8"/>
    <w:rsid w:val="00266EBA"/>
    <w:rsid w:val="00277F11"/>
    <w:rsid w:val="0028544F"/>
    <w:rsid w:val="00285DFA"/>
    <w:rsid w:val="00295918"/>
    <w:rsid w:val="002A4221"/>
    <w:rsid w:val="002A55F7"/>
    <w:rsid w:val="002B275C"/>
    <w:rsid w:val="002B2779"/>
    <w:rsid w:val="002B3C07"/>
    <w:rsid w:val="002B4E8F"/>
    <w:rsid w:val="002C621B"/>
    <w:rsid w:val="002C67FE"/>
    <w:rsid w:val="002D3265"/>
    <w:rsid w:val="002E0283"/>
    <w:rsid w:val="002E1FA6"/>
    <w:rsid w:val="002E3234"/>
    <w:rsid w:val="002E392A"/>
    <w:rsid w:val="002E4964"/>
    <w:rsid w:val="002E4B63"/>
    <w:rsid w:val="002E6614"/>
    <w:rsid w:val="002F2419"/>
    <w:rsid w:val="002F398D"/>
    <w:rsid w:val="002F4637"/>
    <w:rsid w:val="002F7E04"/>
    <w:rsid w:val="00304469"/>
    <w:rsid w:val="00304722"/>
    <w:rsid w:val="0030481C"/>
    <w:rsid w:val="00307C9D"/>
    <w:rsid w:val="00311FED"/>
    <w:rsid w:val="0031378E"/>
    <w:rsid w:val="00314C64"/>
    <w:rsid w:val="00315665"/>
    <w:rsid w:val="00317140"/>
    <w:rsid w:val="00320A9B"/>
    <w:rsid w:val="00325858"/>
    <w:rsid w:val="003268FE"/>
    <w:rsid w:val="003333CA"/>
    <w:rsid w:val="00333B69"/>
    <w:rsid w:val="003355A4"/>
    <w:rsid w:val="00340F95"/>
    <w:rsid w:val="003453D3"/>
    <w:rsid w:val="00352CDF"/>
    <w:rsid w:val="003561D4"/>
    <w:rsid w:val="00356A77"/>
    <w:rsid w:val="00361424"/>
    <w:rsid w:val="003625F8"/>
    <w:rsid w:val="00362D7A"/>
    <w:rsid w:val="00363BD6"/>
    <w:rsid w:val="003700DF"/>
    <w:rsid w:val="00371E12"/>
    <w:rsid w:val="00371FF6"/>
    <w:rsid w:val="003732AA"/>
    <w:rsid w:val="00374352"/>
    <w:rsid w:val="00375064"/>
    <w:rsid w:val="003751B7"/>
    <w:rsid w:val="00385E38"/>
    <w:rsid w:val="00390877"/>
    <w:rsid w:val="003944D0"/>
    <w:rsid w:val="003960C7"/>
    <w:rsid w:val="00397062"/>
    <w:rsid w:val="003A41F2"/>
    <w:rsid w:val="003A5FBC"/>
    <w:rsid w:val="003B1DF7"/>
    <w:rsid w:val="003B546E"/>
    <w:rsid w:val="003B72B4"/>
    <w:rsid w:val="003B77CC"/>
    <w:rsid w:val="003C26C5"/>
    <w:rsid w:val="003C75C6"/>
    <w:rsid w:val="003D5250"/>
    <w:rsid w:val="003E3356"/>
    <w:rsid w:val="003E4850"/>
    <w:rsid w:val="003F5759"/>
    <w:rsid w:val="003F5EB3"/>
    <w:rsid w:val="004071F0"/>
    <w:rsid w:val="00412B2A"/>
    <w:rsid w:val="00415B2F"/>
    <w:rsid w:val="004208A8"/>
    <w:rsid w:val="00423FA7"/>
    <w:rsid w:val="004248D7"/>
    <w:rsid w:val="00424B02"/>
    <w:rsid w:val="00426F28"/>
    <w:rsid w:val="00427623"/>
    <w:rsid w:val="00434055"/>
    <w:rsid w:val="004358AD"/>
    <w:rsid w:val="00437C43"/>
    <w:rsid w:val="004435BA"/>
    <w:rsid w:val="00447C62"/>
    <w:rsid w:val="00451CB2"/>
    <w:rsid w:val="0045240A"/>
    <w:rsid w:val="00453603"/>
    <w:rsid w:val="004612F8"/>
    <w:rsid w:val="004616B9"/>
    <w:rsid w:val="00463383"/>
    <w:rsid w:val="00464935"/>
    <w:rsid w:val="0046754B"/>
    <w:rsid w:val="00472F32"/>
    <w:rsid w:val="004763C8"/>
    <w:rsid w:val="00480976"/>
    <w:rsid w:val="0048187F"/>
    <w:rsid w:val="004855C8"/>
    <w:rsid w:val="00486BFA"/>
    <w:rsid w:val="00487825"/>
    <w:rsid w:val="00493EA9"/>
    <w:rsid w:val="004945F6"/>
    <w:rsid w:val="00494842"/>
    <w:rsid w:val="004A2752"/>
    <w:rsid w:val="004A2796"/>
    <w:rsid w:val="004A3B9B"/>
    <w:rsid w:val="004A6079"/>
    <w:rsid w:val="004B470B"/>
    <w:rsid w:val="004B7512"/>
    <w:rsid w:val="004B7600"/>
    <w:rsid w:val="004C296F"/>
    <w:rsid w:val="004C4B04"/>
    <w:rsid w:val="004C5FB1"/>
    <w:rsid w:val="004C68F5"/>
    <w:rsid w:val="004C7C6F"/>
    <w:rsid w:val="004D24B1"/>
    <w:rsid w:val="004D3638"/>
    <w:rsid w:val="004D49DE"/>
    <w:rsid w:val="004D71E0"/>
    <w:rsid w:val="004F0101"/>
    <w:rsid w:val="004F0D8E"/>
    <w:rsid w:val="004F2916"/>
    <w:rsid w:val="004F4FD8"/>
    <w:rsid w:val="004F5F18"/>
    <w:rsid w:val="004F663E"/>
    <w:rsid w:val="00511671"/>
    <w:rsid w:val="0051465A"/>
    <w:rsid w:val="005201E7"/>
    <w:rsid w:val="00520CC1"/>
    <w:rsid w:val="00521508"/>
    <w:rsid w:val="00521C97"/>
    <w:rsid w:val="00524CB9"/>
    <w:rsid w:val="005330B3"/>
    <w:rsid w:val="00534F54"/>
    <w:rsid w:val="00535647"/>
    <w:rsid w:val="00535B91"/>
    <w:rsid w:val="00540D09"/>
    <w:rsid w:val="00542A22"/>
    <w:rsid w:val="0054482C"/>
    <w:rsid w:val="00545478"/>
    <w:rsid w:val="00545A33"/>
    <w:rsid w:val="00545E78"/>
    <w:rsid w:val="0055654B"/>
    <w:rsid w:val="005569E3"/>
    <w:rsid w:val="00561135"/>
    <w:rsid w:val="00562535"/>
    <w:rsid w:val="005638B8"/>
    <w:rsid w:val="00563E5D"/>
    <w:rsid w:val="00566308"/>
    <w:rsid w:val="00566F6D"/>
    <w:rsid w:val="00573891"/>
    <w:rsid w:val="005771F1"/>
    <w:rsid w:val="005827BF"/>
    <w:rsid w:val="00584BBE"/>
    <w:rsid w:val="00591993"/>
    <w:rsid w:val="00592103"/>
    <w:rsid w:val="00594B6A"/>
    <w:rsid w:val="005A0B82"/>
    <w:rsid w:val="005A0F31"/>
    <w:rsid w:val="005A3B1D"/>
    <w:rsid w:val="005A3F11"/>
    <w:rsid w:val="005B5D50"/>
    <w:rsid w:val="005C025F"/>
    <w:rsid w:val="005C0A3E"/>
    <w:rsid w:val="005C11CA"/>
    <w:rsid w:val="005C4E69"/>
    <w:rsid w:val="005C5598"/>
    <w:rsid w:val="005C55B3"/>
    <w:rsid w:val="005C5A66"/>
    <w:rsid w:val="005C5C82"/>
    <w:rsid w:val="005D225C"/>
    <w:rsid w:val="005D55C7"/>
    <w:rsid w:val="005E13D1"/>
    <w:rsid w:val="005E1E58"/>
    <w:rsid w:val="005E3AD3"/>
    <w:rsid w:val="005E4925"/>
    <w:rsid w:val="005E7907"/>
    <w:rsid w:val="005F12C4"/>
    <w:rsid w:val="005F3EDA"/>
    <w:rsid w:val="005F5B28"/>
    <w:rsid w:val="00600B28"/>
    <w:rsid w:val="0060166F"/>
    <w:rsid w:val="00602D75"/>
    <w:rsid w:val="00602FFE"/>
    <w:rsid w:val="00603C77"/>
    <w:rsid w:val="00613660"/>
    <w:rsid w:val="00613692"/>
    <w:rsid w:val="00613A3D"/>
    <w:rsid w:val="00622010"/>
    <w:rsid w:val="006227F3"/>
    <w:rsid w:val="006241CF"/>
    <w:rsid w:val="00624446"/>
    <w:rsid w:val="00625F42"/>
    <w:rsid w:val="00627C84"/>
    <w:rsid w:val="0063204E"/>
    <w:rsid w:val="0063401F"/>
    <w:rsid w:val="006347A1"/>
    <w:rsid w:val="00636F48"/>
    <w:rsid w:val="00640923"/>
    <w:rsid w:val="00647750"/>
    <w:rsid w:val="00653A49"/>
    <w:rsid w:val="00655A17"/>
    <w:rsid w:val="00657494"/>
    <w:rsid w:val="00661516"/>
    <w:rsid w:val="00671463"/>
    <w:rsid w:val="006737EC"/>
    <w:rsid w:val="00676368"/>
    <w:rsid w:val="006801B0"/>
    <w:rsid w:val="00682488"/>
    <w:rsid w:val="00682C2A"/>
    <w:rsid w:val="00684B05"/>
    <w:rsid w:val="00684FDF"/>
    <w:rsid w:val="00685A81"/>
    <w:rsid w:val="006871E9"/>
    <w:rsid w:val="00687D59"/>
    <w:rsid w:val="00691025"/>
    <w:rsid w:val="00692D43"/>
    <w:rsid w:val="00693BB9"/>
    <w:rsid w:val="00693BCD"/>
    <w:rsid w:val="00697155"/>
    <w:rsid w:val="006B135E"/>
    <w:rsid w:val="006B6B77"/>
    <w:rsid w:val="006B73AB"/>
    <w:rsid w:val="006C7CA3"/>
    <w:rsid w:val="006D0BE5"/>
    <w:rsid w:val="006D2E93"/>
    <w:rsid w:val="006D3355"/>
    <w:rsid w:val="006D5ED2"/>
    <w:rsid w:val="006E0236"/>
    <w:rsid w:val="006E6113"/>
    <w:rsid w:val="006F020B"/>
    <w:rsid w:val="006F1BEA"/>
    <w:rsid w:val="006F2495"/>
    <w:rsid w:val="006F3A28"/>
    <w:rsid w:val="006F3A71"/>
    <w:rsid w:val="006F46D2"/>
    <w:rsid w:val="00702281"/>
    <w:rsid w:val="007071E7"/>
    <w:rsid w:val="007147FC"/>
    <w:rsid w:val="007177A4"/>
    <w:rsid w:val="0072058C"/>
    <w:rsid w:val="00720E0F"/>
    <w:rsid w:val="0072426D"/>
    <w:rsid w:val="007245C5"/>
    <w:rsid w:val="00725D97"/>
    <w:rsid w:val="007268E9"/>
    <w:rsid w:val="0073130A"/>
    <w:rsid w:val="00734B93"/>
    <w:rsid w:val="0074097F"/>
    <w:rsid w:val="007427DB"/>
    <w:rsid w:val="00743BF6"/>
    <w:rsid w:val="00745B3C"/>
    <w:rsid w:val="00747DD4"/>
    <w:rsid w:val="00750D39"/>
    <w:rsid w:val="00753043"/>
    <w:rsid w:val="00760B22"/>
    <w:rsid w:val="0076502B"/>
    <w:rsid w:val="00771590"/>
    <w:rsid w:val="00771E07"/>
    <w:rsid w:val="0077479A"/>
    <w:rsid w:val="0077502F"/>
    <w:rsid w:val="00780D8B"/>
    <w:rsid w:val="00780F1E"/>
    <w:rsid w:val="007904BA"/>
    <w:rsid w:val="00790714"/>
    <w:rsid w:val="007931CD"/>
    <w:rsid w:val="00794C7A"/>
    <w:rsid w:val="00797830"/>
    <w:rsid w:val="007A0727"/>
    <w:rsid w:val="007A6CD8"/>
    <w:rsid w:val="007A7042"/>
    <w:rsid w:val="007A714C"/>
    <w:rsid w:val="007B244E"/>
    <w:rsid w:val="007B26FB"/>
    <w:rsid w:val="007B790A"/>
    <w:rsid w:val="007C2559"/>
    <w:rsid w:val="007C319F"/>
    <w:rsid w:val="007C3DC8"/>
    <w:rsid w:val="007C5C2E"/>
    <w:rsid w:val="007D14CE"/>
    <w:rsid w:val="007D45CB"/>
    <w:rsid w:val="007D5A81"/>
    <w:rsid w:val="007D6E32"/>
    <w:rsid w:val="007E2F4A"/>
    <w:rsid w:val="007E50ED"/>
    <w:rsid w:val="007E653D"/>
    <w:rsid w:val="007F47BA"/>
    <w:rsid w:val="007F7B68"/>
    <w:rsid w:val="00805266"/>
    <w:rsid w:val="008057F5"/>
    <w:rsid w:val="00805A03"/>
    <w:rsid w:val="00811DB2"/>
    <w:rsid w:val="00812A9C"/>
    <w:rsid w:val="00816D98"/>
    <w:rsid w:val="00820068"/>
    <w:rsid w:val="008207E4"/>
    <w:rsid w:val="00820C55"/>
    <w:rsid w:val="008238A9"/>
    <w:rsid w:val="008246E6"/>
    <w:rsid w:val="008271FF"/>
    <w:rsid w:val="0082762B"/>
    <w:rsid w:val="00827E30"/>
    <w:rsid w:val="0083007E"/>
    <w:rsid w:val="008331E9"/>
    <w:rsid w:val="00833A86"/>
    <w:rsid w:val="00834F60"/>
    <w:rsid w:val="00840876"/>
    <w:rsid w:val="008427DC"/>
    <w:rsid w:val="00843156"/>
    <w:rsid w:val="00843600"/>
    <w:rsid w:val="008469A8"/>
    <w:rsid w:val="0084776E"/>
    <w:rsid w:val="00847E33"/>
    <w:rsid w:val="00850543"/>
    <w:rsid w:val="0085188E"/>
    <w:rsid w:val="008546B6"/>
    <w:rsid w:val="00860297"/>
    <w:rsid w:val="00863CEB"/>
    <w:rsid w:val="00874334"/>
    <w:rsid w:val="008757BD"/>
    <w:rsid w:val="00875C70"/>
    <w:rsid w:val="00884FA7"/>
    <w:rsid w:val="00887DA5"/>
    <w:rsid w:val="00891CBD"/>
    <w:rsid w:val="0089355B"/>
    <w:rsid w:val="00896E89"/>
    <w:rsid w:val="00897475"/>
    <w:rsid w:val="008A197D"/>
    <w:rsid w:val="008A1DEE"/>
    <w:rsid w:val="008A1ED4"/>
    <w:rsid w:val="008A2862"/>
    <w:rsid w:val="008A5455"/>
    <w:rsid w:val="008B00EF"/>
    <w:rsid w:val="008B0A7B"/>
    <w:rsid w:val="008B1EAF"/>
    <w:rsid w:val="008B25EA"/>
    <w:rsid w:val="008B50A0"/>
    <w:rsid w:val="008C0C78"/>
    <w:rsid w:val="008C11E2"/>
    <w:rsid w:val="008C4674"/>
    <w:rsid w:val="008C6714"/>
    <w:rsid w:val="008D0D9F"/>
    <w:rsid w:val="008D3C93"/>
    <w:rsid w:val="008E0A3B"/>
    <w:rsid w:val="008E422B"/>
    <w:rsid w:val="008E4DB8"/>
    <w:rsid w:val="008E5613"/>
    <w:rsid w:val="008E7B6C"/>
    <w:rsid w:val="008F130F"/>
    <w:rsid w:val="008F428D"/>
    <w:rsid w:val="008F640E"/>
    <w:rsid w:val="00900DB4"/>
    <w:rsid w:val="00901C8B"/>
    <w:rsid w:val="0090262E"/>
    <w:rsid w:val="009058D2"/>
    <w:rsid w:val="009106D3"/>
    <w:rsid w:val="0091186E"/>
    <w:rsid w:val="00911F6C"/>
    <w:rsid w:val="009128AD"/>
    <w:rsid w:val="00912CB0"/>
    <w:rsid w:val="00916F57"/>
    <w:rsid w:val="00920FB7"/>
    <w:rsid w:val="00923C91"/>
    <w:rsid w:val="00925E35"/>
    <w:rsid w:val="00926C16"/>
    <w:rsid w:val="00927CBA"/>
    <w:rsid w:val="009324A9"/>
    <w:rsid w:val="00933308"/>
    <w:rsid w:val="009334C0"/>
    <w:rsid w:val="0093557F"/>
    <w:rsid w:val="00936D92"/>
    <w:rsid w:val="00940A6C"/>
    <w:rsid w:val="0094305A"/>
    <w:rsid w:val="00945AB0"/>
    <w:rsid w:val="00946C10"/>
    <w:rsid w:val="009479A9"/>
    <w:rsid w:val="00947A5D"/>
    <w:rsid w:val="00950751"/>
    <w:rsid w:val="00952497"/>
    <w:rsid w:val="00952510"/>
    <w:rsid w:val="0095471B"/>
    <w:rsid w:val="0095729F"/>
    <w:rsid w:val="00962A49"/>
    <w:rsid w:val="0096366F"/>
    <w:rsid w:val="009673AB"/>
    <w:rsid w:val="00970E5F"/>
    <w:rsid w:val="00971D47"/>
    <w:rsid w:val="009752B4"/>
    <w:rsid w:val="00975E32"/>
    <w:rsid w:val="009861B0"/>
    <w:rsid w:val="009861EF"/>
    <w:rsid w:val="00986D60"/>
    <w:rsid w:val="009905FE"/>
    <w:rsid w:val="009907DC"/>
    <w:rsid w:val="00995AC1"/>
    <w:rsid w:val="00996431"/>
    <w:rsid w:val="0099716D"/>
    <w:rsid w:val="009A15E0"/>
    <w:rsid w:val="009A5DC0"/>
    <w:rsid w:val="009A77F1"/>
    <w:rsid w:val="009B42C1"/>
    <w:rsid w:val="009B4A56"/>
    <w:rsid w:val="009C1442"/>
    <w:rsid w:val="009C55EE"/>
    <w:rsid w:val="009D16DF"/>
    <w:rsid w:val="009D2852"/>
    <w:rsid w:val="009D61AE"/>
    <w:rsid w:val="009E53E0"/>
    <w:rsid w:val="009F0AA5"/>
    <w:rsid w:val="009F1781"/>
    <w:rsid w:val="009F3F60"/>
    <w:rsid w:val="009F7A29"/>
    <w:rsid w:val="00A00B73"/>
    <w:rsid w:val="00A015A2"/>
    <w:rsid w:val="00A01B7A"/>
    <w:rsid w:val="00A0492E"/>
    <w:rsid w:val="00A06033"/>
    <w:rsid w:val="00A1002B"/>
    <w:rsid w:val="00A12C27"/>
    <w:rsid w:val="00A17E91"/>
    <w:rsid w:val="00A206CC"/>
    <w:rsid w:val="00A21D56"/>
    <w:rsid w:val="00A2232F"/>
    <w:rsid w:val="00A2646E"/>
    <w:rsid w:val="00A31194"/>
    <w:rsid w:val="00A330A6"/>
    <w:rsid w:val="00A336D2"/>
    <w:rsid w:val="00A379A7"/>
    <w:rsid w:val="00A40E59"/>
    <w:rsid w:val="00A43133"/>
    <w:rsid w:val="00A43C19"/>
    <w:rsid w:val="00A455CF"/>
    <w:rsid w:val="00A45E11"/>
    <w:rsid w:val="00A473F8"/>
    <w:rsid w:val="00A50C6C"/>
    <w:rsid w:val="00A53310"/>
    <w:rsid w:val="00A60222"/>
    <w:rsid w:val="00A623E6"/>
    <w:rsid w:val="00A62FAB"/>
    <w:rsid w:val="00A64EF7"/>
    <w:rsid w:val="00A65E62"/>
    <w:rsid w:val="00A679C2"/>
    <w:rsid w:val="00A67CEB"/>
    <w:rsid w:val="00A71831"/>
    <w:rsid w:val="00A8030B"/>
    <w:rsid w:val="00A811C5"/>
    <w:rsid w:val="00A83CC7"/>
    <w:rsid w:val="00A90A4D"/>
    <w:rsid w:val="00A90E31"/>
    <w:rsid w:val="00A9132F"/>
    <w:rsid w:val="00A93556"/>
    <w:rsid w:val="00A93B89"/>
    <w:rsid w:val="00A956DC"/>
    <w:rsid w:val="00AA04CD"/>
    <w:rsid w:val="00AA1493"/>
    <w:rsid w:val="00AA16C0"/>
    <w:rsid w:val="00AA6222"/>
    <w:rsid w:val="00AB44F1"/>
    <w:rsid w:val="00AB7D8F"/>
    <w:rsid w:val="00AC1D13"/>
    <w:rsid w:val="00AC25AB"/>
    <w:rsid w:val="00AC4B3E"/>
    <w:rsid w:val="00AD0259"/>
    <w:rsid w:val="00AD496D"/>
    <w:rsid w:val="00AE0BC2"/>
    <w:rsid w:val="00AE2DCC"/>
    <w:rsid w:val="00AF15D0"/>
    <w:rsid w:val="00AF2CDE"/>
    <w:rsid w:val="00AF3AE7"/>
    <w:rsid w:val="00AF6B13"/>
    <w:rsid w:val="00AF7B75"/>
    <w:rsid w:val="00B00BCD"/>
    <w:rsid w:val="00B0608E"/>
    <w:rsid w:val="00B06574"/>
    <w:rsid w:val="00B06930"/>
    <w:rsid w:val="00B249BA"/>
    <w:rsid w:val="00B33010"/>
    <w:rsid w:val="00B33974"/>
    <w:rsid w:val="00B418ED"/>
    <w:rsid w:val="00B43C1D"/>
    <w:rsid w:val="00B47C31"/>
    <w:rsid w:val="00B50556"/>
    <w:rsid w:val="00B51F2B"/>
    <w:rsid w:val="00B54642"/>
    <w:rsid w:val="00B70C6E"/>
    <w:rsid w:val="00B72B90"/>
    <w:rsid w:val="00B7303C"/>
    <w:rsid w:val="00B74CC6"/>
    <w:rsid w:val="00B777D7"/>
    <w:rsid w:val="00B825AD"/>
    <w:rsid w:val="00B83963"/>
    <w:rsid w:val="00B83BF8"/>
    <w:rsid w:val="00B86E79"/>
    <w:rsid w:val="00B9284E"/>
    <w:rsid w:val="00B92A87"/>
    <w:rsid w:val="00B93A3C"/>
    <w:rsid w:val="00B9437F"/>
    <w:rsid w:val="00B94F9D"/>
    <w:rsid w:val="00B96973"/>
    <w:rsid w:val="00B978CD"/>
    <w:rsid w:val="00BA1C20"/>
    <w:rsid w:val="00BB278B"/>
    <w:rsid w:val="00BB5B93"/>
    <w:rsid w:val="00BC1979"/>
    <w:rsid w:val="00BC589F"/>
    <w:rsid w:val="00BD31F2"/>
    <w:rsid w:val="00BD4A4E"/>
    <w:rsid w:val="00BD4AB9"/>
    <w:rsid w:val="00BE2337"/>
    <w:rsid w:val="00BE78E3"/>
    <w:rsid w:val="00BF1BEC"/>
    <w:rsid w:val="00BF4ECD"/>
    <w:rsid w:val="00BF7581"/>
    <w:rsid w:val="00BF7887"/>
    <w:rsid w:val="00C02DED"/>
    <w:rsid w:val="00C05834"/>
    <w:rsid w:val="00C079EE"/>
    <w:rsid w:val="00C11B5A"/>
    <w:rsid w:val="00C155D8"/>
    <w:rsid w:val="00C159BB"/>
    <w:rsid w:val="00C17DA1"/>
    <w:rsid w:val="00C26AEF"/>
    <w:rsid w:val="00C276B3"/>
    <w:rsid w:val="00C27AE1"/>
    <w:rsid w:val="00C40707"/>
    <w:rsid w:val="00C41F9B"/>
    <w:rsid w:val="00C43E2A"/>
    <w:rsid w:val="00C44F23"/>
    <w:rsid w:val="00C46299"/>
    <w:rsid w:val="00C4688C"/>
    <w:rsid w:val="00C4726E"/>
    <w:rsid w:val="00C47D2C"/>
    <w:rsid w:val="00C50065"/>
    <w:rsid w:val="00C57A6F"/>
    <w:rsid w:val="00C6088C"/>
    <w:rsid w:val="00C60FC8"/>
    <w:rsid w:val="00C6410A"/>
    <w:rsid w:val="00C709A0"/>
    <w:rsid w:val="00C73648"/>
    <w:rsid w:val="00C756F5"/>
    <w:rsid w:val="00C80852"/>
    <w:rsid w:val="00C81181"/>
    <w:rsid w:val="00C833E1"/>
    <w:rsid w:val="00C865C6"/>
    <w:rsid w:val="00C95A32"/>
    <w:rsid w:val="00C97679"/>
    <w:rsid w:val="00CA76AC"/>
    <w:rsid w:val="00CB0BEC"/>
    <w:rsid w:val="00CB316B"/>
    <w:rsid w:val="00CB532C"/>
    <w:rsid w:val="00CB6E5B"/>
    <w:rsid w:val="00CB771B"/>
    <w:rsid w:val="00CC1E4D"/>
    <w:rsid w:val="00CC47C7"/>
    <w:rsid w:val="00CD1230"/>
    <w:rsid w:val="00CD1F5D"/>
    <w:rsid w:val="00CD2EF3"/>
    <w:rsid w:val="00CD444A"/>
    <w:rsid w:val="00CD6F72"/>
    <w:rsid w:val="00CE4BFF"/>
    <w:rsid w:val="00CE7D15"/>
    <w:rsid w:val="00CF21B0"/>
    <w:rsid w:val="00CF4A6A"/>
    <w:rsid w:val="00D01419"/>
    <w:rsid w:val="00D01A0F"/>
    <w:rsid w:val="00D034A9"/>
    <w:rsid w:val="00D039E8"/>
    <w:rsid w:val="00D03E61"/>
    <w:rsid w:val="00D2291F"/>
    <w:rsid w:val="00D25BE0"/>
    <w:rsid w:val="00D30990"/>
    <w:rsid w:val="00D30FD1"/>
    <w:rsid w:val="00D32FB9"/>
    <w:rsid w:val="00D33F23"/>
    <w:rsid w:val="00D53705"/>
    <w:rsid w:val="00D565FE"/>
    <w:rsid w:val="00D60614"/>
    <w:rsid w:val="00D648BE"/>
    <w:rsid w:val="00D64F25"/>
    <w:rsid w:val="00D66A9D"/>
    <w:rsid w:val="00D677B5"/>
    <w:rsid w:val="00D72210"/>
    <w:rsid w:val="00D80745"/>
    <w:rsid w:val="00D82633"/>
    <w:rsid w:val="00D83B69"/>
    <w:rsid w:val="00D85831"/>
    <w:rsid w:val="00D85C3F"/>
    <w:rsid w:val="00D875B3"/>
    <w:rsid w:val="00D87D9A"/>
    <w:rsid w:val="00D90B12"/>
    <w:rsid w:val="00D94910"/>
    <w:rsid w:val="00D949C6"/>
    <w:rsid w:val="00D95221"/>
    <w:rsid w:val="00D9562C"/>
    <w:rsid w:val="00DA1A78"/>
    <w:rsid w:val="00DA5B7A"/>
    <w:rsid w:val="00DA60BD"/>
    <w:rsid w:val="00DB2CE9"/>
    <w:rsid w:val="00DB57A3"/>
    <w:rsid w:val="00DB5DF9"/>
    <w:rsid w:val="00DC6393"/>
    <w:rsid w:val="00DC6C5E"/>
    <w:rsid w:val="00DD0935"/>
    <w:rsid w:val="00DD099D"/>
    <w:rsid w:val="00DD0BEC"/>
    <w:rsid w:val="00DE1DD9"/>
    <w:rsid w:val="00DE1FCA"/>
    <w:rsid w:val="00DE1FF7"/>
    <w:rsid w:val="00DE394B"/>
    <w:rsid w:val="00DE5417"/>
    <w:rsid w:val="00DE6325"/>
    <w:rsid w:val="00DE7CE4"/>
    <w:rsid w:val="00DF1CC3"/>
    <w:rsid w:val="00DF5591"/>
    <w:rsid w:val="00DF7D7C"/>
    <w:rsid w:val="00E006DF"/>
    <w:rsid w:val="00E02426"/>
    <w:rsid w:val="00E02663"/>
    <w:rsid w:val="00E0619F"/>
    <w:rsid w:val="00E10BA5"/>
    <w:rsid w:val="00E134E6"/>
    <w:rsid w:val="00E20C35"/>
    <w:rsid w:val="00E214F2"/>
    <w:rsid w:val="00E21FB4"/>
    <w:rsid w:val="00E23A0A"/>
    <w:rsid w:val="00E24980"/>
    <w:rsid w:val="00E2741A"/>
    <w:rsid w:val="00E27876"/>
    <w:rsid w:val="00E35814"/>
    <w:rsid w:val="00E36E64"/>
    <w:rsid w:val="00E4062F"/>
    <w:rsid w:val="00E4091B"/>
    <w:rsid w:val="00E416F1"/>
    <w:rsid w:val="00E42582"/>
    <w:rsid w:val="00E42617"/>
    <w:rsid w:val="00E43808"/>
    <w:rsid w:val="00E45EB8"/>
    <w:rsid w:val="00E55EDC"/>
    <w:rsid w:val="00E573F1"/>
    <w:rsid w:val="00E615D5"/>
    <w:rsid w:val="00E61CDF"/>
    <w:rsid w:val="00E64298"/>
    <w:rsid w:val="00E6518B"/>
    <w:rsid w:val="00E65B1A"/>
    <w:rsid w:val="00E7049C"/>
    <w:rsid w:val="00E705A6"/>
    <w:rsid w:val="00E714C8"/>
    <w:rsid w:val="00E73923"/>
    <w:rsid w:val="00E74B04"/>
    <w:rsid w:val="00E74E8C"/>
    <w:rsid w:val="00E756A1"/>
    <w:rsid w:val="00E844D5"/>
    <w:rsid w:val="00E87B7C"/>
    <w:rsid w:val="00E94A12"/>
    <w:rsid w:val="00E96F6F"/>
    <w:rsid w:val="00EA0D80"/>
    <w:rsid w:val="00EA4C65"/>
    <w:rsid w:val="00EA6EDB"/>
    <w:rsid w:val="00EB69F4"/>
    <w:rsid w:val="00EC0829"/>
    <w:rsid w:val="00EC0AA5"/>
    <w:rsid w:val="00EC292E"/>
    <w:rsid w:val="00EC3999"/>
    <w:rsid w:val="00EC41F1"/>
    <w:rsid w:val="00ED5DB5"/>
    <w:rsid w:val="00EE0B23"/>
    <w:rsid w:val="00EE1B9F"/>
    <w:rsid w:val="00EE3788"/>
    <w:rsid w:val="00EE781F"/>
    <w:rsid w:val="00EE7BDA"/>
    <w:rsid w:val="00EF0A18"/>
    <w:rsid w:val="00EF1689"/>
    <w:rsid w:val="00EF1A99"/>
    <w:rsid w:val="00EF1E49"/>
    <w:rsid w:val="00EF3E48"/>
    <w:rsid w:val="00EF4081"/>
    <w:rsid w:val="00EF4A91"/>
    <w:rsid w:val="00EF4BFD"/>
    <w:rsid w:val="00EF564B"/>
    <w:rsid w:val="00F000F2"/>
    <w:rsid w:val="00F0591C"/>
    <w:rsid w:val="00F15E6C"/>
    <w:rsid w:val="00F17BF7"/>
    <w:rsid w:val="00F22575"/>
    <w:rsid w:val="00F2426F"/>
    <w:rsid w:val="00F25D4C"/>
    <w:rsid w:val="00F271DD"/>
    <w:rsid w:val="00F32175"/>
    <w:rsid w:val="00F32B77"/>
    <w:rsid w:val="00F352E6"/>
    <w:rsid w:val="00F35900"/>
    <w:rsid w:val="00F365A8"/>
    <w:rsid w:val="00F367C0"/>
    <w:rsid w:val="00F36A9B"/>
    <w:rsid w:val="00F37F95"/>
    <w:rsid w:val="00F40CF2"/>
    <w:rsid w:val="00F4121F"/>
    <w:rsid w:val="00F41611"/>
    <w:rsid w:val="00F435E5"/>
    <w:rsid w:val="00F43C74"/>
    <w:rsid w:val="00F4449A"/>
    <w:rsid w:val="00F44B4D"/>
    <w:rsid w:val="00F44C87"/>
    <w:rsid w:val="00F47AA4"/>
    <w:rsid w:val="00F570AE"/>
    <w:rsid w:val="00F57127"/>
    <w:rsid w:val="00F60787"/>
    <w:rsid w:val="00F63E20"/>
    <w:rsid w:val="00F65244"/>
    <w:rsid w:val="00F708E1"/>
    <w:rsid w:val="00F70CFA"/>
    <w:rsid w:val="00F73A15"/>
    <w:rsid w:val="00F745FF"/>
    <w:rsid w:val="00F7554D"/>
    <w:rsid w:val="00F76926"/>
    <w:rsid w:val="00F80B4D"/>
    <w:rsid w:val="00F84670"/>
    <w:rsid w:val="00F84B6A"/>
    <w:rsid w:val="00F85FA4"/>
    <w:rsid w:val="00F87E90"/>
    <w:rsid w:val="00F913E5"/>
    <w:rsid w:val="00F9219F"/>
    <w:rsid w:val="00F92651"/>
    <w:rsid w:val="00F936DB"/>
    <w:rsid w:val="00F93C8B"/>
    <w:rsid w:val="00F97332"/>
    <w:rsid w:val="00FA16F5"/>
    <w:rsid w:val="00FA3612"/>
    <w:rsid w:val="00FB043D"/>
    <w:rsid w:val="00FB3ADE"/>
    <w:rsid w:val="00FB6349"/>
    <w:rsid w:val="00FC046E"/>
    <w:rsid w:val="00FC4CF2"/>
    <w:rsid w:val="00FC5149"/>
    <w:rsid w:val="00FD7A2F"/>
    <w:rsid w:val="00FE3292"/>
    <w:rsid w:val="00FF0DC6"/>
    <w:rsid w:val="00FF331E"/>
    <w:rsid w:val="00FF58BA"/>
    <w:rsid w:val="00FF7A32"/>
    <w:rsid w:val="177E0E94"/>
    <w:rsid w:val="35162DC1"/>
    <w:rsid w:val="68BE6FCC"/>
    <w:rsid w:val="78AA6AF8"/>
    <w:rsid w:val="79200AEA"/>
    <w:rsid w:val="7A0A46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qFormat="1"/>
    <w:lsdException w:name="heading 3" w:semiHidden="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10" w:unhideWhenUsed="0" w:qFormat="1"/>
    <w:lsdException w:name="Default Paragraph Font" w:uiPriority="1" w:qFormat="1"/>
    <w:lsdException w:name="Subtitle" w:locked="1" w:semiHidden="0" w:uiPriority="11" w:unhideWhenUsed="0" w:qFormat="1"/>
    <w:lsdException w:name="Hyperlink" w:unhideWhenUsed="0" w:qFormat="1"/>
    <w:lsdException w:name="Strong" w:semiHidden="0" w:uiPriority="22" w:unhideWhenUsed="0" w:qFormat="1"/>
    <w:lsdException w:name="Emphasis" w:semiHidden="0" w:unhideWhenUsed="0" w:qFormat="1"/>
    <w:lsdException w:name="Normal (Web)" w:semiHidden="0" w:unhideWhenUsed="0" w:qFormat="1"/>
    <w:lsdException w:name="HTML Definition" w:unhideWhenUsed="0" w:qFormat="1"/>
    <w:lsdException w:name="Normal Table" w:qFormat="1"/>
    <w:lsdException w:name="Balloon Text"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9A7"/>
    <w:pPr>
      <w:spacing w:after="160" w:line="259" w:lineRule="auto"/>
    </w:pPr>
    <w:rPr>
      <w:sz w:val="22"/>
      <w:szCs w:val="22"/>
    </w:rPr>
  </w:style>
  <w:style w:type="paragraph" w:styleId="Heading1">
    <w:name w:val="heading 1"/>
    <w:basedOn w:val="Normal"/>
    <w:next w:val="Normal"/>
    <w:link w:val="Heading1Char"/>
    <w:uiPriority w:val="99"/>
    <w:qFormat/>
    <w:rsid w:val="00A379A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9"/>
    <w:unhideWhenUsed/>
    <w:qFormat/>
    <w:rsid w:val="00A379A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9"/>
    <w:unhideWhenUsed/>
    <w:qFormat/>
    <w:rsid w:val="00A379A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locked/>
    <w:rsid w:val="00A379A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locked/>
    <w:rsid w:val="00A379A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locked/>
    <w:rsid w:val="00A379A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locked/>
    <w:rsid w:val="00A379A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locked/>
    <w:rsid w:val="00A379A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locked/>
    <w:rsid w:val="00A379A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sid w:val="00A379A7"/>
    <w:pPr>
      <w:spacing w:after="0" w:line="240" w:lineRule="auto"/>
    </w:pPr>
    <w:rPr>
      <w:rFonts w:ascii="Tahoma" w:hAnsi="Tahoma" w:cs="Tahoma"/>
      <w:sz w:val="16"/>
      <w:szCs w:val="16"/>
    </w:rPr>
  </w:style>
  <w:style w:type="paragraph" w:styleId="Caption">
    <w:name w:val="caption"/>
    <w:basedOn w:val="Normal"/>
    <w:next w:val="Normal"/>
    <w:unhideWhenUsed/>
    <w:qFormat/>
    <w:locked/>
    <w:rsid w:val="00A379A7"/>
    <w:pPr>
      <w:spacing w:line="240" w:lineRule="auto"/>
    </w:pPr>
    <w:rPr>
      <w:b/>
      <w:bCs/>
      <w:smallCaps/>
      <w:color w:val="1F497D" w:themeColor="text2"/>
    </w:rPr>
  </w:style>
  <w:style w:type="paragraph" w:styleId="Footer">
    <w:name w:val="footer"/>
    <w:basedOn w:val="Normal"/>
    <w:link w:val="FooterChar"/>
    <w:uiPriority w:val="99"/>
    <w:qFormat/>
    <w:rsid w:val="00A379A7"/>
    <w:pPr>
      <w:tabs>
        <w:tab w:val="center" w:pos="4680"/>
        <w:tab w:val="right" w:pos="9360"/>
      </w:tabs>
      <w:spacing w:after="0" w:line="240" w:lineRule="auto"/>
    </w:pPr>
  </w:style>
  <w:style w:type="paragraph" w:styleId="Header">
    <w:name w:val="header"/>
    <w:basedOn w:val="Normal"/>
    <w:link w:val="HeaderChar"/>
    <w:uiPriority w:val="99"/>
    <w:qFormat/>
    <w:rsid w:val="00A379A7"/>
    <w:pPr>
      <w:tabs>
        <w:tab w:val="center" w:pos="4680"/>
        <w:tab w:val="right" w:pos="9360"/>
      </w:tabs>
      <w:spacing w:after="0" w:line="240" w:lineRule="auto"/>
    </w:pPr>
  </w:style>
  <w:style w:type="paragraph" w:styleId="NormalWeb">
    <w:name w:val="Normal (Web)"/>
    <w:basedOn w:val="Normal"/>
    <w:uiPriority w:val="99"/>
    <w:qFormat/>
    <w:rsid w:val="00A379A7"/>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next w:val="Normal"/>
    <w:link w:val="SubtitleChar"/>
    <w:uiPriority w:val="11"/>
    <w:qFormat/>
    <w:locked/>
    <w:rsid w:val="00A379A7"/>
    <w:pPr>
      <w:spacing w:after="240" w:line="240" w:lineRule="auto"/>
    </w:pPr>
    <w:rPr>
      <w:rFonts w:asciiTheme="majorHAnsi" w:eastAsiaTheme="majorEastAsia" w:hAnsiTheme="majorHAnsi" w:cstheme="majorBidi"/>
      <w:color w:val="4F81BD" w:themeColor="accent1"/>
      <w:sz w:val="28"/>
      <w:szCs w:val="28"/>
    </w:rPr>
  </w:style>
  <w:style w:type="paragraph" w:styleId="Title">
    <w:name w:val="Title"/>
    <w:basedOn w:val="Normal"/>
    <w:next w:val="Normal"/>
    <w:link w:val="TitleChar"/>
    <w:uiPriority w:val="10"/>
    <w:qFormat/>
    <w:locked/>
    <w:rsid w:val="00A379A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styleId="Emphasis">
    <w:name w:val="Emphasis"/>
    <w:basedOn w:val="DefaultParagraphFont"/>
    <w:uiPriority w:val="99"/>
    <w:qFormat/>
    <w:rsid w:val="00A379A7"/>
    <w:rPr>
      <w:i/>
      <w:iCs/>
    </w:rPr>
  </w:style>
  <w:style w:type="character" w:styleId="HTMLDefinition">
    <w:name w:val="HTML Definition"/>
    <w:basedOn w:val="DefaultParagraphFont"/>
    <w:uiPriority w:val="99"/>
    <w:semiHidden/>
    <w:qFormat/>
    <w:rsid w:val="00A379A7"/>
    <w:rPr>
      <w:rFonts w:cs="Times New Roman"/>
      <w:i/>
      <w:iCs/>
    </w:rPr>
  </w:style>
  <w:style w:type="character" w:styleId="Hyperlink">
    <w:name w:val="Hyperlink"/>
    <w:basedOn w:val="DefaultParagraphFont"/>
    <w:uiPriority w:val="99"/>
    <w:qFormat/>
    <w:rsid w:val="00A379A7"/>
    <w:rPr>
      <w:rFonts w:cs="Times New Roman"/>
      <w:color w:val="0000FF"/>
      <w:u w:val="single"/>
    </w:rPr>
  </w:style>
  <w:style w:type="character" w:styleId="Strong">
    <w:name w:val="Strong"/>
    <w:basedOn w:val="DefaultParagraphFont"/>
    <w:uiPriority w:val="22"/>
    <w:qFormat/>
    <w:rsid w:val="00A379A7"/>
    <w:rPr>
      <w:b/>
      <w:bCs/>
    </w:rPr>
  </w:style>
  <w:style w:type="table" w:styleId="TableGrid">
    <w:name w:val="Table Grid"/>
    <w:basedOn w:val="TableNormal"/>
    <w:uiPriority w:val="59"/>
    <w:qFormat/>
    <w:rsid w:val="00A379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qFormat/>
    <w:locked/>
    <w:rsid w:val="00A379A7"/>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9"/>
    <w:qFormat/>
    <w:locked/>
    <w:rsid w:val="00A379A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9"/>
    <w:qFormat/>
    <w:locked/>
    <w:rsid w:val="00A379A7"/>
    <w:rPr>
      <w:rFonts w:asciiTheme="majorHAnsi" w:eastAsiaTheme="majorEastAsia" w:hAnsiTheme="majorHAnsi" w:cstheme="majorBidi"/>
      <w:color w:val="365F91" w:themeColor="accent1" w:themeShade="BF"/>
      <w:sz w:val="28"/>
      <w:szCs w:val="28"/>
    </w:rPr>
  </w:style>
  <w:style w:type="character" w:customStyle="1" w:styleId="BalloonTextChar">
    <w:name w:val="Balloon Text Char"/>
    <w:basedOn w:val="DefaultParagraphFont"/>
    <w:link w:val="BalloonText"/>
    <w:uiPriority w:val="99"/>
    <w:semiHidden/>
    <w:qFormat/>
    <w:locked/>
    <w:rsid w:val="00A379A7"/>
    <w:rPr>
      <w:rFonts w:ascii="Tahoma" w:hAnsi="Tahoma" w:cs="Tahoma"/>
      <w:sz w:val="16"/>
      <w:szCs w:val="16"/>
    </w:rPr>
  </w:style>
  <w:style w:type="character" w:customStyle="1" w:styleId="HeaderChar">
    <w:name w:val="Header Char"/>
    <w:basedOn w:val="DefaultParagraphFont"/>
    <w:link w:val="Header"/>
    <w:uiPriority w:val="99"/>
    <w:qFormat/>
    <w:locked/>
    <w:rsid w:val="00A379A7"/>
    <w:rPr>
      <w:rFonts w:cs="Times New Roman"/>
    </w:rPr>
  </w:style>
  <w:style w:type="character" w:customStyle="1" w:styleId="FooterChar">
    <w:name w:val="Footer Char"/>
    <w:basedOn w:val="DefaultParagraphFont"/>
    <w:link w:val="Footer"/>
    <w:uiPriority w:val="99"/>
    <w:qFormat/>
    <w:locked/>
    <w:rsid w:val="00A379A7"/>
    <w:rPr>
      <w:rFonts w:cs="Times New Roman"/>
    </w:rPr>
  </w:style>
  <w:style w:type="paragraph" w:customStyle="1" w:styleId="Default">
    <w:name w:val="Default"/>
    <w:uiPriority w:val="99"/>
    <w:qFormat/>
    <w:rsid w:val="00A379A7"/>
    <w:pPr>
      <w:autoSpaceDE w:val="0"/>
      <w:autoSpaceDN w:val="0"/>
      <w:adjustRightInd w:val="0"/>
      <w:spacing w:after="160" w:line="259" w:lineRule="auto"/>
    </w:pPr>
    <w:rPr>
      <w:rFonts w:ascii="Times New Roman" w:hAnsi="Times New Roman"/>
      <w:color w:val="000000"/>
      <w:sz w:val="24"/>
      <w:szCs w:val="24"/>
    </w:rPr>
  </w:style>
  <w:style w:type="paragraph" w:styleId="ListParagraph">
    <w:name w:val="List Paragraph"/>
    <w:basedOn w:val="Normal"/>
    <w:uiPriority w:val="34"/>
    <w:qFormat/>
    <w:rsid w:val="00A379A7"/>
    <w:pPr>
      <w:ind w:left="720"/>
      <w:contextualSpacing/>
    </w:pPr>
  </w:style>
  <w:style w:type="character" w:customStyle="1" w:styleId="apple-style-span">
    <w:name w:val="apple-style-span"/>
    <w:basedOn w:val="DefaultParagraphFont"/>
    <w:uiPriority w:val="99"/>
    <w:qFormat/>
    <w:rsid w:val="00A379A7"/>
    <w:rPr>
      <w:rFonts w:cs="Times New Roman"/>
    </w:rPr>
  </w:style>
  <w:style w:type="character" w:customStyle="1" w:styleId="definition-url">
    <w:name w:val="definition-url"/>
    <w:basedOn w:val="DefaultParagraphFont"/>
    <w:uiPriority w:val="99"/>
    <w:qFormat/>
    <w:rsid w:val="00A379A7"/>
    <w:rPr>
      <w:rFonts w:cs="Times New Roman"/>
    </w:rPr>
  </w:style>
  <w:style w:type="table" w:customStyle="1" w:styleId="TableGrid1">
    <w:name w:val="Table Grid1"/>
    <w:uiPriority w:val="99"/>
    <w:qFormat/>
    <w:rsid w:val="00A37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qFormat/>
    <w:rsid w:val="00A379A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qFormat/>
    <w:rsid w:val="00A379A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A379A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A379A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A379A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A379A7"/>
    <w:rPr>
      <w:rFonts w:asciiTheme="majorHAnsi" w:eastAsiaTheme="majorEastAsia" w:hAnsiTheme="majorHAnsi" w:cstheme="majorBidi"/>
      <w:i/>
      <w:iCs/>
      <w:color w:val="244061" w:themeColor="accent1" w:themeShade="80"/>
    </w:rPr>
  </w:style>
  <w:style w:type="character" w:customStyle="1" w:styleId="TitleChar">
    <w:name w:val="Title Char"/>
    <w:basedOn w:val="DefaultParagraphFont"/>
    <w:link w:val="Title"/>
    <w:uiPriority w:val="10"/>
    <w:rsid w:val="00A379A7"/>
    <w:rPr>
      <w:rFonts w:asciiTheme="majorHAnsi" w:eastAsiaTheme="majorEastAsia" w:hAnsiTheme="majorHAnsi" w:cstheme="majorBidi"/>
      <w:caps/>
      <w:color w:val="1F497D" w:themeColor="text2"/>
      <w:spacing w:val="-15"/>
      <w:sz w:val="72"/>
      <w:szCs w:val="72"/>
    </w:rPr>
  </w:style>
  <w:style w:type="character" w:customStyle="1" w:styleId="SubtitleChar">
    <w:name w:val="Subtitle Char"/>
    <w:basedOn w:val="DefaultParagraphFont"/>
    <w:link w:val="Subtitle"/>
    <w:uiPriority w:val="11"/>
    <w:rsid w:val="00A379A7"/>
    <w:rPr>
      <w:rFonts w:asciiTheme="majorHAnsi" w:eastAsiaTheme="majorEastAsia" w:hAnsiTheme="majorHAnsi" w:cstheme="majorBidi"/>
      <w:color w:val="4F81BD" w:themeColor="accent1"/>
      <w:sz w:val="28"/>
      <w:szCs w:val="28"/>
    </w:rPr>
  </w:style>
  <w:style w:type="paragraph" w:styleId="NoSpacing">
    <w:name w:val="No Spacing"/>
    <w:uiPriority w:val="1"/>
    <w:qFormat/>
    <w:rsid w:val="00A379A7"/>
    <w:pPr>
      <w:spacing w:after="0" w:line="240" w:lineRule="auto"/>
    </w:pPr>
    <w:rPr>
      <w:sz w:val="22"/>
      <w:szCs w:val="22"/>
    </w:rPr>
  </w:style>
  <w:style w:type="paragraph" w:styleId="Quote">
    <w:name w:val="Quote"/>
    <w:basedOn w:val="Normal"/>
    <w:next w:val="Normal"/>
    <w:link w:val="QuoteChar"/>
    <w:uiPriority w:val="29"/>
    <w:qFormat/>
    <w:rsid w:val="00A379A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379A7"/>
    <w:rPr>
      <w:color w:val="1F497D" w:themeColor="text2"/>
      <w:sz w:val="24"/>
      <w:szCs w:val="24"/>
    </w:rPr>
  </w:style>
  <w:style w:type="paragraph" w:styleId="IntenseQuote">
    <w:name w:val="Intense Quote"/>
    <w:basedOn w:val="Normal"/>
    <w:next w:val="Normal"/>
    <w:link w:val="IntenseQuoteChar"/>
    <w:uiPriority w:val="30"/>
    <w:qFormat/>
    <w:rsid w:val="00A379A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379A7"/>
    <w:rPr>
      <w:rFonts w:asciiTheme="majorHAnsi" w:eastAsiaTheme="majorEastAsia" w:hAnsiTheme="majorHAnsi" w:cstheme="majorBidi"/>
      <w:color w:val="1F497D" w:themeColor="text2"/>
      <w:spacing w:val="-6"/>
      <w:sz w:val="32"/>
      <w:szCs w:val="32"/>
    </w:rPr>
  </w:style>
  <w:style w:type="character" w:customStyle="1" w:styleId="SubtleEmphasis1">
    <w:name w:val="Subtle Emphasis1"/>
    <w:basedOn w:val="DefaultParagraphFont"/>
    <w:uiPriority w:val="19"/>
    <w:qFormat/>
    <w:rsid w:val="00A379A7"/>
    <w:rPr>
      <w:i/>
      <w:iCs/>
      <w:color w:val="595959" w:themeColor="text1" w:themeTint="A6"/>
    </w:rPr>
  </w:style>
  <w:style w:type="character" w:customStyle="1" w:styleId="IntenseEmphasis1">
    <w:name w:val="Intense Emphasis1"/>
    <w:basedOn w:val="DefaultParagraphFont"/>
    <w:uiPriority w:val="21"/>
    <w:qFormat/>
    <w:rsid w:val="00A379A7"/>
    <w:rPr>
      <w:b/>
      <w:bCs/>
      <w:i/>
      <w:iCs/>
    </w:rPr>
  </w:style>
  <w:style w:type="character" w:customStyle="1" w:styleId="SubtleReference1">
    <w:name w:val="Subtle Reference1"/>
    <w:basedOn w:val="DefaultParagraphFont"/>
    <w:uiPriority w:val="31"/>
    <w:qFormat/>
    <w:rsid w:val="00A379A7"/>
    <w:rPr>
      <w:smallCaps/>
      <w:color w:val="595959" w:themeColor="text1" w:themeTint="A6"/>
      <w:u w:val="none" w:color="7F7F7F" w:themeColor="text1" w:themeTint="80"/>
    </w:rPr>
  </w:style>
  <w:style w:type="character" w:customStyle="1" w:styleId="IntenseReference1">
    <w:name w:val="Intense Reference1"/>
    <w:basedOn w:val="DefaultParagraphFont"/>
    <w:uiPriority w:val="32"/>
    <w:qFormat/>
    <w:rsid w:val="00A379A7"/>
    <w:rPr>
      <w:b/>
      <w:bCs/>
      <w:smallCaps/>
      <w:color w:val="1F497D" w:themeColor="text2"/>
      <w:u w:val="single"/>
    </w:rPr>
  </w:style>
  <w:style w:type="character" w:customStyle="1" w:styleId="BookTitle1">
    <w:name w:val="Book Title1"/>
    <w:basedOn w:val="DefaultParagraphFont"/>
    <w:uiPriority w:val="33"/>
    <w:qFormat/>
    <w:rsid w:val="00A379A7"/>
    <w:rPr>
      <w:b/>
      <w:bCs/>
      <w:smallCaps/>
      <w:spacing w:val="10"/>
    </w:rPr>
  </w:style>
  <w:style w:type="paragraph" w:customStyle="1" w:styleId="TOCHeading1">
    <w:name w:val="TOC Heading1"/>
    <w:basedOn w:val="Heading1"/>
    <w:next w:val="Normal"/>
    <w:uiPriority w:val="39"/>
    <w:semiHidden/>
    <w:unhideWhenUsed/>
    <w:qFormat/>
    <w:rsid w:val="00A379A7"/>
    <w:pPr>
      <w:outlineLvl w:val="9"/>
    </w:pPr>
  </w:style>
  <w:style w:type="table" w:customStyle="1" w:styleId="LightList-Accent11">
    <w:name w:val="Light List - Accent 11"/>
    <w:basedOn w:val="TableNormal"/>
    <w:uiPriority w:val="61"/>
    <w:rsid w:val="00A379A7"/>
    <w:pPr>
      <w:spacing w:after="0" w:line="240" w:lineRule="auto"/>
    </w:pPr>
    <w:rPr>
      <w:rFonts w:ascii="Calibri" w:eastAsia="Calibri" w:hAnsi="Calibri" w:cs="Times New Roman"/>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2-Accent11">
    <w:name w:val="Medium Shading 2 - Accent 11"/>
    <w:basedOn w:val="TableNormal"/>
    <w:uiPriority w:val="64"/>
    <w:rsid w:val="00A379A7"/>
    <w:pPr>
      <w:spacing w:after="0" w:line="240" w:lineRule="auto"/>
    </w:pPr>
    <w:rPr>
      <w:rFonts w:ascii="Calibri" w:eastAsia="Calibri" w:hAnsi="Calibri" w:cs="Times New Roman"/>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4071F0"/>
    <w:pPr>
      <w:keepNext w:val="0"/>
      <w:keepLines w:val="0"/>
      <w:spacing w:before="480" w:after="0" w:line="276" w:lineRule="auto"/>
      <w:contextualSpacing/>
      <w:outlineLvl w:val="9"/>
    </w:pPr>
    <w:rPr>
      <w:b/>
      <w:bCs/>
      <w:color w:val="auto"/>
      <w:sz w:val="28"/>
      <w:szCs w:val="28"/>
      <w:lang w:bidi="en-US"/>
    </w:rPr>
  </w:style>
  <w:style w:type="paragraph" w:styleId="TOC1">
    <w:name w:val="toc 1"/>
    <w:basedOn w:val="Normal"/>
    <w:next w:val="Normal"/>
    <w:autoRedefine/>
    <w:uiPriority w:val="39"/>
    <w:unhideWhenUsed/>
    <w:locked/>
    <w:rsid w:val="004071F0"/>
    <w:pPr>
      <w:spacing w:after="100" w:line="276" w:lineRule="auto"/>
    </w:pPr>
  </w:style>
  <w:style w:type="paragraph" w:styleId="TOC2">
    <w:name w:val="toc 2"/>
    <w:basedOn w:val="Normal"/>
    <w:next w:val="Normal"/>
    <w:autoRedefine/>
    <w:uiPriority w:val="39"/>
    <w:unhideWhenUsed/>
    <w:locked/>
    <w:rsid w:val="004071F0"/>
    <w:pPr>
      <w:spacing w:after="100" w:line="276" w:lineRule="auto"/>
      <w:ind w:left="220"/>
    </w:pPr>
  </w:style>
  <w:style w:type="paragraph" w:styleId="TOC3">
    <w:name w:val="toc 3"/>
    <w:basedOn w:val="Normal"/>
    <w:next w:val="Normal"/>
    <w:autoRedefine/>
    <w:uiPriority w:val="39"/>
    <w:unhideWhenUsed/>
    <w:locked/>
    <w:rsid w:val="004071F0"/>
    <w:pPr>
      <w:spacing w:after="100" w:line="276" w:lineRule="auto"/>
      <w:ind w:left="440"/>
    </w:pPr>
  </w:style>
</w:styles>
</file>

<file path=word/webSettings.xml><?xml version="1.0" encoding="utf-8"?>
<w:webSettings xmlns:r="http://schemas.openxmlformats.org/officeDocument/2006/relationships" xmlns:w="http://schemas.openxmlformats.org/wordprocessingml/2006/main">
  <w:divs>
    <w:div w:id="160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Cilegon" TargetMode="External"/><Relationship Id="rId18" Type="http://schemas.openxmlformats.org/officeDocument/2006/relationships/diagramColors" Target="diagrams/colors1.xml"/><Relationship Id="rId26" Type="http://schemas.openxmlformats.org/officeDocument/2006/relationships/chart" Target="charts/chart8.xml"/><Relationship Id="rId39" Type="http://schemas.openxmlformats.org/officeDocument/2006/relationships/hyperlink" Target="http://www.linde.com.bd/en/index.html" TargetMode="External"/><Relationship Id="rId3" Type="http://schemas.openxmlformats.org/officeDocument/2006/relationships/numbering" Target="numbering.xml"/><Relationship Id="rId21" Type="http://schemas.openxmlformats.org/officeDocument/2006/relationships/chart" Target="charts/chart3.xml"/><Relationship Id="rId34" Type="http://schemas.openxmlformats.org/officeDocument/2006/relationships/chart" Target="charts/chart16.xm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en.wikipedia.org/wiki/The_BOC_Group" TargetMode="External"/><Relationship Id="rId17" Type="http://schemas.openxmlformats.org/officeDocument/2006/relationships/diagramQuickStyle" Target="diagrams/quickStyle1.xm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chart" Target="charts/chart2.xml"/><Relationship Id="rId29" Type="http://schemas.openxmlformats.org/officeDocument/2006/relationships/chart" Target="charts/chart11.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hyperlink" Target="http://www.linde.com.bd/en/investor_relations/financial_statements/index.html"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image" Target="media/image2.png"/><Relationship Id="rId19" Type="http://schemas.openxmlformats.org/officeDocument/2006/relationships/chart" Target="charts/chart1.xml"/><Relationship Id="rId31" Type="http://schemas.openxmlformats.org/officeDocument/2006/relationships/chart" Target="charts/chart13.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en.wikipedia.org/wiki/Banten" TargetMode="Externa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Sheet1!$A$2:$A$4</c:f>
              <c:numCache>
                <c:formatCode>General</c:formatCode>
                <c:ptCount val="3"/>
                <c:pt idx="0">
                  <c:v>2016</c:v>
                </c:pt>
                <c:pt idx="1">
                  <c:v>2017</c:v>
                </c:pt>
              </c:numCache>
            </c:numRef>
          </c:cat>
          <c:val>
            <c:numRef>
              <c:f>Sheet1!$B$2:$B$4</c:f>
              <c:numCache>
                <c:formatCode>General</c:formatCode>
                <c:ptCount val="3"/>
                <c:pt idx="0">
                  <c:v>1.55</c:v>
                </c:pt>
                <c:pt idx="1">
                  <c:v>1.6700000000000021</c:v>
                </c:pt>
              </c:numCache>
            </c:numRef>
          </c:val>
        </c:ser>
        <c:overlap val="100"/>
        <c:axId val="132249472"/>
        <c:axId val="132251008"/>
      </c:barChart>
      <c:catAx>
        <c:axId val="132249472"/>
        <c:scaling>
          <c:orientation val="minMax"/>
        </c:scaling>
        <c:axPos val="b"/>
        <c:numFmt formatCode="General" sourceLinked="1"/>
        <c:tickLblPos val="nextTo"/>
        <c:crossAx val="132251008"/>
        <c:crosses val="autoZero"/>
        <c:auto val="1"/>
        <c:lblAlgn val="ctr"/>
        <c:lblOffset val="100"/>
      </c:catAx>
      <c:valAx>
        <c:axId val="132251008"/>
        <c:scaling>
          <c:orientation val="minMax"/>
        </c:scaling>
        <c:axPos val="l"/>
        <c:majorGridlines/>
        <c:numFmt formatCode="General" sourceLinked="1"/>
        <c:tickLblPos val="nextTo"/>
        <c:crossAx val="132249472"/>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Sheet1!$A$2:$A$4</c:f>
              <c:numCache>
                <c:formatCode>General</c:formatCode>
                <c:ptCount val="3"/>
                <c:pt idx="0">
                  <c:v>2016</c:v>
                </c:pt>
                <c:pt idx="1">
                  <c:v>2017</c:v>
                </c:pt>
              </c:numCache>
            </c:numRef>
          </c:cat>
          <c:val>
            <c:numRef>
              <c:f>Sheet1!$B$2:$B$4</c:f>
              <c:numCache>
                <c:formatCode>General</c:formatCode>
                <c:ptCount val="3"/>
                <c:pt idx="0">
                  <c:v>1.1499999999999972</c:v>
                </c:pt>
                <c:pt idx="1">
                  <c:v>1.24</c:v>
                </c:pt>
              </c:numCache>
            </c:numRef>
          </c:val>
        </c:ser>
        <c:overlap val="100"/>
        <c:axId val="132262144"/>
        <c:axId val="132448256"/>
      </c:barChart>
      <c:catAx>
        <c:axId val="132262144"/>
        <c:scaling>
          <c:orientation val="minMax"/>
        </c:scaling>
        <c:axPos val="b"/>
        <c:numFmt formatCode="General" sourceLinked="1"/>
        <c:tickLblPos val="nextTo"/>
        <c:crossAx val="132448256"/>
        <c:crosses val="autoZero"/>
        <c:auto val="1"/>
        <c:lblAlgn val="ctr"/>
        <c:lblOffset val="100"/>
      </c:catAx>
      <c:valAx>
        <c:axId val="132448256"/>
        <c:scaling>
          <c:orientation val="minMax"/>
        </c:scaling>
        <c:axPos val="l"/>
        <c:majorGridlines/>
        <c:numFmt formatCode="General" sourceLinked="1"/>
        <c:tickLblPos val="nextTo"/>
        <c:crossAx val="13226214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Current Ratio</c:v>
                </c:pt>
              </c:strCache>
            </c:strRef>
          </c:tx>
          <c:cat>
            <c:numRef>
              <c:f>Sheet1!$A$2:$A$3</c:f>
              <c:numCache>
                <c:formatCode>General</c:formatCode>
                <c:ptCount val="2"/>
                <c:pt idx="0">
                  <c:v>2016</c:v>
                </c:pt>
                <c:pt idx="1">
                  <c:v>2017</c:v>
                </c:pt>
              </c:numCache>
            </c:numRef>
          </c:cat>
          <c:val>
            <c:numRef>
              <c:f>Sheet1!$B$2:$B$3</c:f>
              <c:numCache>
                <c:formatCode>General</c:formatCode>
                <c:ptCount val="2"/>
                <c:pt idx="0">
                  <c:v>1.55</c:v>
                </c:pt>
                <c:pt idx="1">
                  <c:v>1.6700000000000021</c:v>
                </c:pt>
              </c:numCache>
            </c:numRef>
          </c:val>
        </c:ser>
        <c:ser>
          <c:idx val="1"/>
          <c:order val="1"/>
          <c:tx>
            <c:strRef>
              <c:f>Sheet1!$C$1</c:f>
              <c:strCache>
                <c:ptCount val="1"/>
                <c:pt idx="0">
                  <c:v>Quick Ratio</c:v>
                </c:pt>
              </c:strCache>
            </c:strRef>
          </c:tx>
          <c:cat>
            <c:numRef>
              <c:f>Sheet1!$A$2:$A$3</c:f>
              <c:numCache>
                <c:formatCode>General</c:formatCode>
                <c:ptCount val="2"/>
                <c:pt idx="0">
                  <c:v>2016</c:v>
                </c:pt>
                <c:pt idx="1">
                  <c:v>2017</c:v>
                </c:pt>
              </c:numCache>
            </c:numRef>
          </c:cat>
          <c:val>
            <c:numRef>
              <c:f>Sheet1!$C$2:$C$3</c:f>
              <c:numCache>
                <c:formatCode>General</c:formatCode>
                <c:ptCount val="2"/>
                <c:pt idx="0">
                  <c:v>1.1499999999999972</c:v>
                </c:pt>
                <c:pt idx="1">
                  <c:v>1.1499999999999972</c:v>
                </c:pt>
              </c:numCache>
            </c:numRef>
          </c:val>
        </c:ser>
        <c:ser>
          <c:idx val="2"/>
          <c:order val="2"/>
          <c:tx>
            <c:strRef>
              <c:f>Sheet1!$D$1</c:f>
              <c:strCache>
                <c:ptCount val="1"/>
                <c:pt idx="0">
                  <c:v>Variance %</c:v>
                </c:pt>
              </c:strCache>
            </c:strRef>
          </c:tx>
          <c:cat>
            <c:numRef>
              <c:f>Sheet1!$A$2:$A$3</c:f>
              <c:numCache>
                <c:formatCode>General</c:formatCode>
                <c:ptCount val="2"/>
                <c:pt idx="0">
                  <c:v>2016</c:v>
                </c:pt>
                <c:pt idx="1">
                  <c:v>2017</c:v>
                </c:pt>
              </c:numCache>
            </c:numRef>
          </c:cat>
          <c:val>
            <c:numRef>
              <c:f>Sheet1!$D$2:$D$3</c:f>
              <c:numCache>
                <c:formatCode>General</c:formatCode>
                <c:ptCount val="2"/>
                <c:pt idx="0">
                  <c:v>7.7</c:v>
                </c:pt>
                <c:pt idx="1">
                  <c:v>7.4</c:v>
                </c:pt>
              </c:numCache>
            </c:numRef>
          </c:val>
        </c:ser>
        <c:axId val="72331648"/>
        <c:axId val="72333184"/>
      </c:barChart>
      <c:catAx>
        <c:axId val="72331648"/>
        <c:scaling>
          <c:orientation val="minMax"/>
        </c:scaling>
        <c:axPos val="b"/>
        <c:numFmt formatCode="General" sourceLinked="1"/>
        <c:tickLblPos val="nextTo"/>
        <c:crossAx val="72333184"/>
        <c:crosses val="autoZero"/>
        <c:auto val="1"/>
        <c:lblAlgn val="ctr"/>
        <c:lblOffset val="100"/>
      </c:catAx>
      <c:valAx>
        <c:axId val="72333184"/>
        <c:scaling>
          <c:orientation val="minMax"/>
        </c:scaling>
        <c:axPos val="l"/>
        <c:majorGridlines/>
        <c:numFmt formatCode="General" sourceLinked="1"/>
        <c:tickLblPos val="nextTo"/>
        <c:crossAx val="7233164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Account</c:v>
                </c:pt>
              </c:strCache>
            </c:strRef>
          </c:tx>
          <c:cat>
            <c:numRef>
              <c:f>Sheet1!$A$2:$A$4</c:f>
              <c:numCache>
                <c:formatCode>General</c:formatCode>
                <c:ptCount val="3"/>
                <c:pt idx="0">
                  <c:v>2016</c:v>
                </c:pt>
                <c:pt idx="1">
                  <c:v>2017</c:v>
                </c:pt>
              </c:numCache>
            </c:numRef>
          </c:cat>
          <c:val>
            <c:numRef>
              <c:f>Sheet1!$B$2:$B$4</c:f>
              <c:numCache>
                <c:formatCode>General</c:formatCode>
                <c:ptCount val="3"/>
                <c:pt idx="0">
                  <c:v>8.75</c:v>
                </c:pt>
                <c:pt idx="1">
                  <c:v>8.120000000000001</c:v>
                </c:pt>
              </c:numCache>
            </c:numRef>
          </c:val>
        </c:ser>
        <c:overlap val="100"/>
        <c:axId val="72344704"/>
        <c:axId val="72346240"/>
      </c:barChart>
      <c:catAx>
        <c:axId val="72344704"/>
        <c:scaling>
          <c:orientation val="minMax"/>
        </c:scaling>
        <c:axPos val="b"/>
        <c:numFmt formatCode="General" sourceLinked="1"/>
        <c:tickLblPos val="nextTo"/>
        <c:crossAx val="72346240"/>
        <c:crosses val="autoZero"/>
        <c:auto val="1"/>
        <c:lblAlgn val="ctr"/>
        <c:lblOffset val="100"/>
      </c:catAx>
      <c:valAx>
        <c:axId val="72346240"/>
        <c:scaling>
          <c:orientation val="minMax"/>
        </c:scaling>
        <c:axPos val="l"/>
        <c:majorGridlines/>
        <c:numFmt formatCode="General" sourceLinked="1"/>
        <c:tickLblPos val="nextTo"/>
        <c:crossAx val="7234470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Column1</c:v>
                </c:pt>
              </c:strCache>
            </c:strRef>
          </c:tx>
          <c:cat>
            <c:numRef>
              <c:f>Sheet1!$A$2:$A$4</c:f>
              <c:numCache>
                <c:formatCode>General</c:formatCode>
                <c:ptCount val="3"/>
                <c:pt idx="0">
                  <c:v>2016</c:v>
                </c:pt>
                <c:pt idx="1">
                  <c:v>2017</c:v>
                </c:pt>
              </c:numCache>
            </c:numRef>
          </c:cat>
          <c:val>
            <c:numRef>
              <c:f>Sheet1!$B$2:$B$4</c:f>
              <c:numCache>
                <c:formatCode>General</c:formatCode>
                <c:ptCount val="3"/>
                <c:pt idx="0">
                  <c:v>3.14</c:v>
                </c:pt>
                <c:pt idx="1">
                  <c:v>3.8499999999999988</c:v>
                </c:pt>
              </c:numCache>
            </c:numRef>
          </c:val>
        </c:ser>
        <c:overlap val="100"/>
        <c:axId val="132478464"/>
        <c:axId val="132480000"/>
      </c:barChart>
      <c:catAx>
        <c:axId val="132478464"/>
        <c:scaling>
          <c:orientation val="minMax"/>
        </c:scaling>
        <c:axPos val="b"/>
        <c:numFmt formatCode="General" sourceLinked="1"/>
        <c:tickLblPos val="nextTo"/>
        <c:crossAx val="132480000"/>
        <c:crosses val="autoZero"/>
        <c:auto val="1"/>
        <c:lblAlgn val="ctr"/>
        <c:lblOffset val="100"/>
      </c:catAx>
      <c:valAx>
        <c:axId val="132480000"/>
        <c:scaling>
          <c:orientation val="minMax"/>
        </c:scaling>
        <c:axPos val="l"/>
        <c:majorGridlines/>
        <c:numFmt formatCode="General" sourceLinked="1"/>
        <c:tickLblPos val="nextTo"/>
        <c:crossAx val="132478464"/>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7.6251822688830545E-2"/>
          <c:y val="4.4057617797775415E-2"/>
          <c:w val="0.90858723388743057"/>
          <c:h val="0.84689132608424089"/>
        </c:manualLayout>
      </c:layout>
      <c:barChart>
        <c:barDir val="col"/>
        <c:grouping val="stacked"/>
        <c:ser>
          <c:idx val="0"/>
          <c:order val="0"/>
          <c:tx>
            <c:strRef>
              <c:f>Sheet1!$B$1</c:f>
              <c:strCache>
                <c:ptCount val="1"/>
                <c:pt idx="0">
                  <c:v>Series 1</c:v>
                </c:pt>
              </c:strCache>
            </c:strRef>
          </c:tx>
          <c:cat>
            <c:numRef>
              <c:f>Sheet1!$A$2:$A$4</c:f>
              <c:numCache>
                <c:formatCode>General</c:formatCode>
                <c:ptCount val="3"/>
                <c:pt idx="0">
                  <c:v>2016</c:v>
                </c:pt>
                <c:pt idx="1">
                  <c:v>2017</c:v>
                </c:pt>
              </c:numCache>
            </c:numRef>
          </c:cat>
          <c:val>
            <c:numRef>
              <c:f>Sheet1!$B$2:$B$4</c:f>
              <c:numCache>
                <c:formatCode>General</c:formatCode>
                <c:ptCount val="3"/>
                <c:pt idx="0">
                  <c:v>1.1700000000000021</c:v>
                </c:pt>
                <c:pt idx="1">
                  <c:v>1.46</c:v>
                </c:pt>
              </c:numCache>
            </c:numRef>
          </c:val>
        </c:ser>
        <c:overlap val="100"/>
        <c:axId val="132482944"/>
        <c:axId val="132484480"/>
      </c:barChart>
      <c:catAx>
        <c:axId val="132482944"/>
        <c:scaling>
          <c:orientation val="minMax"/>
        </c:scaling>
        <c:axPos val="b"/>
        <c:numFmt formatCode="General" sourceLinked="1"/>
        <c:tickLblPos val="nextTo"/>
        <c:crossAx val="132484480"/>
        <c:crosses val="autoZero"/>
        <c:auto val="1"/>
        <c:lblAlgn val="ctr"/>
        <c:lblOffset val="100"/>
      </c:catAx>
      <c:valAx>
        <c:axId val="132484480"/>
        <c:scaling>
          <c:orientation val="minMax"/>
        </c:scaling>
        <c:axPos val="l"/>
        <c:majorGridlines/>
        <c:numFmt formatCode="General" sourceLinked="1"/>
        <c:tickLblPos val="nextTo"/>
        <c:crossAx val="132482944"/>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6.8092191601049984E-2"/>
          <c:y val="2.4216347956505492E-2"/>
          <c:w val="0.90875966025080335"/>
          <c:h val="0.86673259592550933"/>
        </c:manualLayout>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83.04</c:v>
                </c:pt>
                <c:pt idx="1">
                  <c:v>90.26</c:v>
                </c:pt>
              </c:numCache>
            </c:numRef>
          </c:val>
        </c:ser>
        <c:overlap val="100"/>
        <c:axId val="132741376"/>
        <c:axId val="132804608"/>
      </c:barChart>
      <c:catAx>
        <c:axId val="132741376"/>
        <c:scaling>
          <c:orientation val="minMax"/>
        </c:scaling>
        <c:axPos val="b"/>
        <c:numFmt formatCode="General" sourceLinked="1"/>
        <c:tickLblPos val="nextTo"/>
        <c:crossAx val="132804608"/>
        <c:crosses val="autoZero"/>
        <c:auto val="1"/>
        <c:lblAlgn val="ctr"/>
        <c:lblOffset val="100"/>
      </c:catAx>
      <c:valAx>
        <c:axId val="132804608"/>
        <c:scaling>
          <c:orientation val="minMax"/>
        </c:scaling>
        <c:axPos val="l"/>
        <c:majorGridlines/>
        <c:numFmt formatCode="General" sourceLinked="1"/>
        <c:tickLblPos val="nextTo"/>
        <c:crossAx val="132741376"/>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Column1</c:v>
                </c:pt>
              </c:strCache>
            </c:strRef>
          </c:tx>
          <c:cat>
            <c:numRef>
              <c:f>Sheet1!$A$2:$A$3</c:f>
              <c:numCache>
                <c:formatCode>General</c:formatCode>
                <c:ptCount val="2"/>
                <c:pt idx="0">
                  <c:v>2016</c:v>
                </c:pt>
                <c:pt idx="1">
                  <c:v>2017</c:v>
                </c:pt>
              </c:numCache>
            </c:numRef>
          </c:cat>
          <c:val>
            <c:numRef>
              <c:f>Sheet1!$B$2:$B$3</c:f>
              <c:numCache>
                <c:formatCode>General</c:formatCode>
                <c:ptCount val="2"/>
                <c:pt idx="0">
                  <c:v>1.28</c:v>
                </c:pt>
                <c:pt idx="1">
                  <c:v>1.2</c:v>
                </c:pt>
              </c:numCache>
            </c:numRef>
          </c:val>
        </c:ser>
        <c:overlap val="100"/>
        <c:axId val="132754048"/>
        <c:axId val="132829568"/>
      </c:barChart>
      <c:catAx>
        <c:axId val="132754048"/>
        <c:scaling>
          <c:orientation val="minMax"/>
        </c:scaling>
        <c:axPos val="b"/>
        <c:numFmt formatCode="General" sourceLinked="1"/>
        <c:tickLblPos val="nextTo"/>
        <c:crossAx val="132829568"/>
        <c:crosses val="autoZero"/>
        <c:auto val="1"/>
        <c:lblAlgn val="ctr"/>
        <c:lblOffset val="100"/>
      </c:catAx>
      <c:valAx>
        <c:axId val="132829568"/>
        <c:scaling>
          <c:orientation val="minMax"/>
        </c:scaling>
        <c:axPos val="l"/>
        <c:majorGridlines/>
        <c:numFmt formatCode="General" sourceLinked="1"/>
        <c:tickLblPos val="nextTo"/>
        <c:crossAx val="132754048"/>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0.78</c:v>
                </c:pt>
                <c:pt idx="1">
                  <c:v>0.84000000000000064</c:v>
                </c:pt>
              </c:numCache>
            </c:numRef>
          </c:val>
        </c:ser>
        <c:overlap val="100"/>
        <c:axId val="132504576"/>
        <c:axId val="132633344"/>
      </c:barChart>
      <c:catAx>
        <c:axId val="132504576"/>
        <c:scaling>
          <c:orientation val="minMax"/>
        </c:scaling>
        <c:axPos val="b"/>
        <c:numFmt formatCode="General" sourceLinked="1"/>
        <c:tickLblPos val="nextTo"/>
        <c:crossAx val="132633344"/>
        <c:crosses val="autoZero"/>
        <c:auto val="1"/>
        <c:lblAlgn val="ctr"/>
        <c:lblOffset val="100"/>
      </c:catAx>
      <c:valAx>
        <c:axId val="132633344"/>
        <c:scaling>
          <c:orientation val="minMax"/>
        </c:scaling>
        <c:axPos val="l"/>
        <c:majorGridlines/>
        <c:numFmt formatCode="General" sourceLinked="1"/>
        <c:tickLblPos val="nextTo"/>
        <c:crossAx val="132504576"/>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1192792077460904E-2"/>
          <c:y val="4.4057742782152215E-2"/>
          <c:w val="0.91338928988043044"/>
          <c:h val="0.84689132608424089"/>
        </c:manualLayout>
      </c:layout>
      <c:barChart>
        <c:barDir val="col"/>
        <c:grouping val="stacked"/>
        <c:ser>
          <c:idx val="0"/>
          <c:order val="0"/>
          <c:tx>
            <c:strRef>
              <c:f>Sheet1!$B$1</c:f>
              <c:strCache>
                <c:ptCount val="1"/>
              </c:strCache>
            </c:strRef>
          </c:tx>
          <c:cat>
            <c:numRef>
              <c:f>Sheet1!$A$2:$A$5</c:f>
              <c:numCache>
                <c:formatCode>General</c:formatCode>
                <c:ptCount val="4"/>
                <c:pt idx="0">
                  <c:v>2016</c:v>
                </c:pt>
                <c:pt idx="1">
                  <c:v>2017</c:v>
                </c:pt>
              </c:numCache>
            </c:numRef>
          </c:cat>
          <c:val>
            <c:numRef>
              <c:f>Sheet1!$B$2:$B$5</c:f>
              <c:numCache>
                <c:formatCode>General</c:formatCode>
                <c:ptCount val="4"/>
                <c:pt idx="0">
                  <c:v>41.71</c:v>
                </c:pt>
                <c:pt idx="1">
                  <c:v>44.949999999999996</c:v>
                </c:pt>
              </c:numCache>
            </c:numRef>
          </c:val>
        </c:ser>
        <c:ser>
          <c:idx val="1"/>
          <c:order val="1"/>
          <c:tx>
            <c:strRef>
              <c:f>Sheet1!$C$1</c:f>
              <c:strCache>
                <c:ptCount val="1"/>
              </c:strCache>
            </c:strRef>
          </c:tx>
          <c:cat>
            <c:numRef>
              <c:f>Sheet1!$A$2:$A$5</c:f>
              <c:numCache>
                <c:formatCode>General</c:formatCode>
                <c:ptCount val="4"/>
                <c:pt idx="0">
                  <c:v>2016</c:v>
                </c:pt>
                <c:pt idx="1">
                  <c:v>2017</c:v>
                </c:pt>
              </c:numCache>
            </c:numRef>
          </c:cat>
          <c:val>
            <c:numRef>
              <c:f>Sheet1!$C$2:$C$5</c:f>
              <c:numCache>
                <c:formatCode>General</c:formatCode>
                <c:ptCount val="4"/>
              </c:numCache>
            </c:numRef>
          </c:val>
        </c:ser>
        <c:ser>
          <c:idx val="2"/>
          <c:order val="2"/>
          <c:tx>
            <c:strRef>
              <c:f>Sheet1!$D$1</c:f>
              <c:strCache>
                <c:ptCount val="1"/>
              </c:strCache>
            </c:strRef>
          </c:tx>
          <c:cat>
            <c:numRef>
              <c:f>Sheet1!$A$2:$A$5</c:f>
              <c:numCache>
                <c:formatCode>General</c:formatCode>
                <c:ptCount val="4"/>
                <c:pt idx="0">
                  <c:v>2016</c:v>
                </c:pt>
                <c:pt idx="1">
                  <c:v>2017</c:v>
                </c:pt>
              </c:numCache>
            </c:numRef>
          </c:cat>
          <c:val>
            <c:numRef>
              <c:f>Sheet1!$D$2:$D$5</c:f>
              <c:numCache>
                <c:formatCode>General</c:formatCode>
                <c:ptCount val="4"/>
              </c:numCache>
            </c:numRef>
          </c:val>
        </c:ser>
        <c:overlap val="100"/>
        <c:axId val="132940928"/>
        <c:axId val="132942464"/>
      </c:barChart>
      <c:catAx>
        <c:axId val="132940928"/>
        <c:scaling>
          <c:orientation val="minMax"/>
        </c:scaling>
        <c:axPos val="b"/>
        <c:numFmt formatCode="General" sourceLinked="1"/>
        <c:tickLblPos val="nextTo"/>
        <c:crossAx val="132942464"/>
        <c:crosses val="autoZero"/>
        <c:auto val="1"/>
        <c:lblAlgn val="ctr"/>
        <c:lblOffset val="100"/>
      </c:catAx>
      <c:valAx>
        <c:axId val="132942464"/>
        <c:scaling>
          <c:orientation val="minMax"/>
        </c:scaling>
        <c:axPos val="l"/>
        <c:majorGridlines/>
        <c:numFmt formatCode="General" sourceLinked="1"/>
        <c:tickLblPos val="nextTo"/>
        <c:crossAx val="132940928"/>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6.9477879141759263E-2"/>
          <c:y val="3.524609423822022E-2"/>
          <c:w val="0.64535417654291061"/>
          <c:h val="0.92950781152356077"/>
        </c:manualLayout>
      </c:layout>
      <c:barChart>
        <c:barDir val="col"/>
        <c:grouping val="clustered"/>
        <c:ser>
          <c:idx val="0"/>
          <c:order val="0"/>
          <c:tx>
            <c:strRef>
              <c:f>Sheet1!$B$1</c:f>
              <c:strCache>
                <c:ptCount val="1"/>
                <c:pt idx="0">
                  <c:v>Accounts Receivable Turnover</c:v>
                </c:pt>
              </c:strCache>
            </c:strRef>
          </c:tx>
          <c:cat>
            <c:strRef>
              <c:f>Sheet1!$A$2:$A$4</c:f>
              <c:strCache>
                <c:ptCount val="3"/>
                <c:pt idx="0">
                  <c:v>2016</c:v>
                </c:pt>
                <c:pt idx="1">
                  <c:v>2017</c:v>
                </c:pt>
                <c:pt idx="2">
                  <c:v>Variance</c:v>
                </c:pt>
              </c:strCache>
            </c:strRef>
          </c:cat>
          <c:val>
            <c:numRef>
              <c:f>Sheet1!$B$2:$B$4</c:f>
              <c:numCache>
                <c:formatCode>General</c:formatCode>
                <c:ptCount val="3"/>
                <c:pt idx="0">
                  <c:v>8.75</c:v>
                </c:pt>
                <c:pt idx="1">
                  <c:v>8.120000000000001</c:v>
                </c:pt>
                <c:pt idx="2">
                  <c:v>-7.2</c:v>
                </c:pt>
              </c:numCache>
            </c:numRef>
          </c:val>
        </c:ser>
        <c:ser>
          <c:idx val="1"/>
          <c:order val="1"/>
          <c:tx>
            <c:strRef>
              <c:f>Sheet1!$C$1</c:f>
              <c:strCache>
                <c:ptCount val="1"/>
                <c:pt idx="0">
                  <c:v>Inventory Turnovers </c:v>
                </c:pt>
              </c:strCache>
            </c:strRef>
          </c:tx>
          <c:cat>
            <c:strRef>
              <c:f>Sheet1!$A$2:$A$4</c:f>
              <c:strCache>
                <c:ptCount val="3"/>
                <c:pt idx="0">
                  <c:v>2016</c:v>
                </c:pt>
                <c:pt idx="1">
                  <c:v>2017</c:v>
                </c:pt>
                <c:pt idx="2">
                  <c:v>Variance</c:v>
                </c:pt>
              </c:strCache>
            </c:strRef>
          </c:cat>
          <c:val>
            <c:numRef>
              <c:f>Sheet1!$C$2:$C$4</c:f>
              <c:numCache>
                <c:formatCode>General</c:formatCode>
                <c:ptCount val="3"/>
                <c:pt idx="0">
                  <c:v>3.14</c:v>
                </c:pt>
                <c:pt idx="1">
                  <c:v>3.8499999999999988</c:v>
                </c:pt>
                <c:pt idx="2">
                  <c:v>22.610000000000031</c:v>
                </c:pt>
              </c:numCache>
            </c:numRef>
          </c:val>
        </c:ser>
        <c:ser>
          <c:idx val="2"/>
          <c:order val="2"/>
          <c:tx>
            <c:strRef>
              <c:f>Sheet1!$D$1</c:f>
              <c:strCache>
                <c:ptCount val="1"/>
                <c:pt idx="0">
                  <c:v>Accounts Payable Turnover</c:v>
                </c:pt>
              </c:strCache>
            </c:strRef>
          </c:tx>
          <c:cat>
            <c:strRef>
              <c:f>Sheet1!$A$2:$A$4</c:f>
              <c:strCache>
                <c:ptCount val="3"/>
                <c:pt idx="0">
                  <c:v>2016</c:v>
                </c:pt>
                <c:pt idx="1">
                  <c:v>2017</c:v>
                </c:pt>
                <c:pt idx="2">
                  <c:v>Variance</c:v>
                </c:pt>
              </c:strCache>
            </c:strRef>
          </c:cat>
          <c:val>
            <c:numRef>
              <c:f>Sheet1!$D$2:$D$4</c:f>
              <c:numCache>
                <c:formatCode>General</c:formatCode>
                <c:ptCount val="3"/>
                <c:pt idx="0">
                  <c:v>1.1700000000000021</c:v>
                </c:pt>
                <c:pt idx="1">
                  <c:v>1.46</c:v>
                </c:pt>
                <c:pt idx="2">
                  <c:v>24.779999999999987</c:v>
                </c:pt>
              </c:numCache>
            </c:numRef>
          </c:val>
        </c:ser>
        <c:ser>
          <c:idx val="3"/>
          <c:order val="3"/>
          <c:tx>
            <c:strRef>
              <c:f>Sheet1!$E$1</c:f>
              <c:strCache>
                <c:ptCount val="1"/>
                <c:pt idx="0">
                  <c:v>Assets to Equity</c:v>
                </c:pt>
              </c:strCache>
            </c:strRef>
          </c:tx>
          <c:cat>
            <c:strRef>
              <c:f>Sheet1!$A$2:$A$4</c:f>
              <c:strCache>
                <c:ptCount val="3"/>
                <c:pt idx="0">
                  <c:v>2016</c:v>
                </c:pt>
                <c:pt idx="1">
                  <c:v>2017</c:v>
                </c:pt>
                <c:pt idx="2">
                  <c:v>Variance</c:v>
                </c:pt>
              </c:strCache>
            </c:strRef>
          </c:cat>
          <c:val>
            <c:numRef>
              <c:f>Sheet1!$E$2:$E$4</c:f>
              <c:numCache>
                <c:formatCode>General</c:formatCode>
                <c:ptCount val="3"/>
                <c:pt idx="0">
                  <c:v>83.04</c:v>
                </c:pt>
                <c:pt idx="1">
                  <c:v>90.26</c:v>
                </c:pt>
                <c:pt idx="2">
                  <c:v>8.69</c:v>
                </c:pt>
              </c:numCache>
            </c:numRef>
          </c:val>
        </c:ser>
        <c:ser>
          <c:idx val="4"/>
          <c:order val="4"/>
          <c:tx>
            <c:strRef>
              <c:f>Sheet1!$F$1</c:f>
              <c:strCache>
                <c:ptCount val="1"/>
                <c:pt idx="0">
                  <c:v>Asset turnover </c:v>
                </c:pt>
              </c:strCache>
            </c:strRef>
          </c:tx>
          <c:cat>
            <c:strRef>
              <c:f>Sheet1!$A$2:$A$4</c:f>
              <c:strCache>
                <c:ptCount val="3"/>
                <c:pt idx="0">
                  <c:v>2016</c:v>
                </c:pt>
                <c:pt idx="1">
                  <c:v>2017</c:v>
                </c:pt>
                <c:pt idx="2">
                  <c:v>Variance</c:v>
                </c:pt>
              </c:strCache>
            </c:strRef>
          </c:cat>
          <c:val>
            <c:numRef>
              <c:f>Sheet1!$F$2:$F$4</c:f>
              <c:numCache>
                <c:formatCode>General</c:formatCode>
                <c:ptCount val="3"/>
                <c:pt idx="0">
                  <c:v>0.78</c:v>
                </c:pt>
                <c:pt idx="1">
                  <c:v>0.84000000000000064</c:v>
                </c:pt>
                <c:pt idx="2">
                  <c:v>7.6899999999999995</c:v>
                </c:pt>
              </c:numCache>
            </c:numRef>
          </c:val>
        </c:ser>
        <c:ser>
          <c:idx val="5"/>
          <c:order val="5"/>
          <c:tx>
            <c:strRef>
              <c:f>Sheet1!$G$1</c:f>
              <c:strCache>
                <c:ptCount val="1"/>
                <c:pt idx="0">
                  <c:v>Assets to sales </c:v>
                </c:pt>
              </c:strCache>
            </c:strRef>
          </c:tx>
          <c:cat>
            <c:strRef>
              <c:f>Sheet1!$A$2:$A$4</c:f>
              <c:strCache>
                <c:ptCount val="3"/>
                <c:pt idx="0">
                  <c:v>2016</c:v>
                </c:pt>
                <c:pt idx="1">
                  <c:v>2017</c:v>
                </c:pt>
                <c:pt idx="2">
                  <c:v>Variance</c:v>
                </c:pt>
              </c:strCache>
            </c:strRef>
          </c:cat>
          <c:val>
            <c:numRef>
              <c:f>Sheet1!$G$2:$G$4</c:f>
              <c:numCache>
                <c:formatCode>General</c:formatCode>
                <c:ptCount val="3"/>
                <c:pt idx="0">
                  <c:v>1.28</c:v>
                </c:pt>
                <c:pt idx="1">
                  <c:v>1.2</c:v>
                </c:pt>
                <c:pt idx="2">
                  <c:v>-6.5</c:v>
                </c:pt>
              </c:numCache>
            </c:numRef>
          </c:val>
        </c:ser>
        <c:ser>
          <c:idx val="6"/>
          <c:order val="6"/>
          <c:tx>
            <c:strRef>
              <c:f>Sheet1!$H$1</c:f>
              <c:strCache>
                <c:ptCount val="1"/>
                <c:pt idx="0">
                  <c:v>Average collection period</c:v>
                </c:pt>
              </c:strCache>
            </c:strRef>
          </c:tx>
          <c:cat>
            <c:strRef>
              <c:f>Sheet1!$A$2:$A$4</c:f>
              <c:strCache>
                <c:ptCount val="3"/>
                <c:pt idx="0">
                  <c:v>2016</c:v>
                </c:pt>
                <c:pt idx="1">
                  <c:v>2017</c:v>
                </c:pt>
                <c:pt idx="2">
                  <c:v>Variance</c:v>
                </c:pt>
              </c:strCache>
            </c:strRef>
          </c:cat>
          <c:val>
            <c:numRef>
              <c:f>Sheet1!$H$2:$H$4</c:f>
              <c:numCache>
                <c:formatCode>General</c:formatCode>
                <c:ptCount val="3"/>
                <c:pt idx="0">
                  <c:v>41.71</c:v>
                </c:pt>
                <c:pt idx="1">
                  <c:v>44.949999999999996</c:v>
                </c:pt>
                <c:pt idx="2">
                  <c:v>7.76</c:v>
                </c:pt>
              </c:numCache>
            </c:numRef>
          </c:val>
        </c:ser>
        <c:axId val="133044480"/>
        <c:axId val="133062656"/>
      </c:barChart>
      <c:catAx>
        <c:axId val="133044480"/>
        <c:scaling>
          <c:orientation val="minMax"/>
        </c:scaling>
        <c:axPos val="b"/>
        <c:tickLblPos val="nextTo"/>
        <c:crossAx val="133062656"/>
        <c:crosses val="autoZero"/>
        <c:auto val="1"/>
        <c:lblAlgn val="ctr"/>
        <c:lblOffset val="100"/>
      </c:catAx>
      <c:valAx>
        <c:axId val="133062656"/>
        <c:scaling>
          <c:orientation val="minMax"/>
        </c:scaling>
        <c:axPos val="l"/>
        <c:majorGridlines/>
        <c:numFmt formatCode="General" sourceLinked="1"/>
        <c:tickLblPos val="nextTo"/>
        <c:crossAx val="133044480"/>
        <c:crosses val="autoZero"/>
        <c:crossBetween val="between"/>
      </c:valAx>
    </c:plotArea>
    <c:legend>
      <c:legendPos val="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Sheet1!$A$2:$A$4</c:f>
              <c:numCache>
                <c:formatCode>General</c:formatCode>
                <c:ptCount val="3"/>
                <c:pt idx="0">
                  <c:v>2016</c:v>
                </c:pt>
                <c:pt idx="1">
                  <c:v>2017</c:v>
                </c:pt>
              </c:numCache>
            </c:numRef>
          </c:cat>
          <c:val>
            <c:numRef>
              <c:f>Sheet1!$B$2:$B$4</c:f>
              <c:numCache>
                <c:formatCode>General</c:formatCode>
                <c:ptCount val="3"/>
                <c:pt idx="0">
                  <c:v>46.339999999999996</c:v>
                </c:pt>
                <c:pt idx="1">
                  <c:v>46.730000000000011</c:v>
                </c:pt>
              </c:numCache>
            </c:numRef>
          </c:val>
        </c:ser>
        <c:overlap val="100"/>
        <c:axId val="133082112"/>
        <c:axId val="133194496"/>
      </c:barChart>
      <c:catAx>
        <c:axId val="133082112"/>
        <c:scaling>
          <c:orientation val="minMax"/>
        </c:scaling>
        <c:axPos val="b"/>
        <c:numFmt formatCode="General" sourceLinked="1"/>
        <c:tickLblPos val="nextTo"/>
        <c:crossAx val="133194496"/>
        <c:crosses val="autoZero"/>
        <c:auto val="1"/>
        <c:lblAlgn val="ctr"/>
        <c:lblOffset val="100"/>
      </c:catAx>
      <c:valAx>
        <c:axId val="133194496"/>
        <c:scaling>
          <c:orientation val="minMax"/>
        </c:scaling>
        <c:axPos val="l"/>
        <c:majorGridlines/>
        <c:numFmt formatCode="General" sourceLinked="1"/>
        <c:tickLblPos val="nextTo"/>
        <c:crossAx val="133082112"/>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20.630000000000031</c:v>
                </c:pt>
                <c:pt idx="1">
                  <c:v>19.279999999999987</c:v>
                </c:pt>
              </c:numCache>
            </c:numRef>
          </c:val>
        </c:ser>
        <c:overlap val="100"/>
        <c:axId val="133201280"/>
        <c:axId val="133207168"/>
      </c:barChart>
      <c:catAx>
        <c:axId val="133201280"/>
        <c:scaling>
          <c:orientation val="minMax"/>
        </c:scaling>
        <c:axPos val="b"/>
        <c:numFmt formatCode="General" sourceLinked="1"/>
        <c:tickLblPos val="nextTo"/>
        <c:crossAx val="133207168"/>
        <c:crosses val="autoZero"/>
        <c:auto val="1"/>
        <c:lblAlgn val="ctr"/>
        <c:lblOffset val="100"/>
      </c:catAx>
      <c:valAx>
        <c:axId val="133207168"/>
        <c:scaling>
          <c:orientation val="minMax"/>
        </c:scaling>
        <c:axPos val="l"/>
        <c:majorGridlines/>
        <c:numFmt formatCode="General" sourceLinked="1"/>
        <c:tickLblPos val="nextTo"/>
        <c:crossAx val="133201280"/>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9.9724044911053286E-2"/>
          <c:y val="4.4057617797775402E-2"/>
          <c:w val="0.90027589794519092"/>
          <c:h val="0.82705005624296968"/>
        </c:manualLayout>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16.079999999999988</c:v>
                </c:pt>
                <c:pt idx="1">
                  <c:v>16.02</c:v>
                </c:pt>
              </c:numCache>
            </c:numRef>
          </c:val>
        </c:ser>
        <c:overlap val="100"/>
        <c:axId val="132784128"/>
        <c:axId val="132785664"/>
      </c:barChart>
      <c:catAx>
        <c:axId val="132784128"/>
        <c:scaling>
          <c:orientation val="minMax"/>
        </c:scaling>
        <c:axPos val="b"/>
        <c:numFmt formatCode="General" sourceLinked="1"/>
        <c:tickLblPos val="nextTo"/>
        <c:crossAx val="132785664"/>
        <c:crosses val="autoZero"/>
        <c:auto val="1"/>
        <c:lblAlgn val="ctr"/>
        <c:lblOffset val="100"/>
      </c:catAx>
      <c:valAx>
        <c:axId val="132785664"/>
        <c:scaling>
          <c:orientation val="minMax"/>
        </c:scaling>
        <c:axPos val="l"/>
        <c:majorGridlines/>
        <c:numFmt formatCode="General" sourceLinked="1"/>
        <c:tickLblPos val="nextTo"/>
        <c:crossAx val="132784128"/>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27.66</c:v>
                </c:pt>
                <c:pt idx="1">
                  <c:v>25.919999999999987</c:v>
                </c:pt>
              </c:numCache>
            </c:numRef>
          </c:val>
        </c:ser>
        <c:overlap val="100"/>
        <c:axId val="133173632"/>
        <c:axId val="133175168"/>
      </c:barChart>
      <c:catAx>
        <c:axId val="133173632"/>
        <c:scaling>
          <c:orientation val="minMax"/>
        </c:scaling>
        <c:axPos val="b"/>
        <c:numFmt formatCode="General" sourceLinked="1"/>
        <c:tickLblPos val="nextTo"/>
        <c:crossAx val="133175168"/>
        <c:crosses val="autoZero"/>
        <c:auto val="1"/>
        <c:lblAlgn val="ctr"/>
        <c:lblOffset val="100"/>
      </c:catAx>
      <c:valAx>
        <c:axId val="133175168"/>
        <c:scaling>
          <c:orientation val="minMax"/>
        </c:scaling>
        <c:axPos val="l"/>
        <c:majorGridlines/>
        <c:numFmt formatCode="General" sourceLinked="1"/>
        <c:tickLblPos val="nextTo"/>
        <c:crossAx val="133173632"/>
        <c:crosses val="autoZero"/>
        <c:crossBetween val="between"/>
      </c:valAx>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57.9</c:v>
                </c:pt>
                <c:pt idx="1">
                  <c:v>62.6</c:v>
                </c:pt>
              </c:numCache>
            </c:numRef>
          </c:val>
        </c:ser>
        <c:overlap val="100"/>
        <c:axId val="133210880"/>
        <c:axId val="133212416"/>
      </c:barChart>
      <c:catAx>
        <c:axId val="133210880"/>
        <c:scaling>
          <c:orientation val="minMax"/>
        </c:scaling>
        <c:axPos val="b"/>
        <c:numFmt formatCode="General" sourceLinked="1"/>
        <c:tickLblPos val="nextTo"/>
        <c:crossAx val="133212416"/>
        <c:crosses val="autoZero"/>
        <c:auto val="1"/>
        <c:lblAlgn val="ctr"/>
        <c:lblOffset val="100"/>
      </c:catAx>
      <c:valAx>
        <c:axId val="133212416"/>
        <c:scaling>
          <c:orientation val="minMax"/>
        </c:scaling>
        <c:axPos val="l"/>
        <c:majorGridlines/>
        <c:numFmt formatCode="General" sourceLinked="1"/>
        <c:tickLblPos val="nextTo"/>
        <c:crossAx val="133210880"/>
        <c:crosses val="autoZero"/>
        <c:crossBetween val="between"/>
      </c:valAx>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3051449583532005E-2"/>
          <c:y val="3.9901238760249397E-2"/>
          <c:w val="0.70651322430849994"/>
          <c:h val="0.92019752247950271"/>
        </c:manualLayout>
      </c:layout>
      <c:barChart>
        <c:barDir val="col"/>
        <c:grouping val="clustered"/>
        <c:ser>
          <c:idx val="0"/>
          <c:order val="0"/>
          <c:tx>
            <c:strRef>
              <c:f>Sheet1!$B$1</c:f>
              <c:strCache>
                <c:ptCount val="1"/>
                <c:pt idx="0">
                  <c:v>Gross Profit percent</c:v>
                </c:pt>
              </c:strCache>
            </c:strRef>
          </c:tx>
          <c:cat>
            <c:strRef>
              <c:f>Sheet1!$A$2:$A$4</c:f>
              <c:strCache>
                <c:ptCount val="3"/>
                <c:pt idx="0">
                  <c:v>2016</c:v>
                </c:pt>
                <c:pt idx="1">
                  <c:v>2017</c:v>
                </c:pt>
                <c:pt idx="2">
                  <c:v>variance</c:v>
                </c:pt>
              </c:strCache>
            </c:strRef>
          </c:cat>
          <c:val>
            <c:numRef>
              <c:f>Sheet1!$B$2:$B$4</c:f>
              <c:numCache>
                <c:formatCode>General</c:formatCode>
                <c:ptCount val="3"/>
                <c:pt idx="0">
                  <c:v>46.339999999999996</c:v>
                </c:pt>
                <c:pt idx="1">
                  <c:v>46.730000000000011</c:v>
                </c:pt>
                <c:pt idx="2">
                  <c:v>0.84000000000000064</c:v>
                </c:pt>
              </c:numCache>
            </c:numRef>
          </c:val>
        </c:ser>
        <c:ser>
          <c:idx val="1"/>
          <c:order val="1"/>
          <c:tx>
            <c:strRef>
              <c:f>Sheet1!$C$1</c:f>
              <c:strCache>
                <c:ptCount val="1"/>
                <c:pt idx="0">
                  <c:v>Net profit margin </c:v>
                </c:pt>
              </c:strCache>
            </c:strRef>
          </c:tx>
          <c:cat>
            <c:strRef>
              <c:f>Sheet1!$A$2:$A$4</c:f>
              <c:strCache>
                <c:ptCount val="3"/>
                <c:pt idx="0">
                  <c:v>2016</c:v>
                </c:pt>
                <c:pt idx="1">
                  <c:v>2017</c:v>
                </c:pt>
                <c:pt idx="2">
                  <c:v>variance</c:v>
                </c:pt>
              </c:strCache>
            </c:strRef>
          </c:cat>
          <c:val>
            <c:numRef>
              <c:f>Sheet1!$C$2:$C$4</c:f>
              <c:numCache>
                <c:formatCode>General</c:formatCode>
                <c:ptCount val="3"/>
                <c:pt idx="0">
                  <c:v>20.630000000000031</c:v>
                </c:pt>
                <c:pt idx="1">
                  <c:v>19.279999999999987</c:v>
                </c:pt>
                <c:pt idx="2">
                  <c:v>-6.55</c:v>
                </c:pt>
              </c:numCache>
            </c:numRef>
          </c:val>
        </c:ser>
        <c:ser>
          <c:idx val="2"/>
          <c:order val="2"/>
          <c:tx>
            <c:strRef>
              <c:f>Sheet1!$D$1</c:f>
              <c:strCache>
                <c:ptCount val="1"/>
                <c:pt idx="0">
                  <c:v>Rate of Return on Assets</c:v>
                </c:pt>
              </c:strCache>
            </c:strRef>
          </c:tx>
          <c:cat>
            <c:strRef>
              <c:f>Sheet1!$A$2:$A$4</c:f>
              <c:strCache>
                <c:ptCount val="3"/>
                <c:pt idx="0">
                  <c:v>2016</c:v>
                </c:pt>
                <c:pt idx="1">
                  <c:v>2017</c:v>
                </c:pt>
                <c:pt idx="2">
                  <c:v>variance</c:v>
                </c:pt>
              </c:strCache>
            </c:strRef>
          </c:cat>
          <c:val>
            <c:numRef>
              <c:f>Sheet1!$D$2:$D$4</c:f>
              <c:numCache>
                <c:formatCode>General</c:formatCode>
                <c:ptCount val="3"/>
                <c:pt idx="0">
                  <c:v>16.079999999999988</c:v>
                </c:pt>
                <c:pt idx="1">
                  <c:v>16.02</c:v>
                </c:pt>
                <c:pt idx="2">
                  <c:v>-0.36000000000000032</c:v>
                </c:pt>
              </c:numCache>
            </c:numRef>
          </c:val>
        </c:ser>
        <c:ser>
          <c:idx val="3"/>
          <c:order val="3"/>
          <c:tx>
            <c:strRef>
              <c:f>Sheet1!$E$1</c:f>
              <c:strCache>
                <c:ptCount val="1"/>
                <c:pt idx="0">
                  <c:v>Rate of Return on Equity</c:v>
                </c:pt>
              </c:strCache>
            </c:strRef>
          </c:tx>
          <c:cat>
            <c:strRef>
              <c:f>Sheet1!$A$2:$A$4</c:f>
              <c:strCache>
                <c:ptCount val="3"/>
                <c:pt idx="0">
                  <c:v>2016</c:v>
                </c:pt>
                <c:pt idx="1">
                  <c:v>2017</c:v>
                </c:pt>
                <c:pt idx="2">
                  <c:v>variance</c:v>
                </c:pt>
              </c:strCache>
            </c:strRef>
          </c:cat>
          <c:val>
            <c:numRef>
              <c:f>Sheet1!$E$2:$E$4</c:f>
              <c:numCache>
                <c:formatCode>General</c:formatCode>
                <c:ptCount val="3"/>
                <c:pt idx="0">
                  <c:v>27.66</c:v>
                </c:pt>
                <c:pt idx="1">
                  <c:v>25.919999999999987</c:v>
                </c:pt>
                <c:pt idx="2">
                  <c:v>-6.29</c:v>
                </c:pt>
              </c:numCache>
            </c:numRef>
          </c:val>
        </c:ser>
        <c:ser>
          <c:idx val="4"/>
          <c:order val="4"/>
          <c:tx>
            <c:strRef>
              <c:f>Sheet1!$F$1</c:f>
              <c:strCache>
                <c:ptCount val="1"/>
                <c:pt idx="0">
                  <c:v>Earnings Per Share</c:v>
                </c:pt>
              </c:strCache>
            </c:strRef>
          </c:tx>
          <c:cat>
            <c:strRef>
              <c:f>Sheet1!$A$2:$A$4</c:f>
              <c:strCache>
                <c:ptCount val="3"/>
                <c:pt idx="0">
                  <c:v>2016</c:v>
                </c:pt>
                <c:pt idx="1">
                  <c:v>2017</c:v>
                </c:pt>
                <c:pt idx="2">
                  <c:v>variance</c:v>
                </c:pt>
              </c:strCache>
            </c:strRef>
          </c:cat>
          <c:val>
            <c:numRef>
              <c:f>Sheet1!$F$2:$F$4</c:f>
              <c:numCache>
                <c:formatCode>General</c:formatCode>
                <c:ptCount val="3"/>
                <c:pt idx="0">
                  <c:v>57.9</c:v>
                </c:pt>
                <c:pt idx="1">
                  <c:v>62.6</c:v>
                </c:pt>
                <c:pt idx="2">
                  <c:v>8.1</c:v>
                </c:pt>
              </c:numCache>
            </c:numRef>
          </c:val>
        </c:ser>
        <c:axId val="133415296"/>
        <c:axId val="133416832"/>
      </c:barChart>
      <c:catAx>
        <c:axId val="133415296"/>
        <c:scaling>
          <c:orientation val="minMax"/>
        </c:scaling>
        <c:axPos val="b"/>
        <c:tickLblPos val="nextTo"/>
        <c:crossAx val="133416832"/>
        <c:crosses val="autoZero"/>
        <c:auto val="1"/>
        <c:lblAlgn val="ctr"/>
        <c:lblOffset val="100"/>
      </c:catAx>
      <c:valAx>
        <c:axId val="133416832"/>
        <c:scaling>
          <c:orientation val="minMax"/>
        </c:scaling>
        <c:axPos val="l"/>
        <c:majorGridlines/>
        <c:numFmt formatCode="General" sourceLinked="1"/>
        <c:tickLblPos val="nextTo"/>
        <c:crossAx val="133415296"/>
        <c:crosses val="autoZero"/>
        <c:crossBetween val="between"/>
      </c:valAx>
    </c:plotArea>
    <c:legend>
      <c:legendPos val="r"/>
      <c:layout>
        <c:manualLayout>
          <c:xMode val="edge"/>
          <c:yMode val="edge"/>
          <c:x val="0.7773824589438596"/>
          <c:y val="0.33752997856400141"/>
          <c:w val="0.20952425136710645"/>
          <c:h val="0.32494004287199951"/>
        </c:manualLayout>
      </c:layout>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0.72000000000000064</c:v>
                </c:pt>
                <c:pt idx="1">
                  <c:v>0.61000000000000065</c:v>
                </c:pt>
              </c:numCache>
            </c:numRef>
          </c:val>
        </c:ser>
        <c:overlap val="100"/>
        <c:axId val="155141248"/>
        <c:axId val="155142784"/>
      </c:barChart>
      <c:catAx>
        <c:axId val="155141248"/>
        <c:scaling>
          <c:orientation val="minMax"/>
        </c:scaling>
        <c:axPos val="b"/>
        <c:numFmt formatCode="General" sourceLinked="1"/>
        <c:tickLblPos val="nextTo"/>
        <c:crossAx val="155142784"/>
        <c:crosses val="autoZero"/>
        <c:auto val="1"/>
        <c:lblAlgn val="ctr"/>
        <c:lblOffset val="100"/>
      </c:catAx>
      <c:valAx>
        <c:axId val="155142784"/>
        <c:scaling>
          <c:orientation val="minMax"/>
        </c:scaling>
        <c:axPos val="l"/>
        <c:majorGridlines/>
        <c:numFmt formatCode="General" sourceLinked="1"/>
        <c:tickLblPos val="nextTo"/>
        <c:crossAx val="155141248"/>
        <c:crosses val="autoZero"/>
        <c:crossBetween val="between"/>
      </c:valAx>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Series 1</c:v>
                </c:pt>
              </c:strCache>
            </c:strRef>
          </c:tx>
          <c:cat>
            <c:numRef>
              <c:f>Sheet1!$A$2:$A$3</c:f>
              <c:numCache>
                <c:formatCode>General</c:formatCode>
                <c:ptCount val="2"/>
                <c:pt idx="0">
                  <c:v>2016</c:v>
                </c:pt>
                <c:pt idx="1">
                  <c:v>2017</c:v>
                </c:pt>
              </c:numCache>
            </c:numRef>
          </c:cat>
          <c:val>
            <c:numRef>
              <c:f>Sheet1!$B$2:$B$3</c:f>
              <c:numCache>
                <c:formatCode>General</c:formatCode>
                <c:ptCount val="2"/>
                <c:pt idx="0">
                  <c:v>42</c:v>
                </c:pt>
                <c:pt idx="1">
                  <c:v>38</c:v>
                </c:pt>
              </c:numCache>
            </c:numRef>
          </c:val>
        </c:ser>
        <c:overlap val="100"/>
        <c:axId val="155158016"/>
        <c:axId val="155159552"/>
      </c:barChart>
      <c:catAx>
        <c:axId val="155158016"/>
        <c:scaling>
          <c:orientation val="minMax"/>
        </c:scaling>
        <c:axPos val="b"/>
        <c:numFmt formatCode="General" sourceLinked="1"/>
        <c:tickLblPos val="nextTo"/>
        <c:crossAx val="155159552"/>
        <c:crosses val="autoZero"/>
        <c:auto val="1"/>
        <c:lblAlgn val="ctr"/>
        <c:lblOffset val="100"/>
      </c:catAx>
      <c:valAx>
        <c:axId val="155159552"/>
        <c:scaling>
          <c:orientation val="minMax"/>
        </c:scaling>
        <c:axPos val="l"/>
        <c:majorGridlines/>
        <c:numFmt formatCode="General" sourceLinked="1"/>
        <c:tickLblPos val="nextTo"/>
        <c:crossAx val="155158016"/>
        <c:crosses val="autoZero"/>
        <c:crossBetween val="between"/>
      </c:valAx>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Debt To Equity</c:v>
                </c:pt>
              </c:strCache>
            </c:strRef>
          </c:tx>
          <c:cat>
            <c:strRef>
              <c:f>Sheet1!$A$2:$A$4</c:f>
              <c:strCache>
                <c:ptCount val="3"/>
                <c:pt idx="0">
                  <c:v>2016</c:v>
                </c:pt>
                <c:pt idx="1">
                  <c:v>2017</c:v>
                </c:pt>
                <c:pt idx="2">
                  <c:v>Coverage Ratio</c:v>
                </c:pt>
              </c:strCache>
            </c:strRef>
          </c:cat>
          <c:val>
            <c:numRef>
              <c:f>Sheet1!$B$2:$B$4</c:f>
              <c:numCache>
                <c:formatCode>General</c:formatCode>
                <c:ptCount val="3"/>
                <c:pt idx="0">
                  <c:v>0.72000000000000064</c:v>
                </c:pt>
                <c:pt idx="1">
                  <c:v>0.61000000000000065</c:v>
                </c:pt>
                <c:pt idx="2">
                  <c:v>15.28</c:v>
                </c:pt>
              </c:numCache>
            </c:numRef>
          </c:val>
        </c:ser>
        <c:ser>
          <c:idx val="1"/>
          <c:order val="1"/>
          <c:tx>
            <c:strRef>
              <c:f>Sheet1!$C$1</c:f>
              <c:strCache>
                <c:ptCount val="1"/>
                <c:pt idx="0">
                  <c:v>Debt to Total Asset</c:v>
                </c:pt>
              </c:strCache>
            </c:strRef>
          </c:tx>
          <c:cat>
            <c:strRef>
              <c:f>Sheet1!$A$2:$A$4</c:f>
              <c:strCache>
                <c:ptCount val="3"/>
                <c:pt idx="0">
                  <c:v>2016</c:v>
                </c:pt>
                <c:pt idx="1">
                  <c:v>2017</c:v>
                </c:pt>
                <c:pt idx="2">
                  <c:v>Coverage Ratio</c:v>
                </c:pt>
              </c:strCache>
            </c:strRef>
          </c:cat>
          <c:val>
            <c:numRef>
              <c:f>Sheet1!$C$2:$C$4</c:f>
              <c:numCache>
                <c:formatCode>General</c:formatCode>
                <c:ptCount val="3"/>
                <c:pt idx="0">
                  <c:v>42</c:v>
                </c:pt>
                <c:pt idx="1">
                  <c:v>38</c:v>
                </c:pt>
                <c:pt idx="2">
                  <c:v>-9.52</c:v>
                </c:pt>
              </c:numCache>
            </c:numRef>
          </c:val>
        </c:ser>
        <c:axId val="155175552"/>
        <c:axId val="155222400"/>
      </c:barChart>
      <c:catAx>
        <c:axId val="155175552"/>
        <c:scaling>
          <c:orientation val="minMax"/>
        </c:scaling>
        <c:axPos val="b"/>
        <c:tickLblPos val="nextTo"/>
        <c:crossAx val="155222400"/>
        <c:crosses val="autoZero"/>
        <c:auto val="1"/>
        <c:lblAlgn val="ctr"/>
        <c:lblOffset val="100"/>
      </c:catAx>
      <c:valAx>
        <c:axId val="155222400"/>
        <c:scaling>
          <c:orientation val="minMax"/>
        </c:scaling>
        <c:axPos val="l"/>
        <c:majorGridlines/>
        <c:numFmt formatCode="General" sourceLinked="1"/>
        <c:tickLblPos val="nextTo"/>
        <c:crossAx val="155175552"/>
        <c:crosses val="autoZero"/>
        <c:crossBetween val="between"/>
      </c:valAx>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EC1E7B2B-F40F-47CC-8111-888E2D9723FD}" type="doc">
      <dgm:prSet loTypeId="urn:microsoft.com/office/officeart/2008/layout/HorizontalMultiLevelHierarchy" loCatId="hierarchy" qsTypeId="urn:microsoft.com/office/officeart/2005/8/quickstyle/simple1#1" qsCatId="simple" csTypeId="urn:microsoft.com/office/officeart/2005/8/colors/accent1_2#1" csCatId="accent1" phldr="1"/>
      <dgm:spPr/>
      <dgm:t>
        <a:bodyPr/>
        <a:lstStyle/>
        <a:p>
          <a:endParaRPr lang="en-US"/>
        </a:p>
      </dgm:t>
    </dgm:pt>
    <dgm:pt modelId="{8C394E95-066B-405F-826B-CBF2B45C096D}">
      <dgm:prSet phldrT="[Text]" custT="1"/>
      <dgm:spPr/>
      <dgm:t>
        <a:bodyPr/>
        <a:lstStyle/>
        <a:p>
          <a:r>
            <a:rPr lang="en-US" sz="3200">
              <a:latin typeface="Times New Roman" panose="02020603050405020304" charset="0"/>
              <a:cs typeface="Times New Roman" panose="02020603050405020304" charset="0"/>
            </a:rPr>
            <a:t>Linde Worldwide</a:t>
          </a:r>
        </a:p>
      </dgm:t>
    </dgm:pt>
    <dgm:pt modelId="{4DD52151-4FAD-45C3-A127-53983673269B}" type="parTrans" cxnId="{E4743DC5-68D0-4AC3-BC1A-7BC6E32212DB}">
      <dgm:prSet/>
      <dgm:spPr/>
      <dgm:t>
        <a:bodyPr/>
        <a:lstStyle/>
        <a:p>
          <a:endParaRPr lang="en-US"/>
        </a:p>
      </dgm:t>
    </dgm:pt>
    <dgm:pt modelId="{2E106C6D-F440-4531-8AD2-D2A6DE8DC7D4}" type="sibTrans" cxnId="{E4743DC5-68D0-4AC3-BC1A-7BC6E32212DB}">
      <dgm:prSet/>
      <dgm:spPr/>
      <dgm:t>
        <a:bodyPr/>
        <a:lstStyle/>
        <a:p>
          <a:endParaRPr lang="en-US"/>
        </a:p>
      </dgm:t>
    </dgm:pt>
    <dgm:pt modelId="{30077DAD-EAD4-49B5-9ED4-EC9F43F90523}">
      <dgm:prSet phldrT="[Text]"/>
      <dgm:spPr/>
      <dgm:t>
        <a:bodyPr/>
        <a:lstStyle/>
        <a:p>
          <a:r>
            <a:rPr lang="en-US"/>
            <a:t>Africa</a:t>
          </a:r>
        </a:p>
      </dgm:t>
    </dgm:pt>
    <dgm:pt modelId="{543F9044-DC5C-4B80-B865-E3E92ACF2256}" type="parTrans" cxnId="{A5D698D2-0FB5-4BAB-9FF3-053F3F785807}">
      <dgm:prSet/>
      <dgm:spPr/>
      <dgm:t>
        <a:bodyPr/>
        <a:lstStyle/>
        <a:p>
          <a:endParaRPr lang="en-US"/>
        </a:p>
      </dgm:t>
    </dgm:pt>
    <dgm:pt modelId="{1A259F1E-9CE9-401C-BC5E-B3E5844EE412}" type="sibTrans" cxnId="{A5D698D2-0FB5-4BAB-9FF3-053F3F785807}">
      <dgm:prSet/>
      <dgm:spPr/>
      <dgm:t>
        <a:bodyPr/>
        <a:lstStyle/>
        <a:p>
          <a:endParaRPr lang="en-US"/>
        </a:p>
      </dgm:t>
    </dgm:pt>
    <dgm:pt modelId="{DB6CBA8E-6126-46DA-A520-5EC17750E6F2}">
      <dgm:prSet phldrT="[Text]"/>
      <dgm:spPr/>
      <dgm:t>
        <a:bodyPr/>
        <a:lstStyle/>
        <a:p>
          <a:r>
            <a:rPr lang="en-US"/>
            <a:t>Europe</a:t>
          </a:r>
        </a:p>
      </dgm:t>
    </dgm:pt>
    <dgm:pt modelId="{573DC46E-BE2F-4D2C-8196-AA60EFC73D9C}" type="parTrans" cxnId="{ABB87759-A574-4B5B-AA3F-1CF8CCE747FA}">
      <dgm:prSet/>
      <dgm:spPr/>
      <dgm:t>
        <a:bodyPr/>
        <a:lstStyle/>
        <a:p>
          <a:endParaRPr lang="en-US"/>
        </a:p>
      </dgm:t>
    </dgm:pt>
    <dgm:pt modelId="{F57373CC-C1D0-4C58-A100-4FA4B309EA6F}" type="sibTrans" cxnId="{ABB87759-A574-4B5B-AA3F-1CF8CCE747FA}">
      <dgm:prSet/>
      <dgm:spPr/>
      <dgm:t>
        <a:bodyPr/>
        <a:lstStyle/>
        <a:p>
          <a:endParaRPr lang="en-US"/>
        </a:p>
      </dgm:t>
    </dgm:pt>
    <dgm:pt modelId="{F1CFED7D-B9EF-4BE0-97E3-B41B47F3A976}">
      <dgm:prSet phldrT="[Text]"/>
      <dgm:spPr/>
      <dgm:t>
        <a:bodyPr/>
        <a:lstStyle/>
        <a:p>
          <a:r>
            <a:rPr lang="en-US"/>
            <a:t>North America</a:t>
          </a:r>
        </a:p>
      </dgm:t>
    </dgm:pt>
    <dgm:pt modelId="{6DF1E527-FD89-4BC2-B0D4-4C8D93BD284A}" type="parTrans" cxnId="{216C5C43-C643-43AF-937E-032C5F2C53C7}">
      <dgm:prSet/>
      <dgm:spPr/>
      <dgm:t>
        <a:bodyPr/>
        <a:lstStyle/>
        <a:p>
          <a:endParaRPr lang="en-US"/>
        </a:p>
      </dgm:t>
    </dgm:pt>
    <dgm:pt modelId="{1F47F4CE-8D86-4821-A156-D9FB437F64B6}" type="sibTrans" cxnId="{216C5C43-C643-43AF-937E-032C5F2C53C7}">
      <dgm:prSet/>
      <dgm:spPr/>
      <dgm:t>
        <a:bodyPr/>
        <a:lstStyle/>
        <a:p>
          <a:endParaRPr lang="en-US"/>
        </a:p>
      </dgm:t>
    </dgm:pt>
    <dgm:pt modelId="{A9D4EC14-F0D9-4988-9D72-5F304AC588C4}">
      <dgm:prSet/>
      <dgm:spPr/>
      <dgm:t>
        <a:bodyPr/>
        <a:lstStyle/>
        <a:p>
          <a:r>
            <a:rPr lang="en-US"/>
            <a:t>South America</a:t>
          </a:r>
        </a:p>
      </dgm:t>
    </dgm:pt>
    <dgm:pt modelId="{E4F72376-3FE7-4527-A710-4AAFB2AB155D}" type="parTrans" cxnId="{558908BA-1A3F-4875-9E00-350AA3C4EFE4}">
      <dgm:prSet/>
      <dgm:spPr/>
      <dgm:t>
        <a:bodyPr/>
        <a:lstStyle/>
        <a:p>
          <a:endParaRPr lang="en-US"/>
        </a:p>
      </dgm:t>
    </dgm:pt>
    <dgm:pt modelId="{FCE678C3-B153-4D7C-A146-C1C649469E41}" type="sibTrans" cxnId="{558908BA-1A3F-4875-9E00-350AA3C4EFE4}">
      <dgm:prSet/>
      <dgm:spPr/>
      <dgm:t>
        <a:bodyPr/>
        <a:lstStyle/>
        <a:p>
          <a:endParaRPr lang="en-US"/>
        </a:p>
      </dgm:t>
    </dgm:pt>
    <dgm:pt modelId="{5C82B4C5-50DE-4E53-8DE9-D28C183CEE30}">
      <dgm:prSet/>
      <dgm:spPr/>
      <dgm:t>
        <a:bodyPr/>
        <a:lstStyle/>
        <a:p>
          <a:r>
            <a:rPr lang="en-US"/>
            <a:t>South Pacific</a:t>
          </a:r>
        </a:p>
      </dgm:t>
    </dgm:pt>
    <dgm:pt modelId="{8CEC01C9-CECA-44B5-B4E1-51EFD354889E}" type="parTrans" cxnId="{BA0E196E-3071-4532-AD94-31ADE491E5C2}">
      <dgm:prSet/>
      <dgm:spPr/>
      <dgm:t>
        <a:bodyPr/>
        <a:lstStyle/>
        <a:p>
          <a:endParaRPr lang="en-US"/>
        </a:p>
      </dgm:t>
    </dgm:pt>
    <dgm:pt modelId="{C06EE300-0559-46D5-B00F-4697597A1407}" type="sibTrans" cxnId="{BA0E196E-3071-4532-AD94-31ADE491E5C2}">
      <dgm:prSet/>
      <dgm:spPr/>
      <dgm:t>
        <a:bodyPr/>
        <a:lstStyle/>
        <a:p>
          <a:endParaRPr lang="en-US"/>
        </a:p>
      </dgm:t>
    </dgm:pt>
    <dgm:pt modelId="{5D346288-262D-450B-AC7D-27D126A84F63}">
      <dgm:prSet/>
      <dgm:spPr/>
      <dgm:t>
        <a:bodyPr/>
        <a:lstStyle/>
        <a:p>
          <a:r>
            <a:rPr lang="en-US">
              <a:solidFill>
                <a:schemeClr val="bg1"/>
              </a:solidFill>
            </a:rPr>
            <a:t>Asia</a:t>
          </a:r>
        </a:p>
      </dgm:t>
    </dgm:pt>
    <dgm:pt modelId="{721C0F71-B702-47B0-979B-D90183A42EED}" type="parTrans" cxnId="{BBEC29D5-5476-413D-B1B6-16BC7CF00C8F}">
      <dgm:prSet/>
      <dgm:spPr/>
      <dgm:t>
        <a:bodyPr/>
        <a:lstStyle/>
        <a:p>
          <a:endParaRPr lang="en-US"/>
        </a:p>
      </dgm:t>
    </dgm:pt>
    <dgm:pt modelId="{BBB353B2-2B28-41FC-8263-DFA57452CA7F}" type="sibTrans" cxnId="{BBEC29D5-5476-413D-B1B6-16BC7CF00C8F}">
      <dgm:prSet/>
      <dgm:spPr/>
      <dgm:t>
        <a:bodyPr/>
        <a:lstStyle/>
        <a:p>
          <a:endParaRPr lang="en-US"/>
        </a:p>
      </dgm:t>
    </dgm:pt>
    <dgm:pt modelId="{441E023C-F242-4DB9-BD6E-567521AE8D6C}">
      <dgm:prSet/>
      <dgm:spPr/>
      <dgm:t>
        <a:bodyPr/>
        <a:lstStyle/>
        <a:p>
          <a:r>
            <a:rPr lang="en-US"/>
            <a:t>China</a:t>
          </a:r>
        </a:p>
      </dgm:t>
    </dgm:pt>
    <dgm:pt modelId="{79A596C0-B20A-4164-9CFD-0BA8941454E3}" type="parTrans" cxnId="{B3C4A30D-E050-4EA4-A252-09A832409D35}">
      <dgm:prSet/>
      <dgm:spPr/>
      <dgm:t>
        <a:bodyPr/>
        <a:lstStyle/>
        <a:p>
          <a:endParaRPr lang="en-US"/>
        </a:p>
      </dgm:t>
    </dgm:pt>
    <dgm:pt modelId="{B728E927-8A8C-4751-A49B-D14870AF0C05}" type="sibTrans" cxnId="{B3C4A30D-E050-4EA4-A252-09A832409D35}">
      <dgm:prSet/>
      <dgm:spPr/>
      <dgm:t>
        <a:bodyPr/>
        <a:lstStyle/>
        <a:p>
          <a:endParaRPr lang="en-US"/>
        </a:p>
      </dgm:t>
    </dgm:pt>
    <dgm:pt modelId="{66EFF3A3-21A9-4301-A16E-3E265B53D1D4}">
      <dgm:prSet/>
      <dgm:spPr/>
      <dgm:t>
        <a:bodyPr/>
        <a:lstStyle/>
        <a:p>
          <a:r>
            <a:rPr lang="en-US"/>
            <a:t>India</a:t>
          </a:r>
        </a:p>
      </dgm:t>
    </dgm:pt>
    <dgm:pt modelId="{F0602E3B-B42B-438F-AD47-36FFCF9D1BE6}" type="parTrans" cxnId="{B1620E01-507C-49AB-833C-600D22C9F431}">
      <dgm:prSet/>
      <dgm:spPr/>
      <dgm:t>
        <a:bodyPr/>
        <a:lstStyle/>
        <a:p>
          <a:endParaRPr lang="en-US"/>
        </a:p>
      </dgm:t>
    </dgm:pt>
    <dgm:pt modelId="{F6B824A9-DF7F-4FAF-AFBE-2D5D9D029A74}" type="sibTrans" cxnId="{B1620E01-507C-49AB-833C-600D22C9F431}">
      <dgm:prSet/>
      <dgm:spPr/>
      <dgm:t>
        <a:bodyPr/>
        <a:lstStyle/>
        <a:p>
          <a:endParaRPr lang="en-US"/>
        </a:p>
      </dgm:t>
    </dgm:pt>
    <dgm:pt modelId="{A4A41A2A-40F6-4255-8FD1-4840AA951559}">
      <dgm:prSet/>
      <dgm:spPr/>
      <dgm:t>
        <a:bodyPr/>
        <a:lstStyle/>
        <a:p>
          <a:r>
            <a:rPr lang="en-US"/>
            <a:t>Pakistan</a:t>
          </a:r>
        </a:p>
      </dgm:t>
    </dgm:pt>
    <dgm:pt modelId="{F53F49B0-2D51-4A2B-989C-6C3B00D2D890}" type="parTrans" cxnId="{3F28DAAD-3E93-4A27-A623-6800C661C2FB}">
      <dgm:prSet/>
      <dgm:spPr/>
      <dgm:t>
        <a:bodyPr/>
        <a:lstStyle/>
        <a:p>
          <a:endParaRPr lang="en-US"/>
        </a:p>
      </dgm:t>
    </dgm:pt>
    <dgm:pt modelId="{DD637C1E-5B75-4978-BD0A-E6B51D4B5F1E}" type="sibTrans" cxnId="{3F28DAAD-3E93-4A27-A623-6800C661C2FB}">
      <dgm:prSet/>
      <dgm:spPr/>
      <dgm:t>
        <a:bodyPr/>
        <a:lstStyle/>
        <a:p>
          <a:endParaRPr lang="en-US"/>
        </a:p>
      </dgm:t>
    </dgm:pt>
    <dgm:pt modelId="{86959289-2D33-412B-B96D-DC224F6733E8}">
      <dgm:prSet/>
      <dgm:spPr/>
      <dgm:t>
        <a:bodyPr/>
        <a:lstStyle/>
        <a:p>
          <a:r>
            <a:rPr lang="en-US"/>
            <a:t>Sri Lanka</a:t>
          </a:r>
        </a:p>
      </dgm:t>
    </dgm:pt>
    <dgm:pt modelId="{4086080F-4C14-4D21-B5E3-2BBE054A406A}" type="parTrans" cxnId="{AD49F3C9-40F8-4127-909D-0A5AD9A8BC9F}">
      <dgm:prSet/>
      <dgm:spPr/>
      <dgm:t>
        <a:bodyPr/>
        <a:lstStyle/>
        <a:p>
          <a:endParaRPr lang="en-US"/>
        </a:p>
      </dgm:t>
    </dgm:pt>
    <dgm:pt modelId="{BB3E8295-2434-467D-BFA2-CF6EFE1949A1}" type="sibTrans" cxnId="{AD49F3C9-40F8-4127-909D-0A5AD9A8BC9F}">
      <dgm:prSet/>
      <dgm:spPr/>
      <dgm:t>
        <a:bodyPr/>
        <a:lstStyle/>
        <a:p>
          <a:endParaRPr lang="en-US"/>
        </a:p>
      </dgm:t>
    </dgm:pt>
    <dgm:pt modelId="{96ED38C1-5FA1-4220-961C-FB6523B78202}">
      <dgm:prSet/>
      <dgm:spPr/>
      <dgm:t>
        <a:bodyPr/>
        <a:lstStyle/>
        <a:p>
          <a:r>
            <a:rPr lang="en-US"/>
            <a:t>Bangladesh</a:t>
          </a:r>
        </a:p>
      </dgm:t>
    </dgm:pt>
    <dgm:pt modelId="{25822EC0-7150-4752-A3A2-EC0146E0E35A}" type="parTrans" cxnId="{B258DE72-6808-4CB1-820B-F0AFC1354052}">
      <dgm:prSet/>
      <dgm:spPr/>
      <dgm:t>
        <a:bodyPr/>
        <a:lstStyle/>
        <a:p>
          <a:endParaRPr lang="en-US"/>
        </a:p>
      </dgm:t>
    </dgm:pt>
    <dgm:pt modelId="{2A756ADA-EC8F-4229-BECF-38898D941B0D}" type="sibTrans" cxnId="{B258DE72-6808-4CB1-820B-F0AFC1354052}">
      <dgm:prSet/>
      <dgm:spPr/>
      <dgm:t>
        <a:bodyPr/>
        <a:lstStyle/>
        <a:p>
          <a:endParaRPr lang="en-US"/>
        </a:p>
      </dgm:t>
    </dgm:pt>
    <dgm:pt modelId="{64CC92B0-E42A-4BD4-84F4-78C76DFA8115}">
      <dgm:prSet/>
      <dgm:spPr/>
      <dgm:t>
        <a:bodyPr/>
        <a:lstStyle/>
        <a:p>
          <a:r>
            <a:rPr lang="en-US"/>
            <a:t>UAE</a:t>
          </a:r>
        </a:p>
      </dgm:t>
    </dgm:pt>
    <dgm:pt modelId="{A97B72CE-5734-477D-8A14-11F82732A187}" type="parTrans" cxnId="{96492C55-451B-41FD-A0D6-9BE566886E73}">
      <dgm:prSet/>
      <dgm:spPr/>
      <dgm:t>
        <a:bodyPr/>
        <a:lstStyle/>
        <a:p>
          <a:endParaRPr lang="en-US"/>
        </a:p>
      </dgm:t>
    </dgm:pt>
    <dgm:pt modelId="{15DC25C5-C4E2-4E99-A2E7-41E2A4D5449F}" type="sibTrans" cxnId="{96492C55-451B-41FD-A0D6-9BE566886E73}">
      <dgm:prSet/>
      <dgm:spPr/>
      <dgm:t>
        <a:bodyPr/>
        <a:lstStyle/>
        <a:p>
          <a:endParaRPr lang="en-US"/>
        </a:p>
      </dgm:t>
    </dgm:pt>
    <dgm:pt modelId="{BEC03C1E-06E6-4958-B0B3-D43017C06BAB}">
      <dgm:prSet/>
      <dgm:spPr/>
      <dgm:t>
        <a:bodyPr/>
        <a:lstStyle/>
        <a:p>
          <a:r>
            <a:rPr lang="en-US"/>
            <a:t>Thailand</a:t>
          </a:r>
        </a:p>
      </dgm:t>
    </dgm:pt>
    <dgm:pt modelId="{B96482D8-850B-435C-A65F-5FC324C01B3A}" type="parTrans" cxnId="{B769B735-DBB3-4C3A-ADB4-A32704D805AA}">
      <dgm:prSet/>
      <dgm:spPr/>
      <dgm:t>
        <a:bodyPr/>
        <a:lstStyle/>
        <a:p>
          <a:endParaRPr lang="en-US"/>
        </a:p>
      </dgm:t>
    </dgm:pt>
    <dgm:pt modelId="{BB82D588-A2EB-4330-B563-DE0A4D0808A1}" type="sibTrans" cxnId="{B769B735-DBB3-4C3A-ADB4-A32704D805AA}">
      <dgm:prSet/>
      <dgm:spPr/>
      <dgm:t>
        <a:bodyPr/>
        <a:lstStyle/>
        <a:p>
          <a:endParaRPr lang="en-US"/>
        </a:p>
      </dgm:t>
    </dgm:pt>
    <dgm:pt modelId="{F94C6DC7-C009-4228-932E-449A3D4B49C4}">
      <dgm:prSet/>
      <dgm:spPr/>
      <dgm:t>
        <a:bodyPr/>
        <a:lstStyle/>
        <a:p>
          <a:r>
            <a:rPr lang="en-US"/>
            <a:t>Hong Kong</a:t>
          </a:r>
        </a:p>
      </dgm:t>
    </dgm:pt>
    <dgm:pt modelId="{5F5D967D-18D1-4DF5-B54B-4D3B388CC354}" type="parTrans" cxnId="{8984BA1C-FF68-4AFF-8179-72E0A717CBBA}">
      <dgm:prSet/>
      <dgm:spPr/>
      <dgm:t>
        <a:bodyPr/>
        <a:lstStyle/>
        <a:p>
          <a:endParaRPr lang="en-US"/>
        </a:p>
      </dgm:t>
    </dgm:pt>
    <dgm:pt modelId="{2AF96CD9-0854-4E6A-A911-90B69DCC4234}" type="sibTrans" cxnId="{8984BA1C-FF68-4AFF-8179-72E0A717CBBA}">
      <dgm:prSet/>
      <dgm:spPr/>
      <dgm:t>
        <a:bodyPr/>
        <a:lstStyle/>
        <a:p>
          <a:endParaRPr lang="en-US"/>
        </a:p>
      </dgm:t>
    </dgm:pt>
    <dgm:pt modelId="{E7127827-D325-4E38-8DAF-485C0EF11CA2}">
      <dgm:prSet/>
      <dgm:spPr/>
      <dgm:t>
        <a:bodyPr/>
        <a:lstStyle/>
        <a:p>
          <a:r>
            <a:rPr lang="en-US"/>
            <a:t>Vietnam</a:t>
          </a:r>
        </a:p>
      </dgm:t>
    </dgm:pt>
    <dgm:pt modelId="{17B3E417-268E-4340-88C4-EE9FCDD2713E}" type="parTrans" cxnId="{6678A1AB-8888-4EF4-953A-A9F99B2F3834}">
      <dgm:prSet/>
      <dgm:spPr/>
      <dgm:t>
        <a:bodyPr/>
        <a:lstStyle/>
        <a:p>
          <a:endParaRPr lang="en-US"/>
        </a:p>
      </dgm:t>
    </dgm:pt>
    <dgm:pt modelId="{5A3704AC-F832-4B2B-A974-B45F3853EE1C}" type="sibTrans" cxnId="{6678A1AB-8888-4EF4-953A-A9F99B2F3834}">
      <dgm:prSet/>
      <dgm:spPr/>
      <dgm:t>
        <a:bodyPr/>
        <a:lstStyle/>
        <a:p>
          <a:endParaRPr lang="en-US"/>
        </a:p>
      </dgm:t>
    </dgm:pt>
    <dgm:pt modelId="{C632A6A6-E8D2-46F9-9134-0B80479289FE}">
      <dgm:prSet/>
      <dgm:spPr/>
      <dgm:t>
        <a:bodyPr/>
        <a:lstStyle/>
        <a:p>
          <a:r>
            <a:rPr lang="en-US"/>
            <a:t>Malaysia</a:t>
          </a:r>
        </a:p>
      </dgm:t>
    </dgm:pt>
    <dgm:pt modelId="{1816B1DF-4125-4B73-B667-4DB22BE37F5E}" type="parTrans" cxnId="{714AFD4D-D625-4E60-A471-E187955B3DE2}">
      <dgm:prSet/>
      <dgm:spPr/>
      <dgm:t>
        <a:bodyPr/>
        <a:lstStyle/>
        <a:p>
          <a:endParaRPr lang="en-US"/>
        </a:p>
      </dgm:t>
    </dgm:pt>
    <dgm:pt modelId="{F4166BC6-C9AC-42D2-B41C-02D7F5DD7EE6}" type="sibTrans" cxnId="{714AFD4D-D625-4E60-A471-E187955B3DE2}">
      <dgm:prSet/>
      <dgm:spPr/>
      <dgm:t>
        <a:bodyPr/>
        <a:lstStyle/>
        <a:p>
          <a:endParaRPr lang="en-US"/>
        </a:p>
      </dgm:t>
    </dgm:pt>
    <dgm:pt modelId="{2BD8F105-0482-466C-A47D-1AA598BE807A}">
      <dgm:prSet/>
      <dgm:spPr/>
      <dgm:t>
        <a:bodyPr/>
        <a:lstStyle/>
        <a:p>
          <a:r>
            <a:rPr lang="en-US"/>
            <a:t>Indonesia</a:t>
          </a:r>
        </a:p>
      </dgm:t>
    </dgm:pt>
    <dgm:pt modelId="{22B7D108-CFB2-43A3-90E6-37189B9903EC}" type="parTrans" cxnId="{6BFB139F-ACDC-478E-BF91-7E6868F5794D}">
      <dgm:prSet/>
      <dgm:spPr/>
      <dgm:t>
        <a:bodyPr/>
        <a:lstStyle/>
        <a:p>
          <a:endParaRPr lang="en-US"/>
        </a:p>
      </dgm:t>
    </dgm:pt>
    <dgm:pt modelId="{A9F8F058-3EA3-4AB8-9665-F08447275760}" type="sibTrans" cxnId="{6BFB139F-ACDC-478E-BF91-7E6868F5794D}">
      <dgm:prSet/>
      <dgm:spPr/>
      <dgm:t>
        <a:bodyPr/>
        <a:lstStyle/>
        <a:p>
          <a:endParaRPr lang="en-US"/>
        </a:p>
      </dgm:t>
    </dgm:pt>
    <dgm:pt modelId="{A0396B9B-281A-44AF-B224-E78CDF0C5F58}">
      <dgm:prSet/>
      <dgm:spPr/>
      <dgm:t>
        <a:bodyPr/>
        <a:lstStyle/>
        <a:p>
          <a:r>
            <a:rPr lang="en-US"/>
            <a:t>South Korea</a:t>
          </a:r>
        </a:p>
      </dgm:t>
    </dgm:pt>
    <dgm:pt modelId="{FF0F7CB6-79A0-421F-9646-3A3C57FB5805}" type="parTrans" cxnId="{05A8B74A-67C4-4B78-AF68-F0E3DAFB07CD}">
      <dgm:prSet/>
      <dgm:spPr/>
      <dgm:t>
        <a:bodyPr/>
        <a:lstStyle/>
        <a:p>
          <a:endParaRPr lang="en-US"/>
        </a:p>
      </dgm:t>
    </dgm:pt>
    <dgm:pt modelId="{95E67129-A44D-4773-A4CA-EBD7A62355D9}" type="sibTrans" cxnId="{05A8B74A-67C4-4B78-AF68-F0E3DAFB07CD}">
      <dgm:prSet/>
      <dgm:spPr/>
      <dgm:t>
        <a:bodyPr/>
        <a:lstStyle/>
        <a:p>
          <a:endParaRPr lang="en-US"/>
        </a:p>
      </dgm:t>
    </dgm:pt>
    <dgm:pt modelId="{ADC9F004-6076-44FA-88DB-2944C7313EE7}">
      <dgm:prSet/>
      <dgm:spPr/>
      <dgm:t>
        <a:bodyPr/>
        <a:lstStyle/>
        <a:p>
          <a:r>
            <a:rPr lang="en-US"/>
            <a:t>Singapore</a:t>
          </a:r>
        </a:p>
      </dgm:t>
    </dgm:pt>
    <dgm:pt modelId="{A18F0397-7F1D-4814-B59C-149AA39F377C}" type="parTrans" cxnId="{9BE601B3-2C35-475C-9C16-2D897DEBB0E9}">
      <dgm:prSet/>
      <dgm:spPr/>
      <dgm:t>
        <a:bodyPr/>
        <a:lstStyle/>
        <a:p>
          <a:endParaRPr lang="en-US"/>
        </a:p>
      </dgm:t>
    </dgm:pt>
    <dgm:pt modelId="{517B323D-9FBA-4DCB-B01B-79427377403D}" type="sibTrans" cxnId="{9BE601B3-2C35-475C-9C16-2D897DEBB0E9}">
      <dgm:prSet/>
      <dgm:spPr/>
      <dgm:t>
        <a:bodyPr/>
        <a:lstStyle/>
        <a:p>
          <a:endParaRPr lang="en-US"/>
        </a:p>
      </dgm:t>
    </dgm:pt>
    <dgm:pt modelId="{906DFB43-3A8C-4974-88C6-B51D30D3DDC2}" type="pres">
      <dgm:prSet presAssocID="{EC1E7B2B-F40F-47CC-8111-888E2D9723FD}" presName="Name0" presStyleCnt="0">
        <dgm:presLayoutVars>
          <dgm:chPref val="1"/>
          <dgm:dir/>
          <dgm:animOne val="branch"/>
          <dgm:animLvl val="lvl"/>
          <dgm:resizeHandles val="exact"/>
        </dgm:presLayoutVars>
      </dgm:prSet>
      <dgm:spPr/>
      <dgm:t>
        <a:bodyPr/>
        <a:lstStyle/>
        <a:p>
          <a:endParaRPr lang="en-US"/>
        </a:p>
      </dgm:t>
    </dgm:pt>
    <dgm:pt modelId="{0AF3324E-21D8-45E5-870A-4EE60C3CCCD8}" type="pres">
      <dgm:prSet presAssocID="{8C394E95-066B-405F-826B-CBF2B45C096D}" presName="root1" presStyleCnt="0"/>
      <dgm:spPr/>
    </dgm:pt>
    <dgm:pt modelId="{4A24B072-BE5D-4CA2-9E09-2750ECA739C5}" type="pres">
      <dgm:prSet presAssocID="{8C394E95-066B-405F-826B-CBF2B45C096D}" presName="LevelOneTextNode" presStyleLbl="node0" presStyleIdx="0" presStyleCnt="1" custScaleX="447806" custScaleY="147386">
        <dgm:presLayoutVars>
          <dgm:chPref val="3"/>
        </dgm:presLayoutVars>
      </dgm:prSet>
      <dgm:spPr/>
      <dgm:t>
        <a:bodyPr/>
        <a:lstStyle/>
        <a:p>
          <a:endParaRPr lang="en-US"/>
        </a:p>
      </dgm:t>
    </dgm:pt>
    <dgm:pt modelId="{9C3E2B57-0FC6-4C4D-A468-B2622AB7AD65}" type="pres">
      <dgm:prSet presAssocID="{8C394E95-066B-405F-826B-CBF2B45C096D}" presName="level2hierChild" presStyleCnt="0"/>
      <dgm:spPr/>
    </dgm:pt>
    <dgm:pt modelId="{B871D73D-B5A0-4702-AF70-8F616B886E8B}" type="pres">
      <dgm:prSet presAssocID="{543F9044-DC5C-4B80-B865-E3E92ACF2256}" presName="conn2-1" presStyleLbl="parChTrans1D2" presStyleIdx="0" presStyleCnt="6"/>
      <dgm:spPr/>
      <dgm:t>
        <a:bodyPr/>
        <a:lstStyle/>
        <a:p>
          <a:endParaRPr lang="en-US"/>
        </a:p>
      </dgm:t>
    </dgm:pt>
    <dgm:pt modelId="{E0947821-2613-4D06-B89E-DA606B32718F}" type="pres">
      <dgm:prSet presAssocID="{543F9044-DC5C-4B80-B865-E3E92ACF2256}" presName="connTx" presStyleLbl="parChTrans1D2" presStyleIdx="0" presStyleCnt="6"/>
      <dgm:spPr/>
      <dgm:t>
        <a:bodyPr/>
        <a:lstStyle/>
        <a:p>
          <a:endParaRPr lang="en-US"/>
        </a:p>
      </dgm:t>
    </dgm:pt>
    <dgm:pt modelId="{544B0930-70AE-4415-A9AE-3ECD4F4E501A}" type="pres">
      <dgm:prSet presAssocID="{30077DAD-EAD4-49B5-9ED4-EC9F43F90523}" presName="root2" presStyleCnt="0"/>
      <dgm:spPr/>
    </dgm:pt>
    <dgm:pt modelId="{56DEF638-666B-444E-9B86-96CF4DA06137}" type="pres">
      <dgm:prSet presAssocID="{30077DAD-EAD4-49B5-9ED4-EC9F43F90523}" presName="LevelTwoTextNode" presStyleLbl="node2" presStyleIdx="0" presStyleCnt="6">
        <dgm:presLayoutVars>
          <dgm:chPref val="3"/>
        </dgm:presLayoutVars>
      </dgm:prSet>
      <dgm:spPr/>
      <dgm:t>
        <a:bodyPr/>
        <a:lstStyle/>
        <a:p>
          <a:endParaRPr lang="en-US"/>
        </a:p>
      </dgm:t>
    </dgm:pt>
    <dgm:pt modelId="{24258A0F-C809-4165-9B63-004399EB93DF}" type="pres">
      <dgm:prSet presAssocID="{30077DAD-EAD4-49B5-9ED4-EC9F43F90523}" presName="level3hierChild" presStyleCnt="0"/>
      <dgm:spPr/>
    </dgm:pt>
    <dgm:pt modelId="{298FA5CF-015F-4F82-B419-26030DF4E62F}" type="pres">
      <dgm:prSet presAssocID="{573DC46E-BE2F-4D2C-8196-AA60EFC73D9C}" presName="conn2-1" presStyleLbl="parChTrans1D2" presStyleIdx="1" presStyleCnt="6"/>
      <dgm:spPr/>
      <dgm:t>
        <a:bodyPr/>
        <a:lstStyle/>
        <a:p>
          <a:endParaRPr lang="en-US"/>
        </a:p>
      </dgm:t>
    </dgm:pt>
    <dgm:pt modelId="{C914B56A-FEF0-4A3D-9CC3-6FFF0037FB58}" type="pres">
      <dgm:prSet presAssocID="{573DC46E-BE2F-4D2C-8196-AA60EFC73D9C}" presName="connTx" presStyleLbl="parChTrans1D2" presStyleIdx="1" presStyleCnt="6"/>
      <dgm:spPr/>
      <dgm:t>
        <a:bodyPr/>
        <a:lstStyle/>
        <a:p>
          <a:endParaRPr lang="en-US"/>
        </a:p>
      </dgm:t>
    </dgm:pt>
    <dgm:pt modelId="{14F95473-425C-487A-B40F-C519D969954F}" type="pres">
      <dgm:prSet presAssocID="{DB6CBA8E-6126-46DA-A520-5EC17750E6F2}" presName="root2" presStyleCnt="0"/>
      <dgm:spPr/>
    </dgm:pt>
    <dgm:pt modelId="{C68E76BA-F833-415F-8F97-6B6152DE87E2}" type="pres">
      <dgm:prSet presAssocID="{DB6CBA8E-6126-46DA-A520-5EC17750E6F2}" presName="LevelTwoTextNode" presStyleLbl="node2" presStyleIdx="1" presStyleCnt="6">
        <dgm:presLayoutVars>
          <dgm:chPref val="3"/>
        </dgm:presLayoutVars>
      </dgm:prSet>
      <dgm:spPr/>
      <dgm:t>
        <a:bodyPr/>
        <a:lstStyle/>
        <a:p>
          <a:endParaRPr lang="en-US"/>
        </a:p>
      </dgm:t>
    </dgm:pt>
    <dgm:pt modelId="{C12DE19A-3943-4906-B61F-89B74E4DCE67}" type="pres">
      <dgm:prSet presAssocID="{DB6CBA8E-6126-46DA-A520-5EC17750E6F2}" presName="level3hierChild" presStyleCnt="0"/>
      <dgm:spPr/>
    </dgm:pt>
    <dgm:pt modelId="{C462AEE1-50CF-4F57-AE39-CF948CCD7980}" type="pres">
      <dgm:prSet presAssocID="{6DF1E527-FD89-4BC2-B0D4-4C8D93BD284A}" presName="conn2-1" presStyleLbl="parChTrans1D2" presStyleIdx="2" presStyleCnt="6"/>
      <dgm:spPr/>
      <dgm:t>
        <a:bodyPr/>
        <a:lstStyle/>
        <a:p>
          <a:endParaRPr lang="en-US"/>
        </a:p>
      </dgm:t>
    </dgm:pt>
    <dgm:pt modelId="{1DC46A8C-FCB8-4BB3-83A3-E0D96ECDDF9C}" type="pres">
      <dgm:prSet presAssocID="{6DF1E527-FD89-4BC2-B0D4-4C8D93BD284A}" presName="connTx" presStyleLbl="parChTrans1D2" presStyleIdx="2" presStyleCnt="6"/>
      <dgm:spPr/>
      <dgm:t>
        <a:bodyPr/>
        <a:lstStyle/>
        <a:p>
          <a:endParaRPr lang="en-US"/>
        </a:p>
      </dgm:t>
    </dgm:pt>
    <dgm:pt modelId="{93B87FDA-3EF5-4A09-9BAE-BEB8846FF54E}" type="pres">
      <dgm:prSet presAssocID="{F1CFED7D-B9EF-4BE0-97E3-B41B47F3A976}" presName="root2" presStyleCnt="0"/>
      <dgm:spPr/>
    </dgm:pt>
    <dgm:pt modelId="{4A068696-FEF2-4D10-A4C2-A7719FB095D5}" type="pres">
      <dgm:prSet presAssocID="{F1CFED7D-B9EF-4BE0-97E3-B41B47F3A976}" presName="LevelTwoTextNode" presStyleLbl="node2" presStyleIdx="2" presStyleCnt="6" custScaleY="107143">
        <dgm:presLayoutVars>
          <dgm:chPref val="3"/>
        </dgm:presLayoutVars>
      </dgm:prSet>
      <dgm:spPr/>
      <dgm:t>
        <a:bodyPr/>
        <a:lstStyle/>
        <a:p>
          <a:endParaRPr lang="en-US"/>
        </a:p>
      </dgm:t>
    </dgm:pt>
    <dgm:pt modelId="{E3FD26EA-9674-4527-ACA1-ED84993658D0}" type="pres">
      <dgm:prSet presAssocID="{F1CFED7D-B9EF-4BE0-97E3-B41B47F3A976}" presName="level3hierChild" presStyleCnt="0"/>
      <dgm:spPr/>
    </dgm:pt>
    <dgm:pt modelId="{89384CAC-2175-4CF2-A0F6-2E0195EF0FBC}" type="pres">
      <dgm:prSet presAssocID="{E4F72376-3FE7-4527-A710-4AAFB2AB155D}" presName="conn2-1" presStyleLbl="parChTrans1D2" presStyleIdx="3" presStyleCnt="6"/>
      <dgm:spPr/>
      <dgm:t>
        <a:bodyPr/>
        <a:lstStyle/>
        <a:p>
          <a:endParaRPr lang="en-US"/>
        </a:p>
      </dgm:t>
    </dgm:pt>
    <dgm:pt modelId="{5679621C-D51C-47E0-BFF9-503E13BC9030}" type="pres">
      <dgm:prSet presAssocID="{E4F72376-3FE7-4527-A710-4AAFB2AB155D}" presName="connTx" presStyleLbl="parChTrans1D2" presStyleIdx="3" presStyleCnt="6"/>
      <dgm:spPr/>
      <dgm:t>
        <a:bodyPr/>
        <a:lstStyle/>
        <a:p>
          <a:endParaRPr lang="en-US"/>
        </a:p>
      </dgm:t>
    </dgm:pt>
    <dgm:pt modelId="{74457E2F-2733-42B0-986F-1514D9753B23}" type="pres">
      <dgm:prSet presAssocID="{A9D4EC14-F0D9-4988-9D72-5F304AC588C4}" presName="root2" presStyleCnt="0"/>
      <dgm:spPr/>
    </dgm:pt>
    <dgm:pt modelId="{672D41C8-AA1E-46CB-BB61-B277016BBE9F}" type="pres">
      <dgm:prSet presAssocID="{A9D4EC14-F0D9-4988-9D72-5F304AC588C4}" presName="LevelTwoTextNode" presStyleLbl="node2" presStyleIdx="3" presStyleCnt="6">
        <dgm:presLayoutVars>
          <dgm:chPref val="3"/>
        </dgm:presLayoutVars>
      </dgm:prSet>
      <dgm:spPr/>
      <dgm:t>
        <a:bodyPr/>
        <a:lstStyle/>
        <a:p>
          <a:endParaRPr lang="en-US"/>
        </a:p>
      </dgm:t>
    </dgm:pt>
    <dgm:pt modelId="{F81716C5-C75A-4464-871C-1B839FB6E2CE}" type="pres">
      <dgm:prSet presAssocID="{A9D4EC14-F0D9-4988-9D72-5F304AC588C4}" presName="level3hierChild" presStyleCnt="0"/>
      <dgm:spPr/>
    </dgm:pt>
    <dgm:pt modelId="{DB24F9D8-02E8-4395-B53F-68DD2E17D639}" type="pres">
      <dgm:prSet presAssocID="{8CEC01C9-CECA-44B5-B4E1-51EFD354889E}" presName="conn2-1" presStyleLbl="parChTrans1D2" presStyleIdx="4" presStyleCnt="6"/>
      <dgm:spPr/>
      <dgm:t>
        <a:bodyPr/>
        <a:lstStyle/>
        <a:p>
          <a:endParaRPr lang="en-US"/>
        </a:p>
      </dgm:t>
    </dgm:pt>
    <dgm:pt modelId="{B541FCFF-14A5-44D2-B555-3461D8FFFB9C}" type="pres">
      <dgm:prSet presAssocID="{8CEC01C9-CECA-44B5-B4E1-51EFD354889E}" presName="connTx" presStyleLbl="parChTrans1D2" presStyleIdx="4" presStyleCnt="6"/>
      <dgm:spPr/>
      <dgm:t>
        <a:bodyPr/>
        <a:lstStyle/>
        <a:p>
          <a:endParaRPr lang="en-US"/>
        </a:p>
      </dgm:t>
    </dgm:pt>
    <dgm:pt modelId="{F8186C41-374C-4CC4-A865-2935E3D3BCBC}" type="pres">
      <dgm:prSet presAssocID="{5C82B4C5-50DE-4E53-8DE9-D28C183CEE30}" presName="root2" presStyleCnt="0"/>
      <dgm:spPr/>
    </dgm:pt>
    <dgm:pt modelId="{C2F30BA8-62D7-4B73-B05D-B7838860A206}" type="pres">
      <dgm:prSet presAssocID="{5C82B4C5-50DE-4E53-8DE9-D28C183CEE30}" presName="LevelTwoTextNode" presStyleLbl="node2" presStyleIdx="4" presStyleCnt="6">
        <dgm:presLayoutVars>
          <dgm:chPref val="3"/>
        </dgm:presLayoutVars>
      </dgm:prSet>
      <dgm:spPr/>
      <dgm:t>
        <a:bodyPr/>
        <a:lstStyle/>
        <a:p>
          <a:endParaRPr lang="en-US"/>
        </a:p>
      </dgm:t>
    </dgm:pt>
    <dgm:pt modelId="{0169FB21-6F9D-4705-973A-25962603B8C0}" type="pres">
      <dgm:prSet presAssocID="{5C82B4C5-50DE-4E53-8DE9-D28C183CEE30}" presName="level3hierChild" presStyleCnt="0"/>
      <dgm:spPr/>
    </dgm:pt>
    <dgm:pt modelId="{74627D48-A4DC-414C-BC0B-73218DCA6E08}" type="pres">
      <dgm:prSet presAssocID="{721C0F71-B702-47B0-979B-D90183A42EED}" presName="conn2-1" presStyleLbl="parChTrans1D2" presStyleIdx="5" presStyleCnt="6"/>
      <dgm:spPr/>
      <dgm:t>
        <a:bodyPr/>
        <a:lstStyle/>
        <a:p>
          <a:endParaRPr lang="en-US"/>
        </a:p>
      </dgm:t>
    </dgm:pt>
    <dgm:pt modelId="{B812C51E-5911-41DE-BB70-7A24FF126F56}" type="pres">
      <dgm:prSet presAssocID="{721C0F71-B702-47B0-979B-D90183A42EED}" presName="connTx" presStyleLbl="parChTrans1D2" presStyleIdx="5" presStyleCnt="6"/>
      <dgm:spPr/>
      <dgm:t>
        <a:bodyPr/>
        <a:lstStyle/>
        <a:p>
          <a:endParaRPr lang="en-US"/>
        </a:p>
      </dgm:t>
    </dgm:pt>
    <dgm:pt modelId="{111E0FBD-F0F9-4784-96A7-3CE90DF588C6}" type="pres">
      <dgm:prSet presAssocID="{5D346288-262D-450B-AC7D-27D126A84F63}" presName="root2" presStyleCnt="0"/>
      <dgm:spPr/>
    </dgm:pt>
    <dgm:pt modelId="{527E0A6A-2E87-40B7-878E-3A4174E72DB8}" type="pres">
      <dgm:prSet presAssocID="{5D346288-262D-450B-AC7D-27D126A84F63}" presName="LevelTwoTextNode" presStyleLbl="node2" presStyleIdx="5" presStyleCnt="6" custScaleY="150668">
        <dgm:presLayoutVars>
          <dgm:chPref val="3"/>
        </dgm:presLayoutVars>
      </dgm:prSet>
      <dgm:spPr/>
      <dgm:t>
        <a:bodyPr/>
        <a:lstStyle/>
        <a:p>
          <a:endParaRPr lang="en-US"/>
        </a:p>
      </dgm:t>
    </dgm:pt>
    <dgm:pt modelId="{FDC0221E-A6DB-445C-B3CF-D363445F77BF}" type="pres">
      <dgm:prSet presAssocID="{5D346288-262D-450B-AC7D-27D126A84F63}" presName="level3hierChild" presStyleCnt="0"/>
      <dgm:spPr/>
    </dgm:pt>
    <dgm:pt modelId="{0435346F-F20A-4AC6-AEA2-922758D6156F}" type="pres">
      <dgm:prSet presAssocID="{F0602E3B-B42B-438F-AD47-36FFCF9D1BE6}" presName="conn2-1" presStyleLbl="parChTrans1D3" presStyleIdx="0" presStyleCnt="13"/>
      <dgm:spPr/>
      <dgm:t>
        <a:bodyPr/>
        <a:lstStyle/>
        <a:p>
          <a:endParaRPr lang="en-US"/>
        </a:p>
      </dgm:t>
    </dgm:pt>
    <dgm:pt modelId="{33C4A6A3-3253-4F70-BCE9-B15F80438980}" type="pres">
      <dgm:prSet presAssocID="{F0602E3B-B42B-438F-AD47-36FFCF9D1BE6}" presName="connTx" presStyleLbl="parChTrans1D3" presStyleIdx="0" presStyleCnt="13"/>
      <dgm:spPr/>
      <dgm:t>
        <a:bodyPr/>
        <a:lstStyle/>
        <a:p>
          <a:endParaRPr lang="en-US"/>
        </a:p>
      </dgm:t>
    </dgm:pt>
    <dgm:pt modelId="{42A03E44-6A8F-4B9F-B144-CB2B6D970E0A}" type="pres">
      <dgm:prSet presAssocID="{66EFF3A3-21A9-4301-A16E-3E265B53D1D4}" presName="root2" presStyleCnt="0"/>
      <dgm:spPr/>
    </dgm:pt>
    <dgm:pt modelId="{CDC7C126-DA31-4DFF-A470-0754034B214D}" type="pres">
      <dgm:prSet presAssocID="{66EFF3A3-21A9-4301-A16E-3E265B53D1D4}" presName="LevelTwoTextNode" presStyleLbl="node3" presStyleIdx="0" presStyleCnt="13" custScaleX="97748">
        <dgm:presLayoutVars>
          <dgm:chPref val="3"/>
        </dgm:presLayoutVars>
      </dgm:prSet>
      <dgm:spPr/>
      <dgm:t>
        <a:bodyPr/>
        <a:lstStyle/>
        <a:p>
          <a:endParaRPr lang="en-US"/>
        </a:p>
      </dgm:t>
    </dgm:pt>
    <dgm:pt modelId="{6F203839-64EC-45A7-9323-605FD801887D}" type="pres">
      <dgm:prSet presAssocID="{66EFF3A3-21A9-4301-A16E-3E265B53D1D4}" presName="level3hierChild" presStyleCnt="0"/>
      <dgm:spPr/>
    </dgm:pt>
    <dgm:pt modelId="{0EBC95DD-EA6B-4E50-B013-10C9215D3D82}" type="pres">
      <dgm:prSet presAssocID="{79A596C0-B20A-4164-9CFD-0BA8941454E3}" presName="conn2-1" presStyleLbl="parChTrans1D3" presStyleIdx="1" presStyleCnt="13"/>
      <dgm:spPr/>
      <dgm:t>
        <a:bodyPr/>
        <a:lstStyle/>
        <a:p>
          <a:endParaRPr lang="en-US"/>
        </a:p>
      </dgm:t>
    </dgm:pt>
    <dgm:pt modelId="{3FDCB713-DCBE-4148-9BC4-561B5C9B39CA}" type="pres">
      <dgm:prSet presAssocID="{79A596C0-B20A-4164-9CFD-0BA8941454E3}" presName="connTx" presStyleLbl="parChTrans1D3" presStyleIdx="1" presStyleCnt="13"/>
      <dgm:spPr/>
      <dgm:t>
        <a:bodyPr/>
        <a:lstStyle/>
        <a:p>
          <a:endParaRPr lang="en-US"/>
        </a:p>
      </dgm:t>
    </dgm:pt>
    <dgm:pt modelId="{ABDEF580-2BE1-4479-AA3D-39BE90AA6FF2}" type="pres">
      <dgm:prSet presAssocID="{441E023C-F242-4DB9-BD6E-567521AE8D6C}" presName="root2" presStyleCnt="0"/>
      <dgm:spPr/>
    </dgm:pt>
    <dgm:pt modelId="{BB260C1C-013E-41CE-849F-BC4F6989D40A}" type="pres">
      <dgm:prSet presAssocID="{441E023C-F242-4DB9-BD6E-567521AE8D6C}" presName="LevelTwoTextNode" presStyleLbl="node3" presStyleIdx="1" presStyleCnt="13" custScaleX="99458" custLinFactNeighborX="1257" custLinFactNeighborY="-3695">
        <dgm:presLayoutVars>
          <dgm:chPref val="3"/>
        </dgm:presLayoutVars>
      </dgm:prSet>
      <dgm:spPr/>
      <dgm:t>
        <a:bodyPr/>
        <a:lstStyle/>
        <a:p>
          <a:endParaRPr lang="en-US"/>
        </a:p>
      </dgm:t>
    </dgm:pt>
    <dgm:pt modelId="{733B02C0-A7A9-43BC-97C0-478049E355D6}" type="pres">
      <dgm:prSet presAssocID="{441E023C-F242-4DB9-BD6E-567521AE8D6C}" presName="level3hierChild" presStyleCnt="0"/>
      <dgm:spPr/>
    </dgm:pt>
    <dgm:pt modelId="{082D4DE6-1DD7-4062-9C18-E2F8B8111BC4}" type="pres">
      <dgm:prSet presAssocID="{4086080F-4C14-4D21-B5E3-2BBE054A406A}" presName="conn2-1" presStyleLbl="parChTrans1D3" presStyleIdx="2" presStyleCnt="13"/>
      <dgm:spPr/>
      <dgm:t>
        <a:bodyPr/>
        <a:lstStyle/>
        <a:p>
          <a:endParaRPr lang="en-US"/>
        </a:p>
      </dgm:t>
    </dgm:pt>
    <dgm:pt modelId="{CEBE9E86-315E-4453-91D5-E7BEF019B3EE}" type="pres">
      <dgm:prSet presAssocID="{4086080F-4C14-4D21-B5E3-2BBE054A406A}" presName="connTx" presStyleLbl="parChTrans1D3" presStyleIdx="2" presStyleCnt="13"/>
      <dgm:spPr/>
      <dgm:t>
        <a:bodyPr/>
        <a:lstStyle/>
        <a:p>
          <a:endParaRPr lang="en-US"/>
        </a:p>
      </dgm:t>
    </dgm:pt>
    <dgm:pt modelId="{C976EDC7-A98C-4C3C-9E82-E44C0C87C89E}" type="pres">
      <dgm:prSet presAssocID="{86959289-2D33-412B-B96D-DC224F6733E8}" presName="root2" presStyleCnt="0"/>
      <dgm:spPr/>
    </dgm:pt>
    <dgm:pt modelId="{FBFF6541-8A19-421F-948A-38721FE79A3A}" type="pres">
      <dgm:prSet presAssocID="{86959289-2D33-412B-B96D-DC224F6733E8}" presName="LevelTwoTextNode" presStyleLbl="node3" presStyleIdx="2" presStyleCnt="13">
        <dgm:presLayoutVars>
          <dgm:chPref val="3"/>
        </dgm:presLayoutVars>
      </dgm:prSet>
      <dgm:spPr/>
      <dgm:t>
        <a:bodyPr/>
        <a:lstStyle/>
        <a:p>
          <a:endParaRPr lang="en-US"/>
        </a:p>
      </dgm:t>
    </dgm:pt>
    <dgm:pt modelId="{AE927695-A7D1-456E-9930-787E96768838}" type="pres">
      <dgm:prSet presAssocID="{86959289-2D33-412B-B96D-DC224F6733E8}" presName="level3hierChild" presStyleCnt="0"/>
      <dgm:spPr/>
    </dgm:pt>
    <dgm:pt modelId="{928E7C79-7576-46F4-8A81-1D675778346F}" type="pres">
      <dgm:prSet presAssocID="{F53F49B0-2D51-4A2B-989C-6C3B00D2D890}" presName="conn2-1" presStyleLbl="parChTrans1D3" presStyleIdx="3" presStyleCnt="13"/>
      <dgm:spPr/>
      <dgm:t>
        <a:bodyPr/>
        <a:lstStyle/>
        <a:p>
          <a:endParaRPr lang="en-US"/>
        </a:p>
      </dgm:t>
    </dgm:pt>
    <dgm:pt modelId="{E7737200-7706-4833-A4E5-425ECE3C0846}" type="pres">
      <dgm:prSet presAssocID="{F53F49B0-2D51-4A2B-989C-6C3B00D2D890}" presName="connTx" presStyleLbl="parChTrans1D3" presStyleIdx="3" presStyleCnt="13"/>
      <dgm:spPr/>
      <dgm:t>
        <a:bodyPr/>
        <a:lstStyle/>
        <a:p>
          <a:endParaRPr lang="en-US"/>
        </a:p>
      </dgm:t>
    </dgm:pt>
    <dgm:pt modelId="{1A8DD6FE-D2F7-45ED-A5B0-5BDF3573200A}" type="pres">
      <dgm:prSet presAssocID="{A4A41A2A-40F6-4255-8FD1-4840AA951559}" presName="root2" presStyleCnt="0"/>
      <dgm:spPr/>
    </dgm:pt>
    <dgm:pt modelId="{5F7E2B49-7210-4A7F-82AF-0B34CADE98B4}" type="pres">
      <dgm:prSet presAssocID="{A4A41A2A-40F6-4255-8FD1-4840AA951559}" presName="LevelTwoTextNode" presStyleLbl="node3" presStyleIdx="3" presStyleCnt="13">
        <dgm:presLayoutVars>
          <dgm:chPref val="3"/>
        </dgm:presLayoutVars>
      </dgm:prSet>
      <dgm:spPr/>
      <dgm:t>
        <a:bodyPr/>
        <a:lstStyle/>
        <a:p>
          <a:endParaRPr lang="en-US"/>
        </a:p>
      </dgm:t>
    </dgm:pt>
    <dgm:pt modelId="{CC046CD9-FA10-48B3-82C7-78D54A0CBDDD}" type="pres">
      <dgm:prSet presAssocID="{A4A41A2A-40F6-4255-8FD1-4840AA951559}" presName="level3hierChild" presStyleCnt="0"/>
      <dgm:spPr/>
    </dgm:pt>
    <dgm:pt modelId="{914A2447-B5F3-4FA3-8C50-D46909F9CE46}" type="pres">
      <dgm:prSet presAssocID="{25822EC0-7150-4752-A3A2-EC0146E0E35A}" presName="conn2-1" presStyleLbl="parChTrans1D3" presStyleIdx="4" presStyleCnt="13"/>
      <dgm:spPr/>
      <dgm:t>
        <a:bodyPr/>
        <a:lstStyle/>
        <a:p>
          <a:endParaRPr lang="en-US"/>
        </a:p>
      </dgm:t>
    </dgm:pt>
    <dgm:pt modelId="{0D6220B7-AA69-47DD-BFFE-3A403F44C1EA}" type="pres">
      <dgm:prSet presAssocID="{25822EC0-7150-4752-A3A2-EC0146E0E35A}" presName="connTx" presStyleLbl="parChTrans1D3" presStyleIdx="4" presStyleCnt="13"/>
      <dgm:spPr/>
      <dgm:t>
        <a:bodyPr/>
        <a:lstStyle/>
        <a:p>
          <a:endParaRPr lang="en-US"/>
        </a:p>
      </dgm:t>
    </dgm:pt>
    <dgm:pt modelId="{1970F2E7-04B3-41EC-8939-EF1123A9DF58}" type="pres">
      <dgm:prSet presAssocID="{96ED38C1-5FA1-4220-961C-FB6523B78202}" presName="root2" presStyleCnt="0"/>
      <dgm:spPr/>
    </dgm:pt>
    <dgm:pt modelId="{226AF65A-EE99-44FC-8EFB-4C1C986DE326}" type="pres">
      <dgm:prSet presAssocID="{96ED38C1-5FA1-4220-961C-FB6523B78202}" presName="LevelTwoTextNode" presStyleLbl="node3" presStyleIdx="4" presStyleCnt="13">
        <dgm:presLayoutVars>
          <dgm:chPref val="3"/>
        </dgm:presLayoutVars>
      </dgm:prSet>
      <dgm:spPr/>
      <dgm:t>
        <a:bodyPr/>
        <a:lstStyle/>
        <a:p>
          <a:endParaRPr lang="en-US"/>
        </a:p>
      </dgm:t>
    </dgm:pt>
    <dgm:pt modelId="{246DDE90-940F-4FFE-BA88-0A16499D5F9A}" type="pres">
      <dgm:prSet presAssocID="{96ED38C1-5FA1-4220-961C-FB6523B78202}" presName="level3hierChild" presStyleCnt="0"/>
      <dgm:spPr/>
    </dgm:pt>
    <dgm:pt modelId="{3CF3832F-4DD4-4330-A3A7-A6111C477A18}" type="pres">
      <dgm:prSet presAssocID="{B96482D8-850B-435C-A65F-5FC324C01B3A}" presName="conn2-1" presStyleLbl="parChTrans1D3" presStyleIdx="5" presStyleCnt="13"/>
      <dgm:spPr/>
      <dgm:t>
        <a:bodyPr/>
        <a:lstStyle/>
        <a:p>
          <a:endParaRPr lang="en-US"/>
        </a:p>
      </dgm:t>
    </dgm:pt>
    <dgm:pt modelId="{B0C00422-006E-4505-B18F-B6BC4657217B}" type="pres">
      <dgm:prSet presAssocID="{B96482D8-850B-435C-A65F-5FC324C01B3A}" presName="connTx" presStyleLbl="parChTrans1D3" presStyleIdx="5" presStyleCnt="13"/>
      <dgm:spPr/>
      <dgm:t>
        <a:bodyPr/>
        <a:lstStyle/>
        <a:p>
          <a:endParaRPr lang="en-US"/>
        </a:p>
      </dgm:t>
    </dgm:pt>
    <dgm:pt modelId="{7B92CD31-8345-414B-B786-F4680655C45C}" type="pres">
      <dgm:prSet presAssocID="{BEC03C1E-06E6-4958-B0B3-D43017C06BAB}" presName="root2" presStyleCnt="0"/>
      <dgm:spPr/>
    </dgm:pt>
    <dgm:pt modelId="{EEEA91EF-53EF-45A7-88E7-670E6E46DDB1}" type="pres">
      <dgm:prSet presAssocID="{BEC03C1E-06E6-4958-B0B3-D43017C06BAB}" presName="LevelTwoTextNode" presStyleLbl="node3" presStyleIdx="5" presStyleCnt="13">
        <dgm:presLayoutVars>
          <dgm:chPref val="3"/>
        </dgm:presLayoutVars>
      </dgm:prSet>
      <dgm:spPr/>
      <dgm:t>
        <a:bodyPr/>
        <a:lstStyle/>
        <a:p>
          <a:endParaRPr lang="en-US"/>
        </a:p>
      </dgm:t>
    </dgm:pt>
    <dgm:pt modelId="{112CEAEE-90A4-4997-8A81-AA4C676B2415}" type="pres">
      <dgm:prSet presAssocID="{BEC03C1E-06E6-4958-B0B3-D43017C06BAB}" presName="level3hierChild" presStyleCnt="0"/>
      <dgm:spPr/>
    </dgm:pt>
    <dgm:pt modelId="{D80327D2-701C-4311-8080-2C4A9A1AA00D}" type="pres">
      <dgm:prSet presAssocID="{5F5D967D-18D1-4DF5-B54B-4D3B388CC354}" presName="conn2-1" presStyleLbl="parChTrans1D3" presStyleIdx="6" presStyleCnt="13"/>
      <dgm:spPr/>
      <dgm:t>
        <a:bodyPr/>
        <a:lstStyle/>
        <a:p>
          <a:endParaRPr lang="en-US"/>
        </a:p>
      </dgm:t>
    </dgm:pt>
    <dgm:pt modelId="{6D5AB150-EDC5-413F-BB8A-8F5F6EA9F3C4}" type="pres">
      <dgm:prSet presAssocID="{5F5D967D-18D1-4DF5-B54B-4D3B388CC354}" presName="connTx" presStyleLbl="parChTrans1D3" presStyleIdx="6" presStyleCnt="13"/>
      <dgm:spPr/>
      <dgm:t>
        <a:bodyPr/>
        <a:lstStyle/>
        <a:p>
          <a:endParaRPr lang="en-US"/>
        </a:p>
      </dgm:t>
    </dgm:pt>
    <dgm:pt modelId="{EBC74CE8-1334-420F-90A1-D2C36BAE8F1B}" type="pres">
      <dgm:prSet presAssocID="{F94C6DC7-C009-4228-932E-449A3D4B49C4}" presName="root2" presStyleCnt="0"/>
      <dgm:spPr/>
    </dgm:pt>
    <dgm:pt modelId="{76914B40-F613-4D71-A7EA-A98DF06B2186}" type="pres">
      <dgm:prSet presAssocID="{F94C6DC7-C009-4228-932E-449A3D4B49C4}" presName="LevelTwoTextNode" presStyleLbl="node3" presStyleIdx="6" presStyleCnt="13">
        <dgm:presLayoutVars>
          <dgm:chPref val="3"/>
        </dgm:presLayoutVars>
      </dgm:prSet>
      <dgm:spPr/>
      <dgm:t>
        <a:bodyPr/>
        <a:lstStyle/>
        <a:p>
          <a:endParaRPr lang="en-US"/>
        </a:p>
      </dgm:t>
    </dgm:pt>
    <dgm:pt modelId="{DA38E315-EDE5-441A-B645-98E7362AB73F}" type="pres">
      <dgm:prSet presAssocID="{F94C6DC7-C009-4228-932E-449A3D4B49C4}" presName="level3hierChild" presStyleCnt="0"/>
      <dgm:spPr/>
    </dgm:pt>
    <dgm:pt modelId="{81E682B0-2EC2-4E07-A5FB-52F608F8F4C2}" type="pres">
      <dgm:prSet presAssocID="{17B3E417-268E-4340-88C4-EE9FCDD2713E}" presName="conn2-1" presStyleLbl="parChTrans1D3" presStyleIdx="7" presStyleCnt="13"/>
      <dgm:spPr/>
      <dgm:t>
        <a:bodyPr/>
        <a:lstStyle/>
        <a:p>
          <a:endParaRPr lang="en-US"/>
        </a:p>
      </dgm:t>
    </dgm:pt>
    <dgm:pt modelId="{A4E3AEE1-0F53-4F86-AB16-B52C6BCDE023}" type="pres">
      <dgm:prSet presAssocID="{17B3E417-268E-4340-88C4-EE9FCDD2713E}" presName="connTx" presStyleLbl="parChTrans1D3" presStyleIdx="7" presStyleCnt="13"/>
      <dgm:spPr/>
      <dgm:t>
        <a:bodyPr/>
        <a:lstStyle/>
        <a:p>
          <a:endParaRPr lang="en-US"/>
        </a:p>
      </dgm:t>
    </dgm:pt>
    <dgm:pt modelId="{2C30F6B8-3D55-4E49-B415-DB2CAABA7237}" type="pres">
      <dgm:prSet presAssocID="{E7127827-D325-4E38-8DAF-485C0EF11CA2}" presName="root2" presStyleCnt="0"/>
      <dgm:spPr/>
    </dgm:pt>
    <dgm:pt modelId="{3CE8F8E8-BFE5-48F8-9E3D-314E678333A5}" type="pres">
      <dgm:prSet presAssocID="{E7127827-D325-4E38-8DAF-485C0EF11CA2}" presName="LevelTwoTextNode" presStyleLbl="node3" presStyleIdx="7" presStyleCnt="13">
        <dgm:presLayoutVars>
          <dgm:chPref val="3"/>
        </dgm:presLayoutVars>
      </dgm:prSet>
      <dgm:spPr/>
      <dgm:t>
        <a:bodyPr/>
        <a:lstStyle/>
        <a:p>
          <a:endParaRPr lang="en-US"/>
        </a:p>
      </dgm:t>
    </dgm:pt>
    <dgm:pt modelId="{B982A306-F069-4429-A694-14AD1927B21B}" type="pres">
      <dgm:prSet presAssocID="{E7127827-D325-4E38-8DAF-485C0EF11CA2}" presName="level3hierChild" presStyleCnt="0"/>
      <dgm:spPr/>
    </dgm:pt>
    <dgm:pt modelId="{3A92F15A-C91E-43B4-BB47-17920CB93EBD}" type="pres">
      <dgm:prSet presAssocID="{A97B72CE-5734-477D-8A14-11F82732A187}" presName="conn2-1" presStyleLbl="parChTrans1D3" presStyleIdx="8" presStyleCnt="13"/>
      <dgm:spPr/>
      <dgm:t>
        <a:bodyPr/>
        <a:lstStyle/>
        <a:p>
          <a:endParaRPr lang="en-US"/>
        </a:p>
      </dgm:t>
    </dgm:pt>
    <dgm:pt modelId="{75F7215F-5F96-4840-B090-9318BA188FBD}" type="pres">
      <dgm:prSet presAssocID="{A97B72CE-5734-477D-8A14-11F82732A187}" presName="connTx" presStyleLbl="parChTrans1D3" presStyleIdx="8" presStyleCnt="13"/>
      <dgm:spPr/>
      <dgm:t>
        <a:bodyPr/>
        <a:lstStyle/>
        <a:p>
          <a:endParaRPr lang="en-US"/>
        </a:p>
      </dgm:t>
    </dgm:pt>
    <dgm:pt modelId="{325DDA06-31C6-4BCA-B63E-D572576C75A3}" type="pres">
      <dgm:prSet presAssocID="{64CC92B0-E42A-4BD4-84F4-78C76DFA8115}" presName="root2" presStyleCnt="0"/>
      <dgm:spPr/>
    </dgm:pt>
    <dgm:pt modelId="{E76F9B4D-1B14-4648-BB78-C4BE626C6069}" type="pres">
      <dgm:prSet presAssocID="{64CC92B0-E42A-4BD4-84F4-78C76DFA8115}" presName="LevelTwoTextNode" presStyleLbl="node3" presStyleIdx="8" presStyleCnt="13">
        <dgm:presLayoutVars>
          <dgm:chPref val="3"/>
        </dgm:presLayoutVars>
      </dgm:prSet>
      <dgm:spPr/>
      <dgm:t>
        <a:bodyPr/>
        <a:lstStyle/>
        <a:p>
          <a:endParaRPr lang="en-US"/>
        </a:p>
      </dgm:t>
    </dgm:pt>
    <dgm:pt modelId="{16D00E82-AEFB-4F50-A0B9-1DB82E8DF8AD}" type="pres">
      <dgm:prSet presAssocID="{64CC92B0-E42A-4BD4-84F4-78C76DFA8115}" presName="level3hierChild" presStyleCnt="0"/>
      <dgm:spPr/>
    </dgm:pt>
    <dgm:pt modelId="{3AEB1528-131A-402A-ACA7-7E3F020E71FD}" type="pres">
      <dgm:prSet presAssocID="{1816B1DF-4125-4B73-B667-4DB22BE37F5E}" presName="conn2-1" presStyleLbl="parChTrans1D3" presStyleIdx="9" presStyleCnt="13"/>
      <dgm:spPr/>
      <dgm:t>
        <a:bodyPr/>
        <a:lstStyle/>
        <a:p>
          <a:endParaRPr lang="en-US"/>
        </a:p>
      </dgm:t>
    </dgm:pt>
    <dgm:pt modelId="{F0D0D761-77C9-40A0-9173-EEF483F38BDD}" type="pres">
      <dgm:prSet presAssocID="{1816B1DF-4125-4B73-B667-4DB22BE37F5E}" presName="connTx" presStyleLbl="parChTrans1D3" presStyleIdx="9" presStyleCnt="13"/>
      <dgm:spPr/>
      <dgm:t>
        <a:bodyPr/>
        <a:lstStyle/>
        <a:p>
          <a:endParaRPr lang="en-US"/>
        </a:p>
      </dgm:t>
    </dgm:pt>
    <dgm:pt modelId="{13A30C38-C482-4EC5-9705-5D2FB061683C}" type="pres">
      <dgm:prSet presAssocID="{C632A6A6-E8D2-46F9-9134-0B80479289FE}" presName="root2" presStyleCnt="0"/>
      <dgm:spPr/>
    </dgm:pt>
    <dgm:pt modelId="{4E6429A4-7987-4FC2-BA16-65CDCC082DAD}" type="pres">
      <dgm:prSet presAssocID="{C632A6A6-E8D2-46F9-9134-0B80479289FE}" presName="LevelTwoTextNode" presStyleLbl="node3" presStyleIdx="9" presStyleCnt="13">
        <dgm:presLayoutVars>
          <dgm:chPref val="3"/>
        </dgm:presLayoutVars>
      </dgm:prSet>
      <dgm:spPr/>
      <dgm:t>
        <a:bodyPr/>
        <a:lstStyle/>
        <a:p>
          <a:endParaRPr lang="en-US"/>
        </a:p>
      </dgm:t>
    </dgm:pt>
    <dgm:pt modelId="{9B28C0B6-8479-4197-A2B6-D28A9E877945}" type="pres">
      <dgm:prSet presAssocID="{C632A6A6-E8D2-46F9-9134-0B80479289FE}" presName="level3hierChild" presStyleCnt="0"/>
      <dgm:spPr/>
    </dgm:pt>
    <dgm:pt modelId="{2CF3958C-51CF-47D1-8AA8-84B77902D70A}" type="pres">
      <dgm:prSet presAssocID="{22B7D108-CFB2-43A3-90E6-37189B9903EC}" presName="conn2-1" presStyleLbl="parChTrans1D3" presStyleIdx="10" presStyleCnt="13"/>
      <dgm:spPr/>
      <dgm:t>
        <a:bodyPr/>
        <a:lstStyle/>
        <a:p>
          <a:endParaRPr lang="en-US"/>
        </a:p>
      </dgm:t>
    </dgm:pt>
    <dgm:pt modelId="{2C322AE3-5336-4F82-ACCF-7F31C88B285F}" type="pres">
      <dgm:prSet presAssocID="{22B7D108-CFB2-43A3-90E6-37189B9903EC}" presName="connTx" presStyleLbl="parChTrans1D3" presStyleIdx="10" presStyleCnt="13"/>
      <dgm:spPr/>
      <dgm:t>
        <a:bodyPr/>
        <a:lstStyle/>
        <a:p>
          <a:endParaRPr lang="en-US"/>
        </a:p>
      </dgm:t>
    </dgm:pt>
    <dgm:pt modelId="{B77B1A20-4773-4202-8377-DD754826F885}" type="pres">
      <dgm:prSet presAssocID="{2BD8F105-0482-466C-A47D-1AA598BE807A}" presName="root2" presStyleCnt="0"/>
      <dgm:spPr/>
    </dgm:pt>
    <dgm:pt modelId="{49E4F062-630A-4626-B1DE-33C4677A2E19}" type="pres">
      <dgm:prSet presAssocID="{2BD8F105-0482-466C-A47D-1AA598BE807A}" presName="LevelTwoTextNode" presStyleLbl="node3" presStyleIdx="10" presStyleCnt="13">
        <dgm:presLayoutVars>
          <dgm:chPref val="3"/>
        </dgm:presLayoutVars>
      </dgm:prSet>
      <dgm:spPr/>
      <dgm:t>
        <a:bodyPr/>
        <a:lstStyle/>
        <a:p>
          <a:endParaRPr lang="en-US"/>
        </a:p>
      </dgm:t>
    </dgm:pt>
    <dgm:pt modelId="{B501250A-E03E-4776-A6AD-BF13D121915C}" type="pres">
      <dgm:prSet presAssocID="{2BD8F105-0482-466C-A47D-1AA598BE807A}" presName="level3hierChild" presStyleCnt="0"/>
      <dgm:spPr/>
    </dgm:pt>
    <dgm:pt modelId="{2B5684AE-EE6B-4253-B4DD-13C3BDD0F081}" type="pres">
      <dgm:prSet presAssocID="{FF0F7CB6-79A0-421F-9646-3A3C57FB5805}" presName="conn2-1" presStyleLbl="parChTrans1D3" presStyleIdx="11" presStyleCnt="13"/>
      <dgm:spPr/>
      <dgm:t>
        <a:bodyPr/>
        <a:lstStyle/>
        <a:p>
          <a:endParaRPr lang="en-US"/>
        </a:p>
      </dgm:t>
    </dgm:pt>
    <dgm:pt modelId="{702D1056-F62F-42E7-9D11-DDA2B3ADFB49}" type="pres">
      <dgm:prSet presAssocID="{FF0F7CB6-79A0-421F-9646-3A3C57FB5805}" presName="connTx" presStyleLbl="parChTrans1D3" presStyleIdx="11" presStyleCnt="13"/>
      <dgm:spPr/>
      <dgm:t>
        <a:bodyPr/>
        <a:lstStyle/>
        <a:p>
          <a:endParaRPr lang="en-US"/>
        </a:p>
      </dgm:t>
    </dgm:pt>
    <dgm:pt modelId="{F0E99697-1023-4B83-815D-29764797A4B4}" type="pres">
      <dgm:prSet presAssocID="{A0396B9B-281A-44AF-B224-E78CDF0C5F58}" presName="root2" presStyleCnt="0"/>
      <dgm:spPr/>
    </dgm:pt>
    <dgm:pt modelId="{3D047F2C-6CD6-4EB0-B845-01F6EC0D1A85}" type="pres">
      <dgm:prSet presAssocID="{A0396B9B-281A-44AF-B224-E78CDF0C5F58}" presName="LevelTwoTextNode" presStyleLbl="node3" presStyleIdx="11" presStyleCnt="13">
        <dgm:presLayoutVars>
          <dgm:chPref val="3"/>
        </dgm:presLayoutVars>
      </dgm:prSet>
      <dgm:spPr/>
      <dgm:t>
        <a:bodyPr/>
        <a:lstStyle/>
        <a:p>
          <a:endParaRPr lang="en-US"/>
        </a:p>
      </dgm:t>
    </dgm:pt>
    <dgm:pt modelId="{68AA2888-D4BF-4E44-88FE-97979E9623D4}" type="pres">
      <dgm:prSet presAssocID="{A0396B9B-281A-44AF-B224-E78CDF0C5F58}" presName="level3hierChild" presStyleCnt="0"/>
      <dgm:spPr/>
    </dgm:pt>
    <dgm:pt modelId="{057B4D2E-364D-4B2E-94DA-244BBCD062EB}" type="pres">
      <dgm:prSet presAssocID="{A18F0397-7F1D-4814-B59C-149AA39F377C}" presName="conn2-1" presStyleLbl="parChTrans1D3" presStyleIdx="12" presStyleCnt="13"/>
      <dgm:spPr/>
      <dgm:t>
        <a:bodyPr/>
        <a:lstStyle/>
        <a:p>
          <a:endParaRPr lang="en-US"/>
        </a:p>
      </dgm:t>
    </dgm:pt>
    <dgm:pt modelId="{D16D42C0-3B1D-482F-A943-9B1987C8FA23}" type="pres">
      <dgm:prSet presAssocID="{A18F0397-7F1D-4814-B59C-149AA39F377C}" presName="connTx" presStyleLbl="parChTrans1D3" presStyleIdx="12" presStyleCnt="13"/>
      <dgm:spPr/>
      <dgm:t>
        <a:bodyPr/>
        <a:lstStyle/>
        <a:p>
          <a:endParaRPr lang="en-US"/>
        </a:p>
      </dgm:t>
    </dgm:pt>
    <dgm:pt modelId="{4840B847-D6E3-46A8-9A2B-381210903092}" type="pres">
      <dgm:prSet presAssocID="{ADC9F004-6076-44FA-88DB-2944C7313EE7}" presName="root2" presStyleCnt="0"/>
      <dgm:spPr/>
    </dgm:pt>
    <dgm:pt modelId="{7F10664C-3E83-4A78-AFDE-F7894A7A356D}" type="pres">
      <dgm:prSet presAssocID="{ADC9F004-6076-44FA-88DB-2944C7313EE7}" presName="LevelTwoTextNode" presStyleLbl="node3" presStyleIdx="12" presStyleCnt="13">
        <dgm:presLayoutVars>
          <dgm:chPref val="3"/>
        </dgm:presLayoutVars>
      </dgm:prSet>
      <dgm:spPr/>
      <dgm:t>
        <a:bodyPr/>
        <a:lstStyle/>
        <a:p>
          <a:endParaRPr lang="en-US"/>
        </a:p>
      </dgm:t>
    </dgm:pt>
    <dgm:pt modelId="{FD597867-2B06-4A97-8A48-B5FA06E2ABC4}" type="pres">
      <dgm:prSet presAssocID="{ADC9F004-6076-44FA-88DB-2944C7313EE7}" presName="level3hierChild" presStyleCnt="0"/>
      <dgm:spPr/>
    </dgm:pt>
  </dgm:ptLst>
  <dgm:cxnLst>
    <dgm:cxn modelId="{F01A7566-4970-473C-A991-C06E4E4B7BD1}" type="presOf" srcId="{8CEC01C9-CECA-44B5-B4E1-51EFD354889E}" destId="{B541FCFF-14A5-44D2-B555-3461D8FFFB9C}" srcOrd="1" destOrd="0" presId="urn:microsoft.com/office/officeart/2008/layout/HorizontalMultiLevelHierarchy"/>
    <dgm:cxn modelId="{3F28DAAD-3E93-4A27-A623-6800C661C2FB}" srcId="{5D346288-262D-450B-AC7D-27D126A84F63}" destId="{A4A41A2A-40F6-4255-8FD1-4840AA951559}" srcOrd="3" destOrd="0" parTransId="{F53F49B0-2D51-4A2B-989C-6C3B00D2D890}" sibTransId="{DD637C1E-5B75-4978-BD0A-E6B51D4B5F1E}"/>
    <dgm:cxn modelId="{9FBB0831-5ECA-443F-908B-4ACCA694030A}" type="presOf" srcId="{543F9044-DC5C-4B80-B865-E3E92ACF2256}" destId="{B871D73D-B5A0-4702-AF70-8F616B886E8B}" srcOrd="0" destOrd="0" presId="urn:microsoft.com/office/officeart/2008/layout/HorizontalMultiLevelHierarchy"/>
    <dgm:cxn modelId="{05A8B74A-67C4-4B78-AF68-F0E3DAFB07CD}" srcId="{5D346288-262D-450B-AC7D-27D126A84F63}" destId="{A0396B9B-281A-44AF-B224-E78CDF0C5F58}" srcOrd="11" destOrd="0" parTransId="{FF0F7CB6-79A0-421F-9646-3A3C57FB5805}" sibTransId="{95E67129-A44D-4773-A4CA-EBD7A62355D9}"/>
    <dgm:cxn modelId="{796E0D33-4EB6-4A79-A593-6838A9E0C064}" type="presOf" srcId="{F1CFED7D-B9EF-4BE0-97E3-B41B47F3A976}" destId="{4A068696-FEF2-4D10-A4C2-A7719FB095D5}" srcOrd="0" destOrd="0" presId="urn:microsoft.com/office/officeart/2008/layout/HorizontalMultiLevelHierarchy"/>
    <dgm:cxn modelId="{6BFB139F-ACDC-478E-BF91-7E6868F5794D}" srcId="{5D346288-262D-450B-AC7D-27D126A84F63}" destId="{2BD8F105-0482-466C-A47D-1AA598BE807A}" srcOrd="10" destOrd="0" parTransId="{22B7D108-CFB2-43A3-90E6-37189B9903EC}" sibTransId="{A9F8F058-3EA3-4AB8-9665-F08447275760}"/>
    <dgm:cxn modelId="{EA8C5F3A-76FB-4DC6-A3A7-1B1EBB81C14F}" type="presOf" srcId="{F0602E3B-B42B-438F-AD47-36FFCF9D1BE6}" destId="{33C4A6A3-3253-4F70-BCE9-B15F80438980}" srcOrd="1" destOrd="0" presId="urn:microsoft.com/office/officeart/2008/layout/HorizontalMultiLevelHierarchy"/>
    <dgm:cxn modelId="{226D0A51-86FF-4537-B5BF-26F76326258C}" type="presOf" srcId="{5D346288-262D-450B-AC7D-27D126A84F63}" destId="{527E0A6A-2E87-40B7-878E-3A4174E72DB8}" srcOrd="0" destOrd="0" presId="urn:microsoft.com/office/officeart/2008/layout/HorizontalMultiLevelHierarchy"/>
    <dgm:cxn modelId="{BCFF8277-A974-4E5F-B77C-DBFBCA570885}" type="presOf" srcId="{573DC46E-BE2F-4D2C-8196-AA60EFC73D9C}" destId="{C914B56A-FEF0-4A3D-9CC3-6FFF0037FB58}" srcOrd="1" destOrd="0" presId="urn:microsoft.com/office/officeart/2008/layout/HorizontalMultiLevelHierarchy"/>
    <dgm:cxn modelId="{A5D698D2-0FB5-4BAB-9FF3-053F3F785807}" srcId="{8C394E95-066B-405F-826B-CBF2B45C096D}" destId="{30077DAD-EAD4-49B5-9ED4-EC9F43F90523}" srcOrd="0" destOrd="0" parTransId="{543F9044-DC5C-4B80-B865-E3E92ACF2256}" sibTransId="{1A259F1E-9CE9-401C-BC5E-B3E5844EE412}"/>
    <dgm:cxn modelId="{57EE0654-7780-453E-9296-B5A460FC86B6}" type="presOf" srcId="{A9D4EC14-F0D9-4988-9D72-5F304AC588C4}" destId="{672D41C8-AA1E-46CB-BB61-B277016BBE9F}" srcOrd="0" destOrd="0" presId="urn:microsoft.com/office/officeart/2008/layout/HorizontalMultiLevelHierarchy"/>
    <dgm:cxn modelId="{F9ACD437-3988-44DC-AA5A-585EC10CB156}" type="presOf" srcId="{4086080F-4C14-4D21-B5E3-2BBE054A406A}" destId="{CEBE9E86-315E-4453-91D5-E7BEF019B3EE}" srcOrd="1" destOrd="0" presId="urn:microsoft.com/office/officeart/2008/layout/HorizontalMultiLevelHierarchy"/>
    <dgm:cxn modelId="{F4551074-E89B-44E3-9839-F3A42B55FDB3}" type="presOf" srcId="{E7127827-D325-4E38-8DAF-485C0EF11CA2}" destId="{3CE8F8E8-BFE5-48F8-9E3D-314E678333A5}" srcOrd="0" destOrd="0" presId="urn:microsoft.com/office/officeart/2008/layout/HorizontalMultiLevelHierarchy"/>
    <dgm:cxn modelId="{7229C368-241C-4448-A1FC-995A1787BBE1}" type="presOf" srcId="{17B3E417-268E-4340-88C4-EE9FCDD2713E}" destId="{81E682B0-2EC2-4E07-A5FB-52F608F8F4C2}" srcOrd="0" destOrd="0" presId="urn:microsoft.com/office/officeart/2008/layout/HorizontalMultiLevelHierarchy"/>
    <dgm:cxn modelId="{24800EE3-53E0-4374-AECD-4BBEF8768847}" type="presOf" srcId="{22B7D108-CFB2-43A3-90E6-37189B9903EC}" destId="{2C322AE3-5336-4F82-ACCF-7F31C88B285F}" srcOrd="1" destOrd="0" presId="urn:microsoft.com/office/officeart/2008/layout/HorizontalMultiLevelHierarchy"/>
    <dgm:cxn modelId="{38CB0286-718A-4B75-AF73-3823AB81A331}" type="presOf" srcId="{F53F49B0-2D51-4A2B-989C-6C3B00D2D890}" destId="{E7737200-7706-4833-A4E5-425ECE3C0846}" srcOrd="1" destOrd="0" presId="urn:microsoft.com/office/officeart/2008/layout/HorizontalMultiLevelHierarchy"/>
    <dgm:cxn modelId="{BBEC29D5-5476-413D-B1B6-16BC7CF00C8F}" srcId="{8C394E95-066B-405F-826B-CBF2B45C096D}" destId="{5D346288-262D-450B-AC7D-27D126A84F63}" srcOrd="5" destOrd="0" parTransId="{721C0F71-B702-47B0-979B-D90183A42EED}" sibTransId="{BBB353B2-2B28-41FC-8263-DFA57452CA7F}"/>
    <dgm:cxn modelId="{E8D2165F-ADDF-4865-9323-249D98749E11}" type="presOf" srcId="{22B7D108-CFB2-43A3-90E6-37189B9903EC}" destId="{2CF3958C-51CF-47D1-8AA8-84B77902D70A}" srcOrd="0" destOrd="0" presId="urn:microsoft.com/office/officeart/2008/layout/HorizontalMultiLevelHierarchy"/>
    <dgm:cxn modelId="{9BE601B3-2C35-475C-9C16-2D897DEBB0E9}" srcId="{5D346288-262D-450B-AC7D-27D126A84F63}" destId="{ADC9F004-6076-44FA-88DB-2944C7313EE7}" srcOrd="12" destOrd="0" parTransId="{A18F0397-7F1D-4814-B59C-149AA39F377C}" sibTransId="{517B323D-9FBA-4DCB-B01B-79427377403D}"/>
    <dgm:cxn modelId="{5D64BE6B-6CB4-45D4-9ACF-6ABE3F768CFA}" type="presOf" srcId="{EC1E7B2B-F40F-47CC-8111-888E2D9723FD}" destId="{906DFB43-3A8C-4974-88C6-B51D30D3DDC2}" srcOrd="0" destOrd="0" presId="urn:microsoft.com/office/officeart/2008/layout/HorizontalMultiLevelHierarchy"/>
    <dgm:cxn modelId="{B3C4A30D-E050-4EA4-A252-09A832409D35}" srcId="{5D346288-262D-450B-AC7D-27D126A84F63}" destId="{441E023C-F242-4DB9-BD6E-567521AE8D6C}" srcOrd="1" destOrd="0" parTransId="{79A596C0-B20A-4164-9CFD-0BA8941454E3}" sibTransId="{B728E927-8A8C-4751-A49B-D14870AF0C05}"/>
    <dgm:cxn modelId="{756CDA2D-BAE9-4EFB-B2F6-1D4798FA7B24}" type="presOf" srcId="{79A596C0-B20A-4164-9CFD-0BA8941454E3}" destId="{3FDCB713-DCBE-4148-9BC4-561B5C9B39CA}" srcOrd="1" destOrd="0" presId="urn:microsoft.com/office/officeart/2008/layout/HorizontalMultiLevelHierarchy"/>
    <dgm:cxn modelId="{88DA1B35-C997-4E2C-8C9D-63FC6BD3C7EA}" type="presOf" srcId="{F0602E3B-B42B-438F-AD47-36FFCF9D1BE6}" destId="{0435346F-F20A-4AC6-AEA2-922758D6156F}" srcOrd="0" destOrd="0" presId="urn:microsoft.com/office/officeart/2008/layout/HorizontalMultiLevelHierarchy"/>
    <dgm:cxn modelId="{BE53C20C-6A4B-4803-A62D-EC5FF4339E68}" type="presOf" srcId="{543F9044-DC5C-4B80-B865-E3E92ACF2256}" destId="{E0947821-2613-4D06-B89E-DA606B32718F}" srcOrd="1" destOrd="0" presId="urn:microsoft.com/office/officeart/2008/layout/HorizontalMultiLevelHierarchy"/>
    <dgm:cxn modelId="{5BE5C60B-A95C-417A-A4E9-FF6AA40FC7C9}" type="presOf" srcId="{2BD8F105-0482-466C-A47D-1AA598BE807A}" destId="{49E4F062-630A-4626-B1DE-33C4677A2E19}" srcOrd="0" destOrd="0" presId="urn:microsoft.com/office/officeart/2008/layout/HorizontalMultiLevelHierarchy"/>
    <dgm:cxn modelId="{96492C55-451B-41FD-A0D6-9BE566886E73}" srcId="{5D346288-262D-450B-AC7D-27D126A84F63}" destId="{64CC92B0-E42A-4BD4-84F4-78C76DFA8115}" srcOrd="8" destOrd="0" parTransId="{A97B72CE-5734-477D-8A14-11F82732A187}" sibTransId="{15DC25C5-C4E2-4E99-A2E7-41E2A4D5449F}"/>
    <dgm:cxn modelId="{45885D2C-609A-41BF-B265-3FA1CC0AE2C8}" type="presOf" srcId="{6DF1E527-FD89-4BC2-B0D4-4C8D93BD284A}" destId="{C462AEE1-50CF-4F57-AE39-CF948CCD7980}" srcOrd="0" destOrd="0" presId="urn:microsoft.com/office/officeart/2008/layout/HorizontalMultiLevelHierarchy"/>
    <dgm:cxn modelId="{D815226A-0EC2-4D36-949A-1512C7E7945B}" type="presOf" srcId="{E4F72376-3FE7-4527-A710-4AAFB2AB155D}" destId="{89384CAC-2175-4CF2-A0F6-2E0195EF0FBC}" srcOrd="0" destOrd="0" presId="urn:microsoft.com/office/officeart/2008/layout/HorizontalMultiLevelHierarchy"/>
    <dgm:cxn modelId="{53CBA2D4-9D86-4BC9-9BB1-B5F861844A95}" type="presOf" srcId="{8C394E95-066B-405F-826B-CBF2B45C096D}" destId="{4A24B072-BE5D-4CA2-9E09-2750ECA739C5}" srcOrd="0" destOrd="0" presId="urn:microsoft.com/office/officeart/2008/layout/HorizontalMultiLevelHierarchy"/>
    <dgm:cxn modelId="{E4743DC5-68D0-4AC3-BC1A-7BC6E32212DB}" srcId="{EC1E7B2B-F40F-47CC-8111-888E2D9723FD}" destId="{8C394E95-066B-405F-826B-CBF2B45C096D}" srcOrd="0" destOrd="0" parTransId="{4DD52151-4FAD-45C3-A127-53983673269B}" sibTransId="{2E106C6D-F440-4531-8AD2-D2A6DE8DC7D4}"/>
    <dgm:cxn modelId="{B9226665-D05E-4A2C-AE3D-9F45CB4AB128}" type="presOf" srcId="{E4F72376-3FE7-4527-A710-4AAFB2AB155D}" destId="{5679621C-D51C-47E0-BFF9-503E13BC9030}" srcOrd="1" destOrd="0" presId="urn:microsoft.com/office/officeart/2008/layout/HorizontalMultiLevelHierarchy"/>
    <dgm:cxn modelId="{6071845A-EA2F-42B5-925B-20C7BE40FF74}" type="presOf" srcId="{573DC46E-BE2F-4D2C-8196-AA60EFC73D9C}" destId="{298FA5CF-015F-4F82-B419-26030DF4E62F}" srcOrd="0" destOrd="0" presId="urn:microsoft.com/office/officeart/2008/layout/HorizontalMultiLevelHierarchy"/>
    <dgm:cxn modelId="{8140E5CE-DDFE-4ED5-84EA-E1865A66F9D7}" type="presOf" srcId="{721C0F71-B702-47B0-979B-D90183A42EED}" destId="{B812C51E-5911-41DE-BB70-7A24FF126F56}" srcOrd="1" destOrd="0" presId="urn:microsoft.com/office/officeart/2008/layout/HorizontalMultiLevelHierarchy"/>
    <dgm:cxn modelId="{681E074D-6133-4DA8-8B38-DAB72E306CE5}" type="presOf" srcId="{5F5D967D-18D1-4DF5-B54B-4D3B388CC354}" destId="{6D5AB150-EDC5-413F-BB8A-8F5F6EA9F3C4}" srcOrd="1" destOrd="0" presId="urn:microsoft.com/office/officeart/2008/layout/HorizontalMultiLevelHierarchy"/>
    <dgm:cxn modelId="{A4A58340-81AE-4931-875A-438B4980D9A5}" type="presOf" srcId="{DB6CBA8E-6126-46DA-A520-5EC17750E6F2}" destId="{C68E76BA-F833-415F-8F97-6B6152DE87E2}" srcOrd="0" destOrd="0" presId="urn:microsoft.com/office/officeart/2008/layout/HorizontalMultiLevelHierarchy"/>
    <dgm:cxn modelId="{14A43D4C-3589-417D-83F5-C992C3163D16}" type="presOf" srcId="{64CC92B0-E42A-4BD4-84F4-78C76DFA8115}" destId="{E76F9B4D-1B14-4648-BB78-C4BE626C6069}" srcOrd="0" destOrd="0" presId="urn:microsoft.com/office/officeart/2008/layout/HorizontalMultiLevelHierarchy"/>
    <dgm:cxn modelId="{3F250523-4BDC-4797-9DEB-99253833602C}" type="presOf" srcId="{441E023C-F242-4DB9-BD6E-567521AE8D6C}" destId="{BB260C1C-013E-41CE-849F-BC4F6989D40A}" srcOrd="0" destOrd="0" presId="urn:microsoft.com/office/officeart/2008/layout/HorizontalMultiLevelHierarchy"/>
    <dgm:cxn modelId="{E2F91EFB-0B89-4003-9F42-85289A634E74}" type="presOf" srcId="{5F5D967D-18D1-4DF5-B54B-4D3B388CC354}" destId="{D80327D2-701C-4311-8080-2C4A9A1AA00D}" srcOrd="0" destOrd="0" presId="urn:microsoft.com/office/officeart/2008/layout/HorizontalMultiLevelHierarchy"/>
    <dgm:cxn modelId="{8BC2B0EA-2756-41B7-AE8C-E2DD2D6DDE0A}" type="presOf" srcId="{A0396B9B-281A-44AF-B224-E78CDF0C5F58}" destId="{3D047F2C-6CD6-4EB0-B845-01F6EC0D1A85}" srcOrd="0" destOrd="0" presId="urn:microsoft.com/office/officeart/2008/layout/HorizontalMultiLevelHierarchy"/>
    <dgm:cxn modelId="{1705DCBB-F154-49CB-8B81-1974831EDF30}" type="presOf" srcId="{86959289-2D33-412B-B96D-DC224F6733E8}" destId="{FBFF6541-8A19-421F-948A-38721FE79A3A}" srcOrd="0" destOrd="0" presId="urn:microsoft.com/office/officeart/2008/layout/HorizontalMultiLevelHierarchy"/>
    <dgm:cxn modelId="{0973D708-3ABE-49A7-88B1-84F9D782849F}" type="presOf" srcId="{1816B1DF-4125-4B73-B667-4DB22BE37F5E}" destId="{F0D0D761-77C9-40A0-9173-EEF483F38BDD}" srcOrd="1" destOrd="0" presId="urn:microsoft.com/office/officeart/2008/layout/HorizontalMultiLevelHierarchy"/>
    <dgm:cxn modelId="{558908BA-1A3F-4875-9E00-350AA3C4EFE4}" srcId="{8C394E95-066B-405F-826B-CBF2B45C096D}" destId="{A9D4EC14-F0D9-4988-9D72-5F304AC588C4}" srcOrd="3" destOrd="0" parTransId="{E4F72376-3FE7-4527-A710-4AAFB2AB155D}" sibTransId="{FCE678C3-B153-4D7C-A146-C1C649469E41}"/>
    <dgm:cxn modelId="{6678A1AB-8888-4EF4-953A-A9F99B2F3834}" srcId="{5D346288-262D-450B-AC7D-27D126A84F63}" destId="{E7127827-D325-4E38-8DAF-485C0EF11CA2}" srcOrd="7" destOrd="0" parTransId="{17B3E417-268E-4340-88C4-EE9FCDD2713E}" sibTransId="{5A3704AC-F832-4B2B-A974-B45F3853EE1C}"/>
    <dgm:cxn modelId="{B75151A1-AF39-4A22-9771-A0A0C8DAF96E}" type="presOf" srcId="{A4A41A2A-40F6-4255-8FD1-4840AA951559}" destId="{5F7E2B49-7210-4A7F-82AF-0B34CADE98B4}" srcOrd="0" destOrd="0" presId="urn:microsoft.com/office/officeart/2008/layout/HorizontalMultiLevelHierarchy"/>
    <dgm:cxn modelId="{F005FDFC-132A-475F-BE12-ED524AB6E707}" type="presOf" srcId="{F53F49B0-2D51-4A2B-989C-6C3B00D2D890}" destId="{928E7C79-7576-46F4-8A81-1D675778346F}" srcOrd="0" destOrd="0" presId="urn:microsoft.com/office/officeart/2008/layout/HorizontalMultiLevelHierarchy"/>
    <dgm:cxn modelId="{04E287D0-0269-4701-983E-7459C63DB84B}" type="presOf" srcId="{1816B1DF-4125-4B73-B667-4DB22BE37F5E}" destId="{3AEB1528-131A-402A-ACA7-7E3F020E71FD}" srcOrd="0" destOrd="0" presId="urn:microsoft.com/office/officeart/2008/layout/HorizontalMultiLevelHierarchy"/>
    <dgm:cxn modelId="{CE0272D6-22C1-4273-BE39-B9BA1C458505}" type="presOf" srcId="{17B3E417-268E-4340-88C4-EE9FCDD2713E}" destId="{A4E3AEE1-0F53-4F86-AB16-B52C6BCDE023}" srcOrd="1" destOrd="0" presId="urn:microsoft.com/office/officeart/2008/layout/HorizontalMultiLevelHierarchy"/>
    <dgm:cxn modelId="{EF0BDB02-59D7-4295-B2C9-37FA54736181}" type="presOf" srcId="{B96482D8-850B-435C-A65F-5FC324C01B3A}" destId="{B0C00422-006E-4505-B18F-B6BC4657217B}" srcOrd="1" destOrd="0" presId="urn:microsoft.com/office/officeart/2008/layout/HorizontalMultiLevelHierarchy"/>
    <dgm:cxn modelId="{493A6361-E30E-4A43-96C3-79A0FE75AD14}" type="presOf" srcId="{C632A6A6-E8D2-46F9-9134-0B80479289FE}" destId="{4E6429A4-7987-4FC2-BA16-65CDCC082DAD}" srcOrd="0" destOrd="0" presId="urn:microsoft.com/office/officeart/2008/layout/HorizontalMultiLevelHierarchy"/>
    <dgm:cxn modelId="{ABB87759-A574-4B5B-AA3F-1CF8CCE747FA}" srcId="{8C394E95-066B-405F-826B-CBF2B45C096D}" destId="{DB6CBA8E-6126-46DA-A520-5EC17750E6F2}" srcOrd="1" destOrd="0" parTransId="{573DC46E-BE2F-4D2C-8196-AA60EFC73D9C}" sibTransId="{F57373CC-C1D0-4C58-A100-4FA4B309EA6F}"/>
    <dgm:cxn modelId="{B769B735-DBB3-4C3A-ADB4-A32704D805AA}" srcId="{5D346288-262D-450B-AC7D-27D126A84F63}" destId="{BEC03C1E-06E6-4958-B0B3-D43017C06BAB}" srcOrd="5" destOrd="0" parTransId="{B96482D8-850B-435C-A65F-5FC324C01B3A}" sibTransId="{BB82D588-A2EB-4330-B563-DE0A4D0808A1}"/>
    <dgm:cxn modelId="{1D771ECD-D0B9-4C68-9E16-F66CE359C798}" type="presOf" srcId="{79A596C0-B20A-4164-9CFD-0BA8941454E3}" destId="{0EBC95DD-EA6B-4E50-B013-10C9215D3D82}" srcOrd="0" destOrd="0" presId="urn:microsoft.com/office/officeart/2008/layout/HorizontalMultiLevelHierarchy"/>
    <dgm:cxn modelId="{6F9A1A4B-F269-4BA8-B32B-C89493A5075F}" type="presOf" srcId="{8CEC01C9-CECA-44B5-B4E1-51EFD354889E}" destId="{DB24F9D8-02E8-4395-B53F-68DD2E17D639}" srcOrd="0" destOrd="0" presId="urn:microsoft.com/office/officeart/2008/layout/HorizontalMultiLevelHierarchy"/>
    <dgm:cxn modelId="{4580A5B9-AE71-44D2-B46D-73A5D09E68CF}" type="presOf" srcId="{721C0F71-B702-47B0-979B-D90183A42EED}" destId="{74627D48-A4DC-414C-BC0B-73218DCA6E08}" srcOrd="0" destOrd="0" presId="urn:microsoft.com/office/officeart/2008/layout/HorizontalMultiLevelHierarchy"/>
    <dgm:cxn modelId="{BA0E196E-3071-4532-AD94-31ADE491E5C2}" srcId="{8C394E95-066B-405F-826B-CBF2B45C096D}" destId="{5C82B4C5-50DE-4E53-8DE9-D28C183CEE30}" srcOrd="4" destOrd="0" parTransId="{8CEC01C9-CECA-44B5-B4E1-51EFD354889E}" sibTransId="{C06EE300-0559-46D5-B00F-4697597A1407}"/>
    <dgm:cxn modelId="{AD49F3C9-40F8-4127-909D-0A5AD9A8BC9F}" srcId="{5D346288-262D-450B-AC7D-27D126A84F63}" destId="{86959289-2D33-412B-B96D-DC224F6733E8}" srcOrd="2" destOrd="0" parTransId="{4086080F-4C14-4D21-B5E3-2BBE054A406A}" sibTransId="{BB3E8295-2434-467D-BFA2-CF6EFE1949A1}"/>
    <dgm:cxn modelId="{8984BA1C-FF68-4AFF-8179-72E0A717CBBA}" srcId="{5D346288-262D-450B-AC7D-27D126A84F63}" destId="{F94C6DC7-C009-4228-932E-449A3D4B49C4}" srcOrd="6" destOrd="0" parTransId="{5F5D967D-18D1-4DF5-B54B-4D3B388CC354}" sibTransId="{2AF96CD9-0854-4E6A-A911-90B69DCC4234}"/>
    <dgm:cxn modelId="{20D97CA6-2ED5-4F1E-B878-B510FD291C23}" type="presOf" srcId="{FF0F7CB6-79A0-421F-9646-3A3C57FB5805}" destId="{2B5684AE-EE6B-4253-B4DD-13C3BDD0F081}" srcOrd="0" destOrd="0" presId="urn:microsoft.com/office/officeart/2008/layout/HorizontalMultiLevelHierarchy"/>
    <dgm:cxn modelId="{410A0AF8-74A4-42A9-9C98-704FCFD10016}" type="presOf" srcId="{6DF1E527-FD89-4BC2-B0D4-4C8D93BD284A}" destId="{1DC46A8C-FCB8-4BB3-83A3-E0D96ECDDF9C}" srcOrd="1" destOrd="0" presId="urn:microsoft.com/office/officeart/2008/layout/HorizontalMultiLevelHierarchy"/>
    <dgm:cxn modelId="{875DBE1C-F782-4860-AD3E-46AD070B8E37}" type="presOf" srcId="{A18F0397-7F1D-4814-B59C-149AA39F377C}" destId="{057B4D2E-364D-4B2E-94DA-244BBCD062EB}" srcOrd="0" destOrd="0" presId="urn:microsoft.com/office/officeart/2008/layout/HorizontalMultiLevelHierarchy"/>
    <dgm:cxn modelId="{B9C4308C-F062-4C80-AB67-C50F35B5AC41}" type="presOf" srcId="{66EFF3A3-21A9-4301-A16E-3E265B53D1D4}" destId="{CDC7C126-DA31-4DFF-A470-0754034B214D}" srcOrd="0" destOrd="0" presId="urn:microsoft.com/office/officeart/2008/layout/HorizontalMultiLevelHierarchy"/>
    <dgm:cxn modelId="{872143F4-75E3-4108-93A9-C865E54A5FFA}" type="presOf" srcId="{A97B72CE-5734-477D-8A14-11F82732A187}" destId="{3A92F15A-C91E-43B4-BB47-17920CB93EBD}" srcOrd="0" destOrd="0" presId="urn:microsoft.com/office/officeart/2008/layout/HorizontalMultiLevelHierarchy"/>
    <dgm:cxn modelId="{7916D4A8-6133-4C73-B455-AD7DEB86CFFE}" type="presOf" srcId="{4086080F-4C14-4D21-B5E3-2BBE054A406A}" destId="{082D4DE6-1DD7-4062-9C18-E2F8B8111BC4}" srcOrd="0" destOrd="0" presId="urn:microsoft.com/office/officeart/2008/layout/HorizontalMultiLevelHierarchy"/>
    <dgm:cxn modelId="{54EAA8C5-53DE-4061-857A-56B0B7988344}" type="presOf" srcId="{FF0F7CB6-79A0-421F-9646-3A3C57FB5805}" destId="{702D1056-F62F-42E7-9D11-DDA2B3ADFB49}" srcOrd="1" destOrd="0" presId="urn:microsoft.com/office/officeart/2008/layout/HorizontalMultiLevelHierarchy"/>
    <dgm:cxn modelId="{D1B29B9C-3CBD-494E-BE78-BF4F230D0A74}" type="presOf" srcId="{F94C6DC7-C009-4228-932E-449A3D4B49C4}" destId="{76914B40-F613-4D71-A7EA-A98DF06B2186}" srcOrd="0" destOrd="0" presId="urn:microsoft.com/office/officeart/2008/layout/HorizontalMultiLevelHierarchy"/>
    <dgm:cxn modelId="{714AFD4D-D625-4E60-A471-E187955B3DE2}" srcId="{5D346288-262D-450B-AC7D-27D126A84F63}" destId="{C632A6A6-E8D2-46F9-9134-0B80479289FE}" srcOrd="9" destOrd="0" parTransId="{1816B1DF-4125-4B73-B667-4DB22BE37F5E}" sibTransId="{F4166BC6-C9AC-42D2-B41C-02D7F5DD7EE6}"/>
    <dgm:cxn modelId="{CABCEEDE-153C-4E9F-B4E2-F85C0D8C5B65}" type="presOf" srcId="{ADC9F004-6076-44FA-88DB-2944C7313EE7}" destId="{7F10664C-3E83-4A78-AFDE-F7894A7A356D}" srcOrd="0" destOrd="0" presId="urn:microsoft.com/office/officeart/2008/layout/HorizontalMultiLevelHierarchy"/>
    <dgm:cxn modelId="{E226383C-34AA-42BE-97E0-4B883B5F5F0A}" type="presOf" srcId="{25822EC0-7150-4752-A3A2-EC0146E0E35A}" destId="{0D6220B7-AA69-47DD-BFFE-3A403F44C1EA}" srcOrd="1" destOrd="0" presId="urn:microsoft.com/office/officeart/2008/layout/HorizontalMultiLevelHierarchy"/>
    <dgm:cxn modelId="{7B15244D-CE7F-470D-929C-A95F5589D4F2}" type="presOf" srcId="{96ED38C1-5FA1-4220-961C-FB6523B78202}" destId="{226AF65A-EE99-44FC-8EFB-4C1C986DE326}" srcOrd="0" destOrd="0" presId="urn:microsoft.com/office/officeart/2008/layout/HorizontalMultiLevelHierarchy"/>
    <dgm:cxn modelId="{7E41D193-1D55-400F-BA11-E722B81E34E8}" type="presOf" srcId="{A18F0397-7F1D-4814-B59C-149AA39F377C}" destId="{D16D42C0-3B1D-482F-A943-9B1987C8FA23}" srcOrd="1" destOrd="0" presId="urn:microsoft.com/office/officeart/2008/layout/HorizontalMultiLevelHierarchy"/>
    <dgm:cxn modelId="{020E0D25-6555-4B42-914A-1875D2029456}" type="presOf" srcId="{A97B72CE-5734-477D-8A14-11F82732A187}" destId="{75F7215F-5F96-4840-B090-9318BA188FBD}" srcOrd="1" destOrd="0" presId="urn:microsoft.com/office/officeart/2008/layout/HorizontalMultiLevelHierarchy"/>
    <dgm:cxn modelId="{216C5C43-C643-43AF-937E-032C5F2C53C7}" srcId="{8C394E95-066B-405F-826B-CBF2B45C096D}" destId="{F1CFED7D-B9EF-4BE0-97E3-B41B47F3A976}" srcOrd="2" destOrd="0" parTransId="{6DF1E527-FD89-4BC2-B0D4-4C8D93BD284A}" sibTransId="{1F47F4CE-8D86-4821-A156-D9FB437F64B6}"/>
    <dgm:cxn modelId="{0AC6104D-C301-4751-890B-DC4A12DE8B97}" type="presOf" srcId="{25822EC0-7150-4752-A3A2-EC0146E0E35A}" destId="{914A2447-B5F3-4FA3-8C50-D46909F9CE46}" srcOrd="0" destOrd="0" presId="urn:microsoft.com/office/officeart/2008/layout/HorizontalMultiLevelHierarchy"/>
    <dgm:cxn modelId="{821880BB-DB23-4018-93E1-6485BF7A9DA9}" type="presOf" srcId="{BEC03C1E-06E6-4958-B0B3-D43017C06BAB}" destId="{EEEA91EF-53EF-45A7-88E7-670E6E46DDB1}" srcOrd="0" destOrd="0" presId="urn:microsoft.com/office/officeart/2008/layout/HorizontalMultiLevelHierarchy"/>
    <dgm:cxn modelId="{0FD2F5AD-B243-401F-9CA2-08AC2FC8C544}" type="presOf" srcId="{B96482D8-850B-435C-A65F-5FC324C01B3A}" destId="{3CF3832F-4DD4-4330-A3A7-A6111C477A18}" srcOrd="0" destOrd="0" presId="urn:microsoft.com/office/officeart/2008/layout/HorizontalMultiLevelHierarchy"/>
    <dgm:cxn modelId="{7615AC3C-AD7A-4FB9-AFD9-47F482A96444}" type="presOf" srcId="{5C82B4C5-50DE-4E53-8DE9-D28C183CEE30}" destId="{C2F30BA8-62D7-4B73-B05D-B7838860A206}" srcOrd="0" destOrd="0" presId="urn:microsoft.com/office/officeart/2008/layout/HorizontalMultiLevelHierarchy"/>
    <dgm:cxn modelId="{DDB85EC4-217D-489C-B2C6-E356FDBA2068}" type="presOf" srcId="{30077DAD-EAD4-49B5-9ED4-EC9F43F90523}" destId="{56DEF638-666B-444E-9B86-96CF4DA06137}" srcOrd="0" destOrd="0" presId="urn:microsoft.com/office/officeart/2008/layout/HorizontalMultiLevelHierarchy"/>
    <dgm:cxn modelId="{B1620E01-507C-49AB-833C-600D22C9F431}" srcId="{5D346288-262D-450B-AC7D-27D126A84F63}" destId="{66EFF3A3-21A9-4301-A16E-3E265B53D1D4}" srcOrd="0" destOrd="0" parTransId="{F0602E3B-B42B-438F-AD47-36FFCF9D1BE6}" sibTransId="{F6B824A9-DF7F-4FAF-AFBE-2D5D9D029A74}"/>
    <dgm:cxn modelId="{B258DE72-6808-4CB1-820B-F0AFC1354052}" srcId="{5D346288-262D-450B-AC7D-27D126A84F63}" destId="{96ED38C1-5FA1-4220-961C-FB6523B78202}" srcOrd="4" destOrd="0" parTransId="{25822EC0-7150-4752-A3A2-EC0146E0E35A}" sibTransId="{2A756ADA-EC8F-4229-BECF-38898D941B0D}"/>
    <dgm:cxn modelId="{6AB01F19-7DD3-48CC-BB84-7B3737DB0E0D}" type="presParOf" srcId="{906DFB43-3A8C-4974-88C6-B51D30D3DDC2}" destId="{0AF3324E-21D8-45E5-870A-4EE60C3CCCD8}" srcOrd="0" destOrd="0" presId="urn:microsoft.com/office/officeart/2008/layout/HorizontalMultiLevelHierarchy"/>
    <dgm:cxn modelId="{3DC6952B-CCB1-489E-A97C-C53577CE40E3}" type="presParOf" srcId="{0AF3324E-21D8-45E5-870A-4EE60C3CCCD8}" destId="{4A24B072-BE5D-4CA2-9E09-2750ECA739C5}" srcOrd="0" destOrd="0" presId="urn:microsoft.com/office/officeart/2008/layout/HorizontalMultiLevelHierarchy"/>
    <dgm:cxn modelId="{A5FDFF2F-41E8-445E-9866-35F4582C077E}" type="presParOf" srcId="{0AF3324E-21D8-45E5-870A-4EE60C3CCCD8}" destId="{9C3E2B57-0FC6-4C4D-A468-B2622AB7AD65}" srcOrd="1" destOrd="0" presId="urn:microsoft.com/office/officeart/2008/layout/HorizontalMultiLevelHierarchy"/>
    <dgm:cxn modelId="{F6D7F095-DD0D-4425-BDEB-7E9763EC126B}" type="presParOf" srcId="{9C3E2B57-0FC6-4C4D-A468-B2622AB7AD65}" destId="{B871D73D-B5A0-4702-AF70-8F616B886E8B}" srcOrd="0" destOrd="0" presId="urn:microsoft.com/office/officeart/2008/layout/HorizontalMultiLevelHierarchy"/>
    <dgm:cxn modelId="{4BFB0585-7308-4616-B692-9430D08F98CC}" type="presParOf" srcId="{B871D73D-B5A0-4702-AF70-8F616B886E8B}" destId="{E0947821-2613-4D06-B89E-DA606B32718F}" srcOrd="0" destOrd="0" presId="urn:microsoft.com/office/officeart/2008/layout/HorizontalMultiLevelHierarchy"/>
    <dgm:cxn modelId="{F9AF1984-44B6-4F4F-A29F-4B5C1F58CD62}" type="presParOf" srcId="{9C3E2B57-0FC6-4C4D-A468-B2622AB7AD65}" destId="{544B0930-70AE-4415-A9AE-3ECD4F4E501A}" srcOrd="1" destOrd="0" presId="urn:microsoft.com/office/officeart/2008/layout/HorizontalMultiLevelHierarchy"/>
    <dgm:cxn modelId="{58262705-6734-463D-8B4A-D84F95F3E622}" type="presParOf" srcId="{544B0930-70AE-4415-A9AE-3ECD4F4E501A}" destId="{56DEF638-666B-444E-9B86-96CF4DA06137}" srcOrd="0" destOrd="0" presId="urn:microsoft.com/office/officeart/2008/layout/HorizontalMultiLevelHierarchy"/>
    <dgm:cxn modelId="{FF74F73D-1EE2-4391-896F-4E89E8730D5A}" type="presParOf" srcId="{544B0930-70AE-4415-A9AE-3ECD4F4E501A}" destId="{24258A0F-C809-4165-9B63-004399EB93DF}" srcOrd="1" destOrd="0" presId="urn:microsoft.com/office/officeart/2008/layout/HorizontalMultiLevelHierarchy"/>
    <dgm:cxn modelId="{49A390CA-1C15-4515-8B8E-7866FA82B407}" type="presParOf" srcId="{9C3E2B57-0FC6-4C4D-A468-B2622AB7AD65}" destId="{298FA5CF-015F-4F82-B419-26030DF4E62F}" srcOrd="2" destOrd="0" presId="urn:microsoft.com/office/officeart/2008/layout/HorizontalMultiLevelHierarchy"/>
    <dgm:cxn modelId="{517DDDBD-2C16-4CEB-9EC2-AFFDCC4DA741}" type="presParOf" srcId="{298FA5CF-015F-4F82-B419-26030DF4E62F}" destId="{C914B56A-FEF0-4A3D-9CC3-6FFF0037FB58}" srcOrd="0" destOrd="0" presId="urn:microsoft.com/office/officeart/2008/layout/HorizontalMultiLevelHierarchy"/>
    <dgm:cxn modelId="{A2E98BC2-B61E-45EF-9523-177B127B70BE}" type="presParOf" srcId="{9C3E2B57-0FC6-4C4D-A468-B2622AB7AD65}" destId="{14F95473-425C-487A-B40F-C519D969954F}" srcOrd="3" destOrd="0" presId="urn:microsoft.com/office/officeart/2008/layout/HorizontalMultiLevelHierarchy"/>
    <dgm:cxn modelId="{FE40B115-257E-47E5-BFB4-FA608CE3120E}" type="presParOf" srcId="{14F95473-425C-487A-B40F-C519D969954F}" destId="{C68E76BA-F833-415F-8F97-6B6152DE87E2}" srcOrd="0" destOrd="0" presId="urn:microsoft.com/office/officeart/2008/layout/HorizontalMultiLevelHierarchy"/>
    <dgm:cxn modelId="{BBB53235-535C-4471-B4BE-16ACAC13A349}" type="presParOf" srcId="{14F95473-425C-487A-B40F-C519D969954F}" destId="{C12DE19A-3943-4906-B61F-89B74E4DCE67}" srcOrd="1" destOrd="0" presId="urn:microsoft.com/office/officeart/2008/layout/HorizontalMultiLevelHierarchy"/>
    <dgm:cxn modelId="{6AA52356-FABA-429F-9FA6-AF10B2EDC39B}" type="presParOf" srcId="{9C3E2B57-0FC6-4C4D-A468-B2622AB7AD65}" destId="{C462AEE1-50CF-4F57-AE39-CF948CCD7980}" srcOrd="4" destOrd="0" presId="urn:microsoft.com/office/officeart/2008/layout/HorizontalMultiLevelHierarchy"/>
    <dgm:cxn modelId="{2DC4122B-D33F-4CBA-9738-C391F05F8C2C}" type="presParOf" srcId="{C462AEE1-50CF-4F57-AE39-CF948CCD7980}" destId="{1DC46A8C-FCB8-4BB3-83A3-E0D96ECDDF9C}" srcOrd="0" destOrd="0" presId="urn:microsoft.com/office/officeart/2008/layout/HorizontalMultiLevelHierarchy"/>
    <dgm:cxn modelId="{DCD0A231-FEAF-4DC8-A4C7-8362399053D9}" type="presParOf" srcId="{9C3E2B57-0FC6-4C4D-A468-B2622AB7AD65}" destId="{93B87FDA-3EF5-4A09-9BAE-BEB8846FF54E}" srcOrd="5" destOrd="0" presId="urn:microsoft.com/office/officeart/2008/layout/HorizontalMultiLevelHierarchy"/>
    <dgm:cxn modelId="{0044B80F-0824-4AB7-9616-0831CB890D2E}" type="presParOf" srcId="{93B87FDA-3EF5-4A09-9BAE-BEB8846FF54E}" destId="{4A068696-FEF2-4D10-A4C2-A7719FB095D5}" srcOrd="0" destOrd="0" presId="urn:microsoft.com/office/officeart/2008/layout/HorizontalMultiLevelHierarchy"/>
    <dgm:cxn modelId="{3D1456C9-CCFE-4B7A-B490-9A893088E6E9}" type="presParOf" srcId="{93B87FDA-3EF5-4A09-9BAE-BEB8846FF54E}" destId="{E3FD26EA-9674-4527-ACA1-ED84993658D0}" srcOrd="1" destOrd="0" presId="urn:microsoft.com/office/officeart/2008/layout/HorizontalMultiLevelHierarchy"/>
    <dgm:cxn modelId="{BA636850-9DD0-48D3-A73E-81F7A4C9BA33}" type="presParOf" srcId="{9C3E2B57-0FC6-4C4D-A468-B2622AB7AD65}" destId="{89384CAC-2175-4CF2-A0F6-2E0195EF0FBC}" srcOrd="6" destOrd="0" presId="urn:microsoft.com/office/officeart/2008/layout/HorizontalMultiLevelHierarchy"/>
    <dgm:cxn modelId="{CD3EA056-663B-4DD7-BD6F-7A5CDF1176DF}" type="presParOf" srcId="{89384CAC-2175-4CF2-A0F6-2E0195EF0FBC}" destId="{5679621C-D51C-47E0-BFF9-503E13BC9030}" srcOrd="0" destOrd="0" presId="urn:microsoft.com/office/officeart/2008/layout/HorizontalMultiLevelHierarchy"/>
    <dgm:cxn modelId="{7718D72E-E491-4C2D-AB50-474E7ED78843}" type="presParOf" srcId="{9C3E2B57-0FC6-4C4D-A468-B2622AB7AD65}" destId="{74457E2F-2733-42B0-986F-1514D9753B23}" srcOrd="7" destOrd="0" presId="urn:microsoft.com/office/officeart/2008/layout/HorizontalMultiLevelHierarchy"/>
    <dgm:cxn modelId="{A65D8410-7EFD-46B7-A333-40A35FEA7EB7}" type="presParOf" srcId="{74457E2F-2733-42B0-986F-1514D9753B23}" destId="{672D41C8-AA1E-46CB-BB61-B277016BBE9F}" srcOrd="0" destOrd="0" presId="urn:microsoft.com/office/officeart/2008/layout/HorizontalMultiLevelHierarchy"/>
    <dgm:cxn modelId="{81C41D52-32E0-4CD5-9C24-90D067EF94BE}" type="presParOf" srcId="{74457E2F-2733-42B0-986F-1514D9753B23}" destId="{F81716C5-C75A-4464-871C-1B839FB6E2CE}" srcOrd="1" destOrd="0" presId="urn:microsoft.com/office/officeart/2008/layout/HorizontalMultiLevelHierarchy"/>
    <dgm:cxn modelId="{71D2FAF6-78CD-47C9-BFA2-2259E1D588E2}" type="presParOf" srcId="{9C3E2B57-0FC6-4C4D-A468-B2622AB7AD65}" destId="{DB24F9D8-02E8-4395-B53F-68DD2E17D639}" srcOrd="8" destOrd="0" presId="urn:microsoft.com/office/officeart/2008/layout/HorizontalMultiLevelHierarchy"/>
    <dgm:cxn modelId="{68A5231D-DF5F-44ED-B83E-5D06A3F06128}" type="presParOf" srcId="{DB24F9D8-02E8-4395-B53F-68DD2E17D639}" destId="{B541FCFF-14A5-44D2-B555-3461D8FFFB9C}" srcOrd="0" destOrd="0" presId="urn:microsoft.com/office/officeart/2008/layout/HorizontalMultiLevelHierarchy"/>
    <dgm:cxn modelId="{6F0D5827-79DC-4468-94B8-82AF9526D8DE}" type="presParOf" srcId="{9C3E2B57-0FC6-4C4D-A468-B2622AB7AD65}" destId="{F8186C41-374C-4CC4-A865-2935E3D3BCBC}" srcOrd="9" destOrd="0" presId="urn:microsoft.com/office/officeart/2008/layout/HorizontalMultiLevelHierarchy"/>
    <dgm:cxn modelId="{BE8FEE9E-168A-4A2D-A170-47EDA462619F}" type="presParOf" srcId="{F8186C41-374C-4CC4-A865-2935E3D3BCBC}" destId="{C2F30BA8-62D7-4B73-B05D-B7838860A206}" srcOrd="0" destOrd="0" presId="urn:microsoft.com/office/officeart/2008/layout/HorizontalMultiLevelHierarchy"/>
    <dgm:cxn modelId="{2C10648A-B39E-4C17-AA7F-12BF05B0DC8E}" type="presParOf" srcId="{F8186C41-374C-4CC4-A865-2935E3D3BCBC}" destId="{0169FB21-6F9D-4705-973A-25962603B8C0}" srcOrd="1" destOrd="0" presId="urn:microsoft.com/office/officeart/2008/layout/HorizontalMultiLevelHierarchy"/>
    <dgm:cxn modelId="{BC63B4F6-B7B6-4993-BE5E-4319DBFA14ED}" type="presParOf" srcId="{9C3E2B57-0FC6-4C4D-A468-B2622AB7AD65}" destId="{74627D48-A4DC-414C-BC0B-73218DCA6E08}" srcOrd="10" destOrd="0" presId="urn:microsoft.com/office/officeart/2008/layout/HorizontalMultiLevelHierarchy"/>
    <dgm:cxn modelId="{01081A9C-0E4F-4CBB-B380-29FB7C440E2D}" type="presParOf" srcId="{74627D48-A4DC-414C-BC0B-73218DCA6E08}" destId="{B812C51E-5911-41DE-BB70-7A24FF126F56}" srcOrd="0" destOrd="0" presId="urn:microsoft.com/office/officeart/2008/layout/HorizontalMultiLevelHierarchy"/>
    <dgm:cxn modelId="{8E780090-CE8C-4BCE-9E9D-476E9B10D543}" type="presParOf" srcId="{9C3E2B57-0FC6-4C4D-A468-B2622AB7AD65}" destId="{111E0FBD-F0F9-4784-96A7-3CE90DF588C6}" srcOrd="11" destOrd="0" presId="urn:microsoft.com/office/officeart/2008/layout/HorizontalMultiLevelHierarchy"/>
    <dgm:cxn modelId="{E98FCF0A-C5C8-417B-91F1-42BF094DD8CD}" type="presParOf" srcId="{111E0FBD-F0F9-4784-96A7-3CE90DF588C6}" destId="{527E0A6A-2E87-40B7-878E-3A4174E72DB8}" srcOrd="0" destOrd="0" presId="urn:microsoft.com/office/officeart/2008/layout/HorizontalMultiLevelHierarchy"/>
    <dgm:cxn modelId="{752D347E-96C2-4921-AAFB-EF1D7FB16AF8}" type="presParOf" srcId="{111E0FBD-F0F9-4784-96A7-3CE90DF588C6}" destId="{FDC0221E-A6DB-445C-B3CF-D363445F77BF}" srcOrd="1" destOrd="0" presId="urn:microsoft.com/office/officeart/2008/layout/HorizontalMultiLevelHierarchy"/>
    <dgm:cxn modelId="{4E5B1CA1-9044-4435-8E3C-B2598E1E90E3}" type="presParOf" srcId="{FDC0221E-A6DB-445C-B3CF-D363445F77BF}" destId="{0435346F-F20A-4AC6-AEA2-922758D6156F}" srcOrd="0" destOrd="0" presId="urn:microsoft.com/office/officeart/2008/layout/HorizontalMultiLevelHierarchy"/>
    <dgm:cxn modelId="{265B075A-339F-49CF-9B0A-EEB94F3AE4CE}" type="presParOf" srcId="{0435346F-F20A-4AC6-AEA2-922758D6156F}" destId="{33C4A6A3-3253-4F70-BCE9-B15F80438980}" srcOrd="0" destOrd="0" presId="urn:microsoft.com/office/officeart/2008/layout/HorizontalMultiLevelHierarchy"/>
    <dgm:cxn modelId="{76B71CA6-4C97-49CA-A21A-D7E60EE1FDA7}" type="presParOf" srcId="{FDC0221E-A6DB-445C-B3CF-D363445F77BF}" destId="{42A03E44-6A8F-4B9F-B144-CB2B6D970E0A}" srcOrd="1" destOrd="0" presId="urn:microsoft.com/office/officeart/2008/layout/HorizontalMultiLevelHierarchy"/>
    <dgm:cxn modelId="{E582AB2C-CC22-454E-A531-A91C81179F8C}" type="presParOf" srcId="{42A03E44-6A8F-4B9F-B144-CB2B6D970E0A}" destId="{CDC7C126-DA31-4DFF-A470-0754034B214D}" srcOrd="0" destOrd="0" presId="urn:microsoft.com/office/officeart/2008/layout/HorizontalMultiLevelHierarchy"/>
    <dgm:cxn modelId="{32CC691B-27F4-44DF-9062-AAD0FF747A9D}" type="presParOf" srcId="{42A03E44-6A8F-4B9F-B144-CB2B6D970E0A}" destId="{6F203839-64EC-45A7-9323-605FD801887D}" srcOrd="1" destOrd="0" presId="urn:microsoft.com/office/officeart/2008/layout/HorizontalMultiLevelHierarchy"/>
    <dgm:cxn modelId="{EB1C7000-84E8-4B8E-8D67-C4BA7244584C}" type="presParOf" srcId="{FDC0221E-A6DB-445C-B3CF-D363445F77BF}" destId="{0EBC95DD-EA6B-4E50-B013-10C9215D3D82}" srcOrd="2" destOrd="0" presId="urn:microsoft.com/office/officeart/2008/layout/HorizontalMultiLevelHierarchy"/>
    <dgm:cxn modelId="{A4FDA509-AACC-405F-B97E-A5A189A49E51}" type="presParOf" srcId="{0EBC95DD-EA6B-4E50-B013-10C9215D3D82}" destId="{3FDCB713-DCBE-4148-9BC4-561B5C9B39CA}" srcOrd="0" destOrd="0" presId="urn:microsoft.com/office/officeart/2008/layout/HorizontalMultiLevelHierarchy"/>
    <dgm:cxn modelId="{FB448B4A-3198-4682-BABA-18D3604ED785}" type="presParOf" srcId="{FDC0221E-A6DB-445C-B3CF-D363445F77BF}" destId="{ABDEF580-2BE1-4479-AA3D-39BE90AA6FF2}" srcOrd="3" destOrd="0" presId="urn:microsoft.com/office/officeart/2008/layout/HorizontalMultiLevelHierarchy"/>
    <dgm:cxn modelId="{06B4B7C1-F340-4900-A4AA-86CADFE7547E}" type="presParOf" srcId="{ABDEF580-2BE1-4479-AA3D-39BE90AA6FF2}" destId="{BB260C1C-013E-41CE-849F-BC4F6989D40A}" srcOrd="0" destOrd="0" presId="urn:microsoft.com/office/officeart/2008/layout/HorizontalMultiLevelHierarchy"/>
    <dgm:cxn modelId="{63E037EC-9C5F-4AE2-B4A9-97AEB0D6FEDD}" type="presParOf" srcId="{ABDEF580-2BE1-4479-AA3D-39BE90AA6FF2}" destId="{733B02C0-A7A9-43BC-97C0-478049E355D6}" srcOrd="1" destOrd="0" presId="urn:microsoft.com/office/officeart/2008/layout/HorizontalMultiLevelHierarchy"/>
    <dgm:cxn modelId="{9322B26C-A58F-4F98-AF74-B49E2008AB5B}" type="presParOf" srcId="{FDC0221E-A6DB-445C-B3CF-D363445F77BF}" destId="{082D4DE6-1DD7-4062-9C18-E2F8B8111BC4}" srcOrd="4" destOrd="0" presId="urn:microsoft.com/office/officeart/2008/layout/HorizontalMultiLevelHierarchy"/>
    <dgm:cxn modelId="{EBED7AEF-396D-4596-8F4A-7275EEECC544}" type="presParOf" srcId="{082D4DE6-1DD7-4062-9C18-E2F8B8111BC4}" destId="{CEBE9E86-315E-4453-91D5-E7BEF019B3EE}" srcOrd="0" destOrd="0" presId="urn:microsoft.com/office/officeart/2008/layout/HorizontalMultiLevelHierarchy"/>
    <dgm:cxn modelId="{A50F50FD-D2D6-4C4C-9D8E-320E4CDC2EAC}" type="presParOf" srcId="{FDC0221E-A6DB-445C-B3CF-D363445F77BF}" destId="{C976EDC7-A98C-4C3C-9E82-E44C0C87C89E}" srcOrd="5" destOrd="0" presId="urn:microsoft.com/office/officeart/2008/layout/HorizontalMultiLevelHierarchy"/>
    <dgm:cxn modelId="{AFC08C67-4FFE-4F11-A1F9-969353240BBA}" type="presParOf" srcId="{C976EDC7-A98C-4C3C-9E82-E44C0C87C89E}" destId="{FBFF6541-8A19-421F-948A-38721FE79A3A}" srcOrd="0" destOrd="0" presId="urn:microsoft.com/office/officeart/2008/layout/HorizontalMultiLevelHierarchy"/>
    <dgm:cxn modelId="{04FF9570-7C67-4665-9AB4-0D4335DF1B0A}" type="presParOf" srcId="{C976EDC7-A98C-4C3C-9E82-E44C0C87C89E}" destId="{AE927695-A7D1-456E-9930-787E96768838}" srcOrd="1" destOrd="0" presId="urn:microsoft.com/office/officeart/2008/layout/HorizontalMultiLevelHierarchy"/>
    <dgm:cxn modelId="{E50DFE66-B75B-4A66-82FD-D64626B66A34}" type="presParOf" srcId="{FDC0221E-A6DB-445C-B3CF-D363445F77BF}" destId="{928E7C79-7576-46F4-8A81-1D675778346F}" srcOrd="6" destOrd="0" presId="urn:microsoft.com/office/officeart/2008/layout/HorizontalMultiLevelHierarchy"/>
    <dgm:cxn modelId="{8B8E9CA8-522B-4914-A160-0D4B5AF6C7AA}" type="presParOf" srcId="{928E7C79-7576-46F4-8A81-1D675778346F}" destId="{E7737200-7706-4833-A4E5-425ECE3C0846}" srcOrd="0" destOrd="0" presId="urn:microsoft.com/office/officeart/2008/layout/HorizontalMultiLevelHierarchy"/>
    <dgm:cxn modelId="{1DC04739-C2C6-4598-82BA-72CFDE1E0EBB}" type="presParOf" srcId="{FDC0221E-A6DB-445C-B3CF-D363445F77BF}" destId="{1A8DD6FE-D2F7-45ED-A5B0-5BDF3573200A}" srcOrd="7" destOrd="0" presId="urn:microsoft.com/office/officeart/2008/layout/HorizontalMultiLevelHierarchy"/>
    <dgm:cxn modelId="{12FFFE54-9D33-4914-928E-74D7EF96E93D}" type="presParOf" srcId="{1A8DD6FE-D2F7-45ED-A5B0-5BDF3573200A}" destId="{5F7E2B49-7210-4A7F-82AF-0B34CADE98B4}" srcOrd="0" destOrd="0" presId="urn:microsoft.com/office/officeart/2008/layout/HorizontalMultiLevelHierarchy"/>
    <dgm:cxn modelId="{6FC30C2C-7EFC-4B77-A425-862D57DD98E2}" type="presParOf" srcId="{1A8DD6FE-D2F7-45ED-A5B0-5BDF3573200A}" destId="{CC046CD9-FA10-48B3-82C7-78D54A0CBDDD}" srcOrd="1" destOrd="0" presId="urn:microsoft.com/office/officeart/2008/layout/HorizontalMultiLevelHierarchy"/>
    <dgm:cxn modelId="{4F4B3F5D-D3B6-478B-8928-E2C0232C60A7}" type="presParOf" srcId="{FDC0221E-A6DB-445C-B3CF-D363445F77BF}" destId="{914A2447-B5F3-4FA3-8C50-D46909F9CE46}" srcOrd="8" destOrd="0" presId="urn:microsoft.com/office/officeart/2008/layout/HorizontalMultiLevelHierarchy"/>
    <dgm:cxn modelId="{45475C14-4DAE-42CC-BB23-C0B5C9BF76E5}" type="presParOf" srcId="{914A2447-B5F3-4FA3-8C50-D46909F9CE46}" destId="{0D6220B7-AA69-47DD-BFFE-3A403F44C1EA}" srcOrd="0" destOrd="0" presId="urn:microsoft.com/office/officeart/2008/layout/HorizontalMultiLevelHierarchy"/>
    <dgm:cxn modelId="{A4299011-3649-4BE3-A65B-D5E49D25B310}" type="presParOf" srcId="{FDC0221E-A6DB-445C-B3CF-D363445F77BF}" destId="{1970F2E7-04B3-41EC-8939-EF1123A9DF58}" srcOrd="9" destOrd="0" presId="urn:microsoft.com/office/officeart/2008/layout/HorizontalMultiLevelHierarchy"/>
    <dgm:cxn modelId="{CA17BAD2-9F05-4B5F-A3A6-07672348D2F3}" type="presParOf" srcId="{1970F2E7-04B3-41EC-8939-EF1123A9DF58}" destId="{226AF65A-EE99-44FC-8EFB-4C1C986DE326}" srcOrd="0" destOrd="0" presId="urn:microsoft.com/office/officeart/2008/layout/HorizontalMultiLevelHierarchy"/>
    <dgm:cxn modelId="{4AB8E971-55E7-4A84-9001-1D3B212DE3E8}" type="presParOf" srcId="{1970F2E7-04B3-41EC-8939-EF1123A9DF58}" destId="{246DDE90-940F-4FFE-BA88-0A16499D5F9A}" srcOrd="1" destOrd="0" presId="urn:microsoft.com/office/officeart/2008/layout/HorizontalMultiLevelHierarchy"/>
    <dgm:cxn modelId="{3986707F-1517-4ACF-A3B1-D439F000D980}" type="presParOf" srcId="{FDC0221E-A6DB-445C-B3CF-D363445F77BF}" destId="{3CF3832F-4DD4-4330-A3A7-A6111C477A18}" srcOrd="10" destOrd="0" presId="urn:microsoft.com/office/officeart/2008/layout/HorizontalMultiLevelHierarchy"/>
    <dgm:cxn modelId="{0F590871-EF85-4553-8A67-CE7D99AC0932}" type="presParOf" srcId="{3CF3832F-4DD4-4330-A3A7-A6111C477A18}" destId="{B0C00422-006E-4505-B18F-B6BC4657217B}" srcOrd="0" destOrd="0" presId="urn:microsoft.com/office/officeart/2008/layout/HorizontalMultiLevelHierarchy"/>
    <dgm:cxn modelId="{CCA4AD6E-E01E-4E54-A0B2-578368529057}" type="presParOf" srcId="{FDC0221E-A6DB-445C-B3CF-D363445F77BF}" destId="{7B92CD31-8345-414B-B786-F4680655C45C}" srcOrd="11" destOrd="0" presId="urn:microsoft.com/office/officeart/2008/layout/HorizontalMultiLevelHierarchy"/>
    <dgm:cxn modelId="{E80A3B45-D120-4415-91C6-8D150461EE6C}" type="presParOf" srcId="{7B92CD31-8345-414B-B786-F4680655C45C}" destId="{EEEA91EF-53EF-45A7-88E7-670E6E46DDB1}" srcOrd="0" destOrd="0" presId="urn:microsoft.com/office/officeart/2008/layout/HorizontalMultiLevelHierarchy"/>
    <dgm:cxn modelId="{905D70CC-42C0-4A01-AF3B-2F30702B08BE}" type="presParOf" srcId="{7B92CD31-8345-414B-B786-F4680655C45C}" destId="{112CEAEE-90A4-4997-8A81-AA4C676B2415}" srcOrd="1" destOrd="0" presId="urn:microsoft.com/office/officeart/2008/layout/HorizontalMultiLevelHierarchy"/>
    <dgm:cxn modelId="{118013EB-A709-414D-8801-CAE5430CAC56}" type="presParOf" srcId="{FDC0221E-A6DB-445C-B3CF-D363445F77BF}" destId="{D80327D2-701C-4311-8080-2C4A9A1AA00D}" srcOrd="12" destOrd="0" presId="urn:microsoft.com/office/officeart/2008/layout/HorizontalMultiLevelHierarchy"/>
    <dgm:cxn modelId="{E8348091-9889-4ADE-962E-C73D6AE7BD6B}" type="presParOf" srcId="{D80327D2-701C-4311-8080-2C4A9A1AA00D}" destId="{6D5AB150-EDC5-413F-BB8A-8F5F6EA9F3C4}" srcOrd="0" destOrd="0" presId="urn:microsoft.com/office/officeart/2008/layout/HorizontalMultiLevelHierarchy"/>
    <dgm:cxn modelId="{7F4587AF-3516-4C31-9172-3E09BAD1CE3F}" type="presParOf" srcId="{FDC0221E-A6DB-445C-B3CF-D363445F77BF}" destId="{EBC74CE8-1334-420F-90A1-D2C36BAE8F1B}" srcOrd="13" destOrd="0" presId="urn:microsoft.com/office/officeart/2008/layout/HorizontalMultiLevelHierarchy"/>
    <dgm:cxn modelId="{D002416D-F313-448B-9C0B-6E9621A1FBD3}" type="presParOf" srcId="{EBC74CE8-1334-420F-90A1-D2C36BAE8F1B}" destId="{76914B40-F613-4D71-A7EA-A98DF06B2186}" srcOrd="0" destOrd="0" presId="urn:microsoft.com/office/officeart/2008/layout/HorizontalMultiLevelHierarchy"/>
    <dgm:cxn modelId="{1F5242E4-60CB-4B09-8E59-87410D659E78}" type="presParOf" srcId="{EBC74CE8-1334-420F-90A1-D2C36BAE8F1B}" destId="{DA38E315-EDE5-441A-B645-98E7362AB73F}" srcOrd="1" destOrd="0" presId="urn:microsoft.com/office/officeart/2008/layout/HorizontalMultiLevelHierarchy"/>
    <dgm:cxn modelId="{0D40B347-1FCD-4468-BD04-E775FCC49F1E}" type="presParOf" srcId="{FDC0221E-A6DB-445C-B3CF-D363445F77BF}" destId="{81E682B0-2EC2-4E07-A5FB-52F608F8F4C2}" srcOrd="14" destOrd="0" presId="urn:microsoft.com/office/officeart/2008/layout/HorizontalMultiLevelHierarchy"/>
    <dgm:cxn modelId="{26F2DDFE-0575-4E24-B7FA-E03C0F289DE3}" type="presParOf" srcId="{81E682B0-2EC2-4E07-A5FB-52F608F8F4C2}" destId="{A4E3AEE1-0F53-4F86-AB16-B52C6BCDE023}" srcOrd="0" destOrd="0" presId="urn:microsoft.com/office/officeart/2008/layout/HorizontalMultiLevelHierarchy"/>
    <dgm:cxn modelId="{FCA478D4-E5D0-48F3-9150-A5BF06B68EC3}" type="presParOf" srcId="{FDC0221E-A6DB-445C-B3CF-D363445F77BF}" destId="{2C30F6B8-3D55-4E49-B415-DB2CAABA7237}" srcOrd="15" destOrd="0" presId="urn:microsoft.com/office/officeart/2008/layout/HorizontalMultiLevelHierarchy"/>
    <dgm:cxn modelId="{2787DEA6-3B5F-4C32-B855-260FD5CD2E3C}" type="presParOf" srcId="{2C30F6B8-3D55-4E49-B415-DB2CAABA7237}" destId="{3CE8F8E8-BFE5-48F8-9E3D-314E678333A5}" srcOrd="0" destOrd="0" presId="urn:microsoft.com/office/officeart/2008/layout/HorizontalMultiLevelHierarchy"/>
    <dgm:cxn modelId="{C8673631-0E88-4454-92B7-B3FDE2CB8C3E}" type="presParOf" srcId="{2C30F6B8-3D55-4E49-B415-DB2CAABA7237}" destId="{B982A306-F069-4429-A694-14AD1927B21B}" srcOrd="1" destOrd="0" presId="urn:microsoft.com/office/officeart/2008/layout/HorizontalMultiLevelHierarchy"/>
    <dgm:cxn modelId="{D66A284B-383D-42BE-BE7D-F7A00235E66B}" type="presParOf" srcId="{FDC0221E-A6DB-445C-B3CF-D363445F77BF}" destId="{3A92F15A-C91E-43B4-BB47-17920CB93EBD}" srcOrd="16" destOrd="0" presId="urn:microsoft.com/office/officeart/2008/layout/HorizontalMultiLevelHierarchy"/>
    <dgm:cxn modelId="{E3D398A9-C96E-40BC-941A-561EBF9F4BA3}" type="presParOf" srcId="{3A92F15A-C91E-43B4-BB47-17920CB93EBD}" destId="{75F7215F-5F96-4840-B090-9318BA188FBD}" srcOrd="0" destOrd="0" presId="urn:microsoft.com/office/officeart/2008/layout/HorizontalMultiLevelHierarchy"/>
    <dgm:cxn modelId="{71D67843-2CEF-4BBA-9BD8-72296F8E9B5E}" type="presParOf" srcId="{FDC0221E-A6DB-445C-B3CF-D363445F77BF}" destId="{325DDA06-31C6-4BCA-B63E-D572576C75A3}" srcOrd="17" destOrd="0" presId="urn:microsoft.com/office/officeart/2008/layout/HorizontalMultiLevelHierarchy"/>
    <dgm:cxn modelId="{ECF7B597-7485-4F7D-BBB4-3EC4700891EB}" type="presParOf" srcId="{325DDA06-31C6-4BCA-B63E-D572576C75A3}" destId="{E76F9B4D-1B14-4648-BB78-C4BE626C6069}" srcOrd="0" destOrd="0" presId="urn:microsoft.com/office/officeart/2008/layout/HorizontalMultiLevelHierarchy"/>
    <dgm:cxn modelId="{BBD2C6D9-30ED-406F-85E4-059B824D930A}" type="presParOf" srcId="{325DDA06-31C6-4BCA-B63E-D572576C75A3}" destId="{16D00E82-AEFB-4F50-A0B9-1DB82E8DF8AD}" srcOrd="1" destOrd="0" presId="urn:microsoft.com/office/officeart/2008/layout/HorizontalMultiLevelHierarchy"/>
    <dgm:cxn modelId="{EDED5A43-3FA3-4099-AF89-64AB7F11BFCA}" type="presParOf" srcId="{FDC0221E-A6DB-445C-B3CF-D363445F77BF}" destId="{3AEB1528-131A-402A-ACA7-7E3F020E71FD}" srcOrd="18" destOrd="0" presId="urn:microsoft.com/office/officeart/2008/layout/HorizontalMultiLevelHierarchy"/>
    <dgm:cxn modelId="{36CA87A9-6800-4E03-989A-BDA8FA5F2D31}" type="presParOf" srcId="{3AEB1528-131A-402A-ACA7-7E3F020E71FD}" destId="{F0D0D761-77C9-40A0-9173-EEF483F38BDD}" srcOrd="0" destOrd="0" presId="urn:microsoft.com/office/officeart/2008/layout/HorizontalMultiLevelHierarchy"/>
    <dgm:cxn modelId="{25BBE7E9-5E24-46DF-9CE0-499FBE4DCEAD}" type="presParOf" srcId="{FDC0221E-A6DB-445C-B3CF-D363445F77BF}" destId="{13A30C38-C482-4EC5-9705-5D2FB061683C}" srcOrd="19" destOrd="0" presId="urn:microsoft.com/office/officeart/2008/layout/HorizontalMultiLevelHierarchy"/>
    <dgm:cxn modelId="{70EDA1CF-303F-4C6F-A33A-E206F2ABBE6F}" type="presParOf" srcId="{13A30C38-C482-4EC5-9705-5D2FB061683C}" destId="{4E6429A4-7987-4FC2-BA16-65CDCC082DAD}" srcOrd="0" destOrd="0" presId="urn:microsoft.com/office/officeart/2008/layout/HorizontalMultiLevelHierarchy"/>
    <dgm:cxn modelId="{457F9049-936E-40E8-9E60-64E800291EB9}" type="presParOf" srcId="{13A30C38-C482-4EC5-9705-5D2FB061683C}" destId="{9B28C0B6-8479-4197-A2B6-D28A9E877945}" srcOrd="1" destOrd="0" presId="urn:microsoft.com/office/officeart/2008/layout/HorizontalMultiLevelHierarchy"/>
    <dgm:cxn modelId="{86FF31BF-6241-4B42-922E-01CF5E97116F}" type="presParOf" srcId="{FDC0221E-A6DB-445C-B3CF-D363445F77BF}" destId="{2CF3958C-51CF-47D1-8AA8-84B77902D70A}" srcOrd="20" destOrd="0" presId="urn:microsoft.com/office/officeart/2008/layout/HorizontalMultiLevelHierarchy"/>
    <dgm:cxn modelId="{E553EF9A-F602-48C9-BFAD-484BC55C4F24}" type="presParOf" srcId="{2CF3958C-51CF-47D1-8AA8-84B77902D70A}" destId="{2C322AE3-5336-4F82-ACCF-7F31C88B285F}" srcOrd="0" destOrd="0" presId="urn:microsoft.com/office/officeart/2008/layout/HorizontalMultiLevelHierarchy"/>
    <dgm:cxn modelId="{30C67046-21CD-41A5-89AC-48123720F982}" type="presParOf" srcId="{FDC0221E-A6DB-445C-B3CF-D363445F77BF}" destId="{B77B1A20-4773-4202-8377-DD754826F885}" srcOrd="21" destOrd="0" presId="urn:microsoft.com/office/officeart/2008/layout/HorizontalMultiLevelHierarchy"/>
    <dgm:cxn modelId="{17E15797-9267-45B3-99DF-002B4F776F3E}" type="presParOf" srcId="{B77B1A20-4773-4202-8377-DD754826F885}" destId="{49E4F062-630A-4626-B1DE-33C4677A2E19}" srcOrd="0" destOrd="0" presId="urn:microsoft.com/office/officeart/2008/layout/HorizontalMultiLevelHierarchy"/>
    <dgm:cxn modelId="{37226E36-DD94-4934-9B6E-ED5341434075}" type="presParOf" srcId="{B77B1A20-4773-4202-8377-DD754826F885}" destId="{B501250A-E03E-4776-A6AD-BF13D121915C}" srcOrd="1" destOrd="0" presId="urn:microsoft.com/office/officeart/2008/layout/HorizontalMultiLevelHierarchy"/>
    <dgm:cxn modelId="{BD373101-9F33-4C9A-B4FD-38672C479418}" type="presParOf" srcId="{FDC0221E-A6DB-445C-B3CF-D363445F77BF}" destId="{2B5684AE-EE6B-4253-B4DD-13C3BDD0F081}" srcOrd="22" destOrd="0" presId="urn:microsoft.com/office/officeart/2008/layout/HorizontalMultiLevelHierarchy"/>
    <dgm:cxn modelId="{08256F53-8677-461E-BB62-AD3067DE8931}" type="presParOf" srcId="{2B5684AE-EE6B-4253-B4DD-13C3BDD0F081}" destId="{702D1056-F62F-42E7-9D11-DDA2B3ADFB49}" srcOrd="0" destOrd="0" presId="urn:microsoft.com/office/officeart/2008/layout/HorizontalMultiLevelHierarchy"/>
    <dgm:cxn modelId="{EE8C6056-C508-4095-87FF-C115113660E4}" type="presParOf" srcId="{FDC0221E-A6DB-445C-B3CF-D363445F77BF}" destId="{F0E99697-1023-4B83-815D-29764797A4B4}" srcOrd="23" destOrd="0" presId="urn:microsoft.com/office/officeart/2008/layout/HorizontalMultiLevelHierarchy"/>
    <dgm:cxn modelId="{E7CF755D-A885-478F-951F-606829264853}" type="presParOf" srcId="{F0E99697-1023-4B83-815D-29764797A4B4}" destId="{3D047F2C-6CD6-4EB0-B845-01F6EC0D1A85}" srcOrd="0" destOrd="0" presId="urn:microsoft.com/office/officeart/2008/layout/HorizontalMultiLevelHierarchy"/>
    <dgm:cxn modelId="{C00B3CE7-93AC-43AB-971D-6A8B95A7D7BE}" type="presParOf" srcId="{F0E99697-1023-4B83-815D-29764797A4B4}" destId="{68AA2888-D4BF-4E44-88FE-97979E9623D4}" srcOrd="1" destOrd="0" presId="urn:microsoft.com/office/officeart/2008/layout/HorizontalMultiLevelHierarchy"/>
    <dgm:cxn modelId="{12D43B52-AE6A-4FF4-A0EA-9B560EA57B63}" type="presParOf" srcId="{FDC0221E-A6DB-445C-B3CF-D363445F77BF}" destId="{057B4D2E-364D-4B2E-94DA-244BBCD062EB}" srcOrd="24" destOrd="0" presId="urn:microsoft.com/office/officeart/2008/layout/HorizontalMultiLevelHierarchy"/>
    <dgm:cxn modelId="{9287F40B-7E3A-45A3-BA90-0F9FA9CBB631}" type="presParOf" srcId="{057B4D2E-364D-4B2E-94DA-244BBCD062EB}" destId="{D16D42C0-3B1D-482F-A943-9B1987C8FA23}" srcOrd="0" destOrd="0" presId="urn:microsoft.com/office/officeart/2008/layout/HorizontalMultiLevelHierarchy"/>
    <dgm:cxn modelId="{988D2B6D-E641-48EE-AE63-93F5427EE065}" type="presParOf" srcId="{FDC0221E-A6DB-445C-B3CF-D363445F77BF}" destId="{4840B847-D6E3-46A8-9A2B-381210903092}" srcOrd="25" destOrd="0" presId="urn:microsoft.com/office/officeart/2008/layout/HorizontalMultiLevelHierarchy"/>
    <dgm:cxn modelId="{891800C2-E948-43F0-B416-BAD61BA8DEC1}" type="presParOf" srcId="{4840B847-D6E3-46A8-9A2B-381210903092}" destId="{7F10664C-3E83-4A78-AFDE-F7894A7A356D}" srcOrd="0" destOrd="0" presId="urn:microsoft.com/office/officeart/2008/layout/HorizontalMultiLevelHierarchy"/>
    <dgm:cxn modelId="{9A9F6E83-5E13-4E13-A751-72E35AD97D17}" type="presParOf" srcId="{4840B847-D6E3-46A8-9A2B-381210903092}" destId="{FD597867-2B06-4A97-8A48-B5FA06E2ABC4}" srcOrd="1" destOrd="0" presId="urn:microsoft.com/office/officeart/2008/layout/HorizontalMultiLevelHierarchy"/>
  </dgm:cxnLst>
  <dgm:bg/>
  <dgm:whole/>
</dgm:dataModel>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2DF07A-C4C3-44CA-8EB2-3DE37BE19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5014</Words>
  <Characters>28585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Linde Group</Company>
  <LinksUpToDate>false</LinksUpToDate>
  <CharactersWithSpaces>33532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Tejgaon LGBD IMSS</dc:creator>
  <cp:lastModifiedBy>tanvir</cp:lastModifiedBy>
  <cp:revision>17</cp:revision>
  <cp:lastPrinted>2018-06-04T12:15:00Z</cp:lastPrinted>
  <dcterms:created xsi:type="dcterms:W3CDTF">2018-10-20T10:54:00Z</dcterms:created>
  <dcterms:modified xsi:type="dcterms:W3CDTF">2018-10-20T10:56:00Z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