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ECE0B5" w14:textId="77777777" w:rsidR="004A3528" w:rsidRDefault="004A3528" w:rsidP="00D57AA4">
      <w:pPr>
        <w:spacing w:line="240" w:lineRule="auto"/>
        <w:jc w:val="center"/>
        <w:rPr>
          <w:rFonts w:ascii="Times New Roman" w:hAnsi="Times New Roman"/>
          <w:b/>
          <w:color w:val="4F81BD" w:themeColor="accent1"/>
          <w:sz w:val="32"/>
          <w:szCs w:val="32"/>
        </w:rPr>
      </w:pPr>
    </w:p>
    <w:p w14:paraId="7C5F972A" w14:textId="267A827E" w:rsidR="00BD524F" w:rsidRPr="00D57AA4" w:rsidRDefault="00854589" w:rsidP="00D57AA4">
      <w:pPr>
        <w:spacing w:line="240" w:lineRule="auto"/>
        <w:jc w:val="center"/>
        <w:rPr>
          <w:rFonts w:ascii="Times New Roman" w:hAnsi="Times New Roman"/>
          <w:b/>
          <w:sz w:val="24"/>
          <w:szCs w:val="24"/>
        </w:rPr>
      </w:pPr>
      <w:r w:rsidRPr="00D57AA4">
        <w:rPr>
          <w:rFonts w:ascii="Times New Roman" w:hAnsi="Times New Roman"/>
          <w:b/>
          <w:color w:val="4F81BD" w:themeColor="accent1"/>
          <w:sz w:val="32"/>
          <w:szCs w:val="32"/>
        </w:rPr>
        <w:t xml:space="preserve">Risk Management Practices </w:t>
      </w:r>
      <w:r w:rsidR="002707AC" w:rsidRPr="00D57AA4">
        <w:rPr>
          <w:rFonts w:ascii="Times New Roman" w:hAnsi="Times New Roman"/>
          <w:b/>
          <w:color w:val="4F81BD" w:themeColor="accent1"/>
          <w:sz w:val="32"/>
          <w:szCs w:val="32"/>
        </w:rPr>
        <w:t>of</w:t>
      </w:r>
      <w:r w:rsidRPr="00D57AA4">
        <w:rPr>
          <w:rFonts w:ascii="Times New Roman" w:hAnsi="Times New Roman"/>
          <w:b/>
          <w:color w:val="4F81BD" w:themeColor="accent1"/>
          <w:sz w:val="32"/>
          <w:szCs w:val="32"/>
        </w:rPr>
        <w:t xml:space="preserve"> Dhaka Bank PLC</w:t>
      </w:r>
    </w:p>
    <w:p w14:paraId="7A370E68" w14:textId="77777777" w:rsidR="00E36745" w:rsidRPr="00E36745" w:rsidRDefault="00E36745" w:rsidP="00E36745"/>
    <w:p w14:paraId="2D309834" w14:textId="77777777" w:rsidR="00BD524F" w:rsidRDefault="00BD524F"/>
    <w:p w14:paraId="3C4BD670" w14:textId="77777777" w:rsidR="00BD524F" w:rsidRDefault="00BD524F"/>
    <w:p w14:paraId="446E4E78" w14:textId="77777777" w:rsidR="00BD524F" w:rsidRDefault="007E4B40" w:rsidP="007E4B40">
      <w:pPr>
        <w:jc w:val="center"/>
      </w:pPr>
      <w:r>
        <w:rPr>
          <w:noProof/>
        </w:rPr>
        <w:drawing>
          <wp:inline distT="0" distB="0" distL="0" distR="0" wp14:anchorId="57EFEDD6" wp14:editId="2A84185D">
            <wp:extent cx="1028700" cy="9620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0505" cy="963713"/>
                    </a:xfrm>
                    <a:prstGeom prst="rect">
                      <a:avLst/>
                    </a:prstGeom>
                    <a:noFill/>
                  </pic:spPr>
                </pic:pic>
              </a:graphicData>
            </a:graphic>
          </wp:inline>
        </w:drawing>
      </w:r>
    </w:p>
    <w:p w14:paraId="56C52BE2" w14:textId="77777777" w:rsidR="00BD524F" w:rsidRDefault="00BD524F"/>
    <w:p w14:paraId="65315238" w14:textId="77777777" w:rsidR="00BD524F" w:rsidRDefault="00BD524F"/>
    <w:p w14:paraId="302C155F" w14:textId="77777777" w:rsidR="00BD524F" w:rsidRDefault="00BD524F"/>
    <w:p w14:paraId="263CADFD" w14:textId="77777777" w:rsidR="00BD524F" w:rsidRPr="00D57AA4" w:rsidRDefault="00854589" w:rsidP="00794833">
      <w:pPr>
        <w:jc w:val="center"/>
        <w:rPr>
          <w:rFonts w:ascii="Times New Roman" w:hAnsi="Times New Roman"/>
          <w:b/>
          <w:sz w:val="32"/>
          <w:szCs w:val="32"/>
        </w:rPr>
      </w:pPr>
      <w:r w:rsidRPr="00D57AA4">
        <w:rPr>
          <w:rFonts w:ascii="Times New Roman" w:hAnsi="Times New Roman"/>
          <w:b/>
          <w:sz w:val="32"/>
          <w:szCs w:val="32"/>
        </w:rPr>
        <w:t>Avishek Poddar</w:t>
      </w:r>
    </w:p>
    <w:p w14:paraId="00EB7989" w14:textId="77777777" w:rsidR="00BD524F" w:rsidRDefault="00BD524F"/>
    <w:p w14:paraId="64A24034" w14:textId="77777777" w:rsidR="00BD524F" w:rsidRDefault="00BD524F"/>
    <w:p w14:paraId="3F85F703" w14:textId="77777777" w:rsidR="00BD524F" w:rsidRDefault="00BD524F"/>
    <w:p w14:paraId="11621784" w14:textId="77777777" w:rsidR="00BD524F" w:rsidRDefault="00BD524F"/>
    <w:p w14:paraId="7B2CEC3B" w14:textId="77777777" w:rsidR="00BD524F" w:rsidRDefault="00BD524F"/>
    <w:p w14:paraId="056F8601" w14:textId="77777777" w:rsidR="00BD524F" w:rsidRDefault="00BD524F"/>
    <w:p w14:paraId="22747D80" w14:textId="77777777" w:rsidR="00BD524F" w:rsidRDefault="00BD524F"/>
    <w:p w14:paraId="69FF669F" w14:textId="77777777" w:rsidR="00BD524F" w:rsidRDefault="00BD524F"/>
    <w:p w14:paraId="0610DAC6" w14:textId="77777777" w:rsidR="00BD524F" w:rsidRDefault="00BD524F"/>
    <w:p w14:paraId="4FA59ED1" w14:textId="77777777" w:rsidR="00BD524F" w:rsidRDefault="00F31C85" w:rsidP="00D57AA4">
      <w:pPr>
        <w:jc w:val="center"/>
        <w:rPr>
          <w:rFonts w:ascii="Times New Roman" w:hAnsi="Times New Roman"/>
          <w:color w:val="000000" w:themeColor="text1"/>
          <w:sz w:val="24"/>
          <w:szCs w:val="24"/>
        </w:rPr>
      </w:pPr>
      <w:r w:rsidRPr="00D57AA4">
        <w:rPr>
          <w:rFonts w:ascii="Times New Roman" w:hAnsi="Times New Roman"/>
          <w:color w:val="000000" w:themeColor="text1"/>
          <w:sz w:val="24"/>
          <w:szCs w:val="24"/>
        </w:rPr>
        <w:t>This report is submitted to the school of Business and Economics, United International University as a partial requirement for the degree fulfillment of Bachelor of Business Administration</w:t>
      </w:r>
    </w:p>
    <w:p w14:paraId="079BE6A7" w14:textId="77777777" w:rsidR="004A3528" w:rsidRPr="00D57AA4" w:rsidRDefault="004A3528" w:rsidP="00D57AA4">
      <w:pPr>
        <w:jc w:val="center"/>
        <w:rPr>
          <w:rFonts w:ascii="Times New Roman" w:hAnsi="Times New Roman"/>
          <w:color w:val="000000" w:themeColor="text1"/>
          <w:sz w:val="24"/>
          <w:szCs w:val="24"/>
        </w:rPr>
      </w:pPr>
    </w:p>
    <w:p w14:paraId="1FCA9D4E" w14:textId="77777777" w:rsidR="0090351D" w:rsidRPr="004A3528" w:rsidRDefault="001A4020" w:rsidP="0090351D">
      <w:pPr>
        <w:spacing w:line="240" w:lineRule="auto"/>
        <w:jc w:val="center"/>
        <w:rPr>
          <w:rFonts w:ascii="Times New Roman" w:hAnsi="Times New Roman"/>
          <w:b/>
          <w:color w:val="000000" w:themeColor="text1"/>
          <w:sz w:val="30"/>
          <w:szCs w:val="30"/>
        </w:rPr>
      </w:pPr>
      <w:r w:rsidRPr="004A3528">
        <w:rPr>
          <w:rFonts w:ascii="Times New Roman" w:hAnsi="Times New Roman"/>
          <w:b/>
          <w:color w:val="000000" w:themeColor="text1"/>
          <w:sz w:val="30"/>
          <w:szCs w:val="30"/>
        </w:rPr>
        <w:lastRenderedPageBreak/>
        <w:t>Internship Report</w:t>
      </w:r>
    </w:p>
    <w:p w14:paraId="3B0189F6" w14:textId="77777777" w:rsidR="0090351D" w:rsidRPr="004A3528" w:rsidRDefault="001A4020" w:rsidP="0090351D">
      <w:pPr>
        <w:spacing w:line="240" w:lineRule="auto"/>
        <w:jc w:val="center"/>
        <w:rPr>
          <w:rFonts w:ascii="Times New Roman" w:hAnsi="Times New Roman"/>
          <w:b/>
          <w:color w:val="000000" w:themeColor="text1"/>
          <w:sz w:val="30"/>
          <w:szCs w:val="30"/>
        </w:rPr>
      </w:pPr>
      <w:r w:rsidRPr="004A3528">
        <w:rPr>
          <w:rFonts w:ascii="Times New Roman" w:hAnsi="Times New Roman"/>
          <w:b/>
          <w:color w:val="000000" w:themeColor="text1"/>
          <w:sz w:val="30"/>
          <w:szCs w:val="30"/>
        </w:rPr>
        <w:t>On</w:t>
      </w:r>
    </w:p>
    <w:p w14:paraId="451666ED" w14:textId="3D7046ED" w:rsidR="008963D1" w:rsidRPr="001A4020" w:rsidRDefault="008963D1" w:rsidP="0090351D">
      <w:pPr>
        <w:spacing w:line="240" w:lineRule="auto"/>
        <w:jc w:val="center"/>
        <w:rPr>
          <w:rFonts w:ascii="Times New Roman" w:hAnsi="Times New Roman"/>
          <w:b/>
          <w:sz w:val="30"/>
          <w:szCs w:val="30"/>
        </w:rPr>
      </w:pPr>
      <w:r w:rsidRPr="0090351D">
        <w:rPr>
          <w:rFonts w:ascii="Times New Roman" w:hAnsi="Times New Roman"/>
          <w:b/>
          <w:color w:val="4F81BD" w:themeColor="accent1"/>
          <w:sz w:val="30"/>
          <w:szCs w:val="30"/>
        </w:rPr>
        <w:t xml:space="preserve">Risk Management Practices </w:t>
      </w:r>
      <w:r w:rsidR="00A74FA3" w:rsidRPr="0090351D">
        <w:rPr>
          <w:rFonts w:ascii="Times New Roman" w:hAnsi="Times New Roman"/>
          <w:b/>
          <w:color w:val="4F81BD" w:themeColor="accent1"/>
          <w:sz w:val="30"/>
          <w:szCs w:val="30"/>
        </w:rPr>
        <w:t>of</w:t>
      </w:r>
      <w:r w:rsidRPr="0090351D">
        <w:rPr>
          <w:rFonts w:ascii="Times New Roman" w:hAnsi="Times New Roman"/>
          <w:b/>
          <w:color w:val="4F81BD" w:themeColor="accent1"/>
          <w:sz w:val="30"/>
          <w:szCs w:val="30"/>
        </w:rPr>
        <w:t xml:space="preserve"> Dhaka Bank PLC</w:t>
      </w:r>
    </w:p>
    <w:p w14:paraId="077773A8" w14:textId="77777777" w:rsidR="00BD524F" w:rsidRDefault="00BD524F">
      <w:pPr>
        <w:jc w:val="center"/>
        <w:rPr>
          <w:rFonts w:ascii="Arial" w:hAnsi="Arial" w:cs="Arial"/>
          <w:b/>
          <w:sz w:val="36"/>
          <w:szCs w:val="36"/>
        </w:rPr>
      </w:pPr>
    </w:p>
    <w:p w14:paraId="0C9CBA8B" w14:textId="77777777" w:rsidR="00BD524F" w:rsidRPr="00A74FA3" w:rsidRDefault="00F31C85" w:rsidP="0090351D">
      <w:pPr>
        <w:jc w:val="center"/>
        <w:rPr>
          <w:rFonts w:ascii="Times New Roman" w:hAnsi="Times New Roman"/>
          <w:b/>
          <w:sz w:val="28"/>
          <w:szCs w:val="28"/>
        </w:rPr>
      </w:pPr>
      <w:r w:rsidRPr="00A74FA3">
        <w:rPr>
          <w:rFonts w:ascii="Times New Roman" w:hAnsi="Times New Roman"/>
          <w:b/>
          <w:sz w:val="28"/>
          <w:szCs w:val="28"/>
        </w:rPr>
        <w:t>S</w:t>
      </w:r>
      <w:r w:rsidR="004E03FD" w:rsidRPr="00A74FA3">
        <w:rPr>
          <w:rFonts w:ascii="Times New Roman" w:hAnsi="Times New Roman"/>
          <w:b/>
          <w:sz w:val="28"/>
          <w:szCs w:val="28"/>
        </w:rPr>
        <w:t>ubmitted T</w:t>
      </w:r>
      <w:r w:rsidRPr="00A74FA3">
        <w:rPr>
          <w:rFonts w:ascii="Times New Roman" w:hAnsi="Times New Roman"/>
          <w:b/>
          <w:sz w:val="28"/>
          <w:szCs w:val="28"/>
        </w:rPr>
        <w:t>o:</w:t>
      </w:r>
    </w:p>
    <w:p w14:paraId="73AD170C" w14:textId="77777777" w:rsidR="00BD524F" w:rsidRPr="00A74FA3" w:rsidRDefault="004E03FD">
      <w:pPr>
        <w:jc w:val="center"/>
        <w:rPr>
          <w:rFonts w:ascii="Times New Roman" w:hAnsi="Times New Roman"/>
          <w:sz w:val="24"/>
          <w:szCs w:val="24"/>
        </w:rPr>
      </w:pPr>
      <w:r w:rsidRPr="00A74FA3">
        <w:rPr>
          <w:rFonts w:ascii="Times New Roman" w:hAnsi="Times New Roman"/>
          <w:sz w:val="24"/>
          <w:szCs w:val="24"/>
        </w:rPr>
        <w:t>Mr. Muhammad Enamul Haque</w:t>
      </w:r>
    </w:p>
    <w:p w14:paraId="525A1C2C" w14:textId="77777777" w:rsidR="00BD524F" w:rsidRPr="00A74FA3" w:rsidRDefault="004E03FD" w:rsidP="004E03FD">
      <w:pPr>
        <w:jc w:val="center"/>
        <w:rPr>
          <w:rFonts w:ascii="Times New Roman" w:hAnsi="Times New Roman"/>
          <w:sz w:val="24"/>
          <w:szCs w:val="24"/>
        </w:rPr>
      </w:pPr>
      <w:r w:rsidRPr="00A74FA3">
        <w:rPr>
          <w:rFonts w:ascii="Times New Roman" w:hAnsi="Times New Roman"/>
          <w:sz w:val="24"/>
          <w:szCs w:val="24"/>
        </w:rPr>
        <w:t>Assistant Professor,</w:t>
      </w:r>
    </w:p>
    <w:p w14:paraId="65F7A4B7" w14:textId="77777777" w:rsidR="004E03FD" w:rsidRPr="00A74FA3" w:rsidRDefault="004E03FD">
      <w:pPr>
        <w:jc w:val="center"/>
        <w:rPr>
          <w:rFonts w:ascii="Times New Roman" w:hAnsi="Times New Roman"/>
          <w:sz w:val="24"/>
          <w:szCs w:val="24"/>
        </w:rPr>
      </w:pPr>
      <w:r w:rsidRPr="00A74FA3">
        <w:rPr>
          <w:rFonts w:ascii="Times New Roman" w:hAnsi="Times New Roman"/>
          <w:sz w:val="24"/>
          <w:szCs w:val="24"/>
        </w:rPr>
        <w:t>United International University</w:t>
      </w:r>
    </w:p>
    <w:p w14:paraId="6876ED6D" w14:textId="77777777" w:rsidR="004E03FD" w:rsidRPr="00A74FA3" w:rsidRDefault="004E03FD">
      <w:pPr>
        <w:jc w:val="center"/>
        <w:rPr>
          <w:rFonts w:ascii="Times New Roman" w:hAnsi="Times New Roman"/>
          <w:sz w:val="24"/>
          <w:szCs w:val="24"/>
        </w:rPr>
      </w:pPr>
      <w:r w:rsidRPr="00A74FA3">
        <w:rPr>
          <w:rFonts w:ascii="Times New Roman" w:hAnsi="Times New Roman"/>
          <w:sz w:val="24"/>
          <w:szCs w:val="24"/>
        </w:rPr>
        <w:t>Major: Finance</w:t>
      </w:r>
    </w:p>
    <w:p w14:paraId="357F4C7C" w14:textId="77777777" w:rsidR="004E03FD" w:rsidRPr="00A74FA3" w:rsidRDefault="004E03FD">
      <w:pPr>
        <w:jc w:val="center"/>
        <w:rPr>
          <w:rFonts w:ascii="Times New Roman" w:hAnsi="Times New Roman"/>
          <w:sz w:val="24"/>
          <w:szCs w:val="24"/>
        </w:rPr>
      </w:pPr>
    </w:p>
    <w:p w14:paraId="6FA5FB60" w14:textId="77777777" w:rsidR="00E36745" w:rsidRPr="00A74FA3" w:rsidRDefault="00E36745" w:rsidP="004E03FD">
      <w:pPr>
        <w:jc w:val="center"/>
        <w:rPr>
          <w:rFonts w:ascii="Times New Roman" w:hAnsi="Times New Roman"/>
          <w:b/>
          <w:sz w:val="28"/>
          <w:szCs w:val="28"/>
        </w:rPr>
      </w:pPr>
    </w:p>
    <w:p w14:paraId="4DA972E8" w14:textId="77777777" w:rsidR="00BD524F" w:rsidRPr="00A74FA3" w:rsidRDefault="00F31C85" w:rsidP="004E03FD">
      <w:pPr>
        <w:jc w:val="center"/>
        <w:rPr>
          <w:rFonts w:ascii="Times New Roman" w:hAnsi="Times New Roman"/>
          <w:b/>
          <w:sz w:val="28"/>
          <w:szCs w:val="28"/>
        </w:rPr>
      </w:pPr>
      <w:r w:rsidRPr="00A74FA3">
        <w:rPr>
          <w:rFonts w:ascii="Times New Roman" w:hAnsi="Times New Roman"/>
          <w:b/>
          <w:sz w:val="28"/>
          <w:szCs w:val="28"/>
        </w:rPr>
        <w:t>S</w:t>
      </w:r>
      <w:r w:rsidR="0090351D">
        <w:rPr>
          <w:rFonts w:ascii="Times New Roman" w:hAnsi="Times New Roman"/>
          <w:b/>
          <w:sz w:val="28"/>
          <w:szCs w:val="28"/>
        </w:rPr>
        <w:t>ubmitted B</w:t>
      </w:r>
      <w:r w:rsidRPr="00A74FA3">
        <w:rPr>
          <w:rFonts w:ascii="Times New Roman" w:hAnsi="Times New Roman"/>
          <w:b/>
          <w:sz w:val="28"/>
          <w:szCs w:val="28"/>
        </w:rPr>
        <w:t>y:</w:t>
      </w:r>
    </w:p>
    <w:p w14:paraId="78AA10CF" w14:textId="77777777" w:rsidR="00BD524F" w:rsidRPr="00A74FA3" w:rsidRDefault="002E50F2">
      <w:pPr>
        <w:jc w:val="center"/>
        <w:rPr>
          <w:rFonts w:ascii="Times New Roman" w:hAnsi="Times New Roman"/>
          <w:sz w:val="24"/>
          <w:szCs w:val="24"/>
        </w:rPr>
      </w:pPr>
      <w:r w:rsidRPr="00A74FA3">
        <w:rPr>
          <w:rFonts w:ascii="Times New Roman" w:hAnsi="Times New Roman"/>
          <w:sz w:val="24"/>
          <w:szCs w:val="24"/>
        </w:rPr>
        <w:t>Avishek Poddar</w:t>
      </w:r>
      <w:commentRangeStart w:id="0"/>
    </w:p>
    <w:p w14:paraId="2F53CFEF" w14:textId="77777777" w:rsidR="00BD524F" w:rsidRPr="00A74FA3" w:rsidRDefault="002E50F2">
      <w:pPr>
        <w:jc w:val="center"/>
        <w:rPr>
          <w:rFonts w:ascii="Times New Roman" w:hAnsi="Times New Roman"/>
          <w:sz w:val="24"/>
          <w:szCs w:val="24"/>
        </w:rPr>
      </w:pPr>
      <w:r w:rsidRPr="00A74FA3">
        <w:rPr>
          <w:rFonts w:ascii="Times New Roman" w:hAnsi="Times New Roman"/>
          <w:sz w:val="24"/>
          <w:szCs w:val="24"/>
        </w:rPr>
        <w:t>ID</w:t>
      </w:r>
      <w:r w:rsidR="00F31C85" w:rsidRPr="00A74FA3">
        <w:rPr>
          <w:rFonts w:ascii="Times New Roman" w:hAnsi="Times New Roman"/>
          <w:sz w:val="24"/>
          <w:szCs w:val="24"/>
        </w:rPr>
        <w:t>:</w:t>
      </w:r>
      <w:r w:rsidRPr="00A74FA3">
        <w:rPr>
          <w:rFonts w:ascii="Times New Roman" w:hAnsi="Times New Roman"/>
          <w:sz w:val="24"/>
          <w:szCs w:val="24"/>
        </w:rPr>
        <w:t xml:space="preserve"> 111 211 023</w:t>
      </w:r>
    </w:p>
    <w:p w14:paraId="3D5CCBAE" w14:textId="77777777" w:rsidR="00BD524F" w:rsidRPr="00A74FA3" w:rsidRDefault="00F31C85">
      <w:pPr>
        <w:jc w:val="center"/>
        <w:rPr>
          <w:rFonts w:ascii="Times New Roman" w:hAnsi="Times New Roman"/>
          <w:sz w:val="24"/>
          <w:szCs w:val="24"/>
        </w:rPr>
      </w:pPr>
      <w:r w:rsidRPr="00A74FA3">
        <w:rPr>
          <w:rFonts w:ascii="Times New Roman" w:hAnsi="Times New Roman"/>
          <w:sz w:val="24"/>
          <w:szCs w:val="24"/>
        </w:rPr>
        <w:t>Major:</w:t>
      </w:r>
      <w:r w:rsidR="002E50F2" w:rsidRPr="00A74FA3">
        <w:rPr>
          <w:rFonts w:ascii="Times New Roman" w:hAnsi="Times New Roman"/>
          <w:sz w:val="24"/>
          <w:szCs w:val="24"/>
        </w:rPr>
        <w:t xml:space="preserve"> Finance and Fintech</w:t>
      </w:r>
    </w:p>
    <w:p w14:paraId="2BFEB378" w14:textId="77777777" w:rsidR="00BD524F" w:rsidRPr="00A74FA3" w:rsidRDefault="00F31C85">
      <w:pPr>
        <w:jc w:val="center"/>
        <w:rPr>
          <w:rFonts w:ascii="Times New Roman" w:hAnsi="Times New Roman"/>
          <w:sz w:val="24"/>
          <w:szCs w:val="24"/>
        </w:rPr>
      </w:pPr>
      <w:r w:rsidRPr="00A74FA3">
        <w:rPr>
          <w:rFonts w:ascii="Times New Roman" w:hAnsi="Times New Roman"/>
          <w:sz w:val="24"/>
          <w:szCs w:val="24"/>
        </w:rPr>
        <w:t xml:space="preserve">Registration Trimester: </w:t>
      </w:r>
      <w:commentRangeEnd w:id="0"/>
      <w:r w:rsidRPr="00A74FA3">
        <w:rPr>
          <w:rStyle w:val="CommentReference"/>
          <w:rFonts w:ascii="Times New Roman" w:hAnsi="Times New Roman"/>
          <w:sz w:val="24"/>
          <w:szCs w:val="24"/>
        </w:rPr>
        <w:commentReference w:id="0"/>
      </w:r>
      <w:r w:rsidR="004A6A95" w:rsidRPr="00A74FA3">
        <w:rPr>
          <w:rFonts w:ascii="Times New Roman" w:hAnsi="Times New Roman"/>
          <w:sz w:val="24"/>
          <w:szCs w:val="24"/>
        </w:rPr>
        <w:t>Summer 2025</w:t>
      </w:r>
    </w:p>
    <w:p w14:paraId="6537D397" w14:textId="77777777" w:rsidR="00BD524F" w:rsidRPr="00A74FA3" w:rsidRDefault="00BD524F">
      <w:pPr>
        <w:jc w:val="center"/>
        <w:rPr>
          <w:rFonts w:ascii="Times New Roman" w:hAnsi="Times New Roman"/>
          <w:sz w:val="24"/>
          <w:szCs w:val="24"/>
        </w:rPr>
      </w:pPr>
    </w:p>
    <w:p w14:paraId="29BD2F42" w14:textId="77777777" w:rsidR="00BD524F" w:rsidRPr="00A74FA3" w:rsidRDefault="00F31C85">
      <w:pPr>
        <w:jc w:val="center"/>
        <w:rPr>
          <w:rFonts w:ascii="Times New Roman" w:hAnsi="Times New Roman"/>
          <w:sz w:val="24"/>
          <w:szCs w:val="24"/>
        </w:rPr>
      </w:pPr>
      <w:r w:rsidRPr="00A74FA3">
        <w:rPr>
          <w:rFonts w:ascii="Times New Roman" w:hAnsi="Times New Roman"/>
          <w:noProof/>
        </w:rPr>
        <w:drawing>
          <wp:inline distT="0" distB="0" distL="0" distR="0" wp14:anchorId="28A777A9" wp14:editId="3BA659FF">
            <wp:extent cx="724535" cy="662305"/>
            <wp:effectExtent l="0" t="0" r="0" b="4445"/>
            <wp:docPr id="2" name="Picture 2" descr="https://upload.wikimedia.org/wikipedia/en/thumb/6/6b/United_International_University_Monogram.svg/200px-United_International_University_Monogra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upload.wikimedia.org/wikipedia/en/thumb/6/6b/United_International_University_Monogram.svg/200px-United_International_University_Monogram.svg.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726922" cy="664448"/>
                    </a:xfrm>
                    <a:prstGeom prst="rect">
                      <a:avLst/>
                    </a:prstGeom>
                    <a:noFill/>
                    <a:ln>
                      <a:noFill/>
                    </a:ln>
                  </pic:spPr>
                </pic:pic>
              </a:graphicData>
            </a:graphic>
          </wp:inline>
        </w:drawing>
      </w:r>
    </w:p>
    <w:p w14:paraId="59CAC3ED" w14:textId="77777777" w:rsidR="00BD524F" w:rsidRPr="00A74FA3" w:rsidRDefault="00F31C85">
      <w:pPr>
        <w:jc w:val="center"/>
        <w:rPr>
          <w:rFonts w:ascii="Times New Roman" w:hAnsi="Times New Roman"/>
          <w:b/>
          <w:sz w:val="32"/>
          <w:szCs w:val="32"/>
        </w:rPr>
      </w:pPr>
      <w:commentRangeStart w:id="1"/>
      <w:r w:rsidRPr="00A74FA3">
        <w:rPr>
          <w:rFonts w:ascii="Times New Roman" w:hAnsi="Times New Roman"/>
          <w:b/>
          <w:sz w:val="32"/>
          <w:szCs w:val="32"/>
        </w:rPr>
        <w:t xml:space="preserve">School of Business and Economics </w:t>
      </w:r>
      <w:commentRangeEnd w:id="1"/>
      <w:r w:rsidRPr="00A74FA3">
        <w:rPr>
          <w:rStyle w:val="CommentReference"/>
          <w:rFonts w:ascii="Times New Roman" w:hAnsi="Times New Roman"/>
          <w:b/>
          <w:sz w:val="32"/>
          <w:szCs w:val="32"/>
        </w:rPr>
        <w:commentReference w:id="1"/>
      </w:r>
    </w:p>
    <w:p w14:paraId="52CB49D7" w14:textId="77777777" w:rsidR="00BD524F" w:rsidRPr="00A74FA3" w:rsidRDefault="00F31C85">
      <w:pPr>
        <w:jc w:val="center"/>
        <w:rPr>
          <w:rFonts w:ascii="Times New Roman" w:hAnsi="Times New Roman"/>
          <w:b/>
          <w:sz w:val="40"/>
          <w:szCs w:val="40"/>
        </w:rPr>
      </w:pPr>
      <w:commentRangeStart w:id="2"/>
      <w:r w:rsidRPr="00A74FA3">
        <w:rPr>
          <w:rFonts w:ascii="Times New Roman" w:hAnsi="Times New Roman"/>
          <w:b/>
          <w:sz w:val="40"/>
          <w:szCs w:val="40"/>
        </w:rPr>
        <w:t xml:space="preserve">United </w:t>
      </w:r>
      <w:r w:rsidRPr="00A74FA3">
        <w:rPr>
          <w:rFonts w:ascii="Times New Roman" w:hAnsi="Times New Roman"/>
          <w:sz w:val="40"/>
          <w:szCs w:val="40"/>
        </w:rPr>
        <w:t>International</w:t>
      </w:r>
      <w:r w:rsidRPr="00A74FA3">
        <w:rPr>
          <w:rFonts w:ascii="Times New Roman" w:hAnsi="Times New Roman"/>
          <w:b/>
          <w:sz w:val="40"/>
          <w:szCs w:val="40"/>
        </w:rPr>
        <w:t xml:space="preserve"> University </w:t>
      </w:r>
      <w:commentRangeEnd w:id="2"/>
      <w:r w:rsidRPr="00A74FA3">
        <w:rPr>
          <w:rStyle w:val="CommentReference"/>
          <w:rFonts w:ascii="Times New Roman" w:hAnsi="Times New Roman"/>
          <w:b/>
          <w:sz w:val="40"/>
          <w:szCs w:val="40"/>
        </w:rPr>
        <w:commentReference w:id="2"/>
      </w:r>
    </w:p>
    <w:p w14:paraId="5BDCA8C7" w14:textId="77777777" w:rsidR="00BD524F" w:rsidRPr="00A74FA3" w:rsidRDefault="00BD524F">
      <w:pPr>
        <w:jc w:val="center"/>
        <w:rPr>
          <w:rFonts w:ascii="Times New Roman" w:hAnsi="Times New Roman"/>
          <w:b/>
          <w:sz w:val="40"/>
          <w:szCs w:val="40"/>
        </w:rPr>
      </w:pPr>
    </w:p>
    <w:p w14:paraId="3B43B4CF" w14:textId="77777777" w:rsidR="00BD524F" w:rsidRPr="0090351D" w:rsidRDefault="00F31C85">
      <w:pPr>
        <w:jc w:val="center"/>
        <w:rPr>
          <w:rFonts w:ascii="Times New Roman" w:hAnsi="Times New Roman"/>
          <w:b/>
          <w:sz w:val="28"/>
          <w:szCs w:val="28"/>
        </w:rPr>
      </w:pPr>
      <w:r w:rsidRPr="00A74FA3">
        <w:rPr>
          <w:rFonts w:ascii="Times New Roman" w:hAnsi="Times New Roman"/>
          <w:b/>
          <w:sz w:val="28"/>
          <w:szCs w:val="28"/>
        </w:rPr>
        <w:t xml:space="preserve">Date of submission: </w:t>
      </w:r>
      <w:r w:rsidR="0090351D">
        <w:rPr>
          <w:rFonts w:ascii="Times New Roman" w:hAnsi="Times New Roman"/>
          <w:b/>
          <w:sz w:val="28"/>
          <w:szCs w:val="28"/>
        </w:rPr>
        <w:t>24</w:t>
      </w:r>
      <w:r w:rsidR="0090351D">
        <w:rPr>
          <w:rFonts w:ascii="Times New Roman" w:hAnsi="Times New Roman"/>
          <w:b/>
          <w:sz w:val="28"/>
          <w:szCs w:val="28"/>
          <w:vertAlign w:val="superscript"/>
        </w:rPr>
        <w:t xml:space="preserve">th </w:t>
      </w:r>
      <w:r w:rsidR="0090351D">
        <w:rPr>
          <w:rFonts w:ascii="Times New Roman" w:hAnsi="Times New Roman"/>
          <w:b/>
          <w:sz w:val="28"/>
          <w:szCs w:val="28"/>
        </w:rPr>
        <w:t>November, 2025</w:t>
      </w:r>
    </w:p>
    <w:p w14:paraId="2F7C2CDC" w14:textId="77777777" w:rsidR="00BD524F" w:rsidRPr="00A74FA3" w:rsidRDefault="00F31C85" w:rsidP="009135BE">
      <w:pPr>
        <w:pStyle w:val="Heading1"/>
        <w:rPr>
          <w:rFonts w:ascii="Times New Roman" w:hAnsi="Times New Roman" w:cs="Times New Roman"/>
        </w:rPr>
      </w:pPr>
      <w:bookmarkStart w:id="3" w:name="_Toc214949001"/>
      <w:r w:rsidRPr="00A74FA3">
        <w:rPr>
          <w:rFonts w:ascii="Times New Roman" w:hAnsi="Times New Roman" w:cs="Times New Roman"/>
        </w:rPr>
        <w:lastRenderedPageBreak/>
        <w:t>Letter of Transmittal</w:t>
      </w:r>
      <w:bookmarkEnd w:id="3"/>
    </w:p>
    <w:p w14:paraId="49D1CE96" w14:textId="77777777" w:rsidR="00D4627F" w:rsidRPr="00D4627F" w:rsidRDefault="00D4627F" w:rsidP="00D4627F"/>
    <w:p w14:paraId="10EF2218" w14:textId="77777777" w:rsidR="007A778F" w:rsidRDefault="007A778F" w:rsidP="007A778F"/>
    <w:p w14:paraId="40FB9EC7" w14:textId="77777777" w:rsidR="007A778F" w:rsidRPr="00366B6F" w:rsidRDefault="007A778F" w:rsidP="00366B6F">
      <w:pPr>
        <w:spacing w:line="360" w:lineRule="auto"/>
        <w:jc w:val="both"/>
        <w:rPr>
          <w:rFonts w:ascii="Times New Roman" w:hAnsi="Times New Roman"/>
          <w:sz w:val="24"/>
          <w:szCs w:val="24"/>
        </w:rPr>
      </w:pPr>
      <w:r w:rsidRPr="00366B6F">
        <w:rPr>
          <w:rFonts w:ascii="Times New Roman" w:hAnsi="Times New Roman"/>
          <w:sz w:val="24"/>
          <w:szCs w:val="24"/>
        </w:rPr>
        <w:t>24</w:t>
      </w:r>
      <w:r w:rsidRPr="00366B6F">
        <w:rPr>
          <w:rFonts w:ascii="Times New Roman" w:hAnsi="Times New Roman"/>
          <w:sz w:val="24"/>
          <w:szCs w:val="24"/>
          <w:vertAlign w:val="superscript"/>
        </w:rPr>
        <w:t xml:space="preserve">th </w:t>
      </w:r>
      <w:r w:rsidRPr="00366B6F">
        <w:rPr>
          <w:rFonts w:ascii="Times New Roman" w:hAnsi="Times New Roman"/>
          <w:sz w:val="24"/>
          <w:szCs w:val="24"/>
        </w:rPr>
        <w:t>November, 2025</w:t>
      </w:r>
    </w:p>
    <w:p w14:paraId="10070AA4" w14:textId="77777777" w:rsidR="007A778F" w:rsidRPr="00366B6F" w:rsidRDefault="007A778F" w:rsidP="00366B6F">
      <w:pPr>
        <w:spacing w:line="360" w:lineRule="auto"/>
        <w:jc w:val="both"/>
        <w:rPr>
          <w:rFonts w:ascii="Times New Roman" w:hAnsi="Times New Roman"/>
          <w:sz w:val="24"/>
          <w:szCs w:val="24"/>
        </w:rPr>
      </w:pPr>
      <w:r w:rsidRPr="00366B6F">
        <w:rPr>
          <w:rFonts w:ascii="Times New Roman" w:hAnsi="Times New Roman"/>
          <w:sz w:val="24"/>
          <w:szCs w:val="24"/>
        </w:rPr>
        <w:t>Mr. Muhammad Enamul Haque</w:t>
      </w:r>
    </w:p>
    <w:p w14:paraId="793000F4" w14:textId="77777777" w:rsidR="007A778F" w:rsidRPr="00366B6F" w:rsidRDefault="007A778F" w:rsidP="00366B6F">
      <w:pPr>
        <w:spacing w:line="360" w:lineRule="auto"/>
        <w:jc w:val="both"/>
        <w:rPr>
          <w:rFonts w:ascii="Times New Roman" w:hAnsi="Times New Roman"/>
          <w:sz w:val="24"/>
          <w:szCs w:val="24"/>
        </w:rPr>
      </w:pPr>
      <w:r w:rsidRPr="00366B6F">
        <w:rPr>
          <w:rFonts w:ascii="Times New Roman" w:hAnsi="Times New Roman"/>
          <w:sz w:val="24"/>
          <w:szCs w:val="24"/>
        </w:rPr>
        <w:t>Assistant Professor,</w:t>
      </w:r>
    </w:p>
    <w:p w14:paraId="41A18681" w14:textId="77777777" w:rsidR="007A778F" w:rsidRPr="00366B6F" w:rsidRDefault="007A778F" w:rsidP="00366B6F">
      <w:pPr>
        <w:spacing w:line="360" w:lineRule="auto"/>
        <w:jc w:val="both"/>
        <w:rPr>
          <w:rFonts w:ascii="Times New Roman" w:hAnsi="Times New Roman"/>
          <w:sz w:val="24"/>
          <w:szCs w:val="24"/>
        </w:rPr>
      </w:pPr>
      <w:r w:rsidRPr="00366B6F">
        <w:rPr>
          <w:rFonts w:ascii="Times New Roman" w:hAnsi="Times New Roman"/>
          <w:sz w:val="24"/>
          <w:szCs w:val="24"/>
        </w:rPr>
        <w:t>School of Business &amp; Economics</w:t>
      </w:r>
    </w:p>
    <w:p w14:paraId="6CB1D20F" w14:textId="77777777" w:rsidR="007A778F" w:rsidRPr="00366B6F" w:rsidRDefault="00E25F09" w:rsidP="00366B6F">
      <w:pPr>
        <w:spacing w:line="360" w:lineRule="auto"/>
        <w:jc w:val="both"/>
        <w:rPr>
          <w:rFonts w:ascii="Times New Roman" w:hAnsi="Times New Roman"/>
          <w:sz w:val="24"/>
          <w:szCs w:val="24"/>
        </w:rPr>
      </w:pPr>
      <w:r w:rsidRPr="00366B6F">
        <w:rPr>
          <w:rFonts w:ascii="Times New Roman" w:hAnsi="Times New Roman"/>
          <w:sz w:val="24"/>
          <w:szCs w:val="24"/>
        </w:rPr>
        <w:t>United International University.</w:t>
      </w:r>
    </w:p>
    <w:p w14:paraId="7CD4896C" w14:textId="77777777" w:rsidR="00E25F09" w:rsidRPr="00366B6F" w:rsidRDefault="00E25F09" w:rsidP="00366B6F">
      <w:pPr>
        <w:spacing w:line="360" w:lineRule="auto"/>
        <w:jc w:val="both"/>
        <w:rPr>
          <w:rFonts w:ascii="Times New Roman" w:hAnsi="Times New Roman"/>
          <w:sz w:val="24"/>
          <w:szCs w:val="24"/>
        </w:rPr>
      </w:pPr>
      <w:r w:rsidRPr="00366B6F">
        <w:rPr>
          <w:rFonts w:ascii="Times New Roman" w:hAnsi="Times New Roman"/>
          <w:sz w:val="24"/>
          <w:szCs w:val="24"/>
        </w:rPr>
        <w:t>Subject: Application for submission of Internship Report.</w:t>
      </w:r>
    </w:p>
    <w:p w14:paraId="00A8FDBB" w14:textId="77777777" w:rsidR="00E25F09" w:rsidRPr="00366B6F" w:rsidRDefault="00E25F09" w:rsidP="00366B6F">
      <w:pPr>
        <w:spacing w:line="360" w:lineRule="auto"/>
        <w:jc w:val="both"/>
        <w:rPr>
          <w:rFonts w:ascii="Times New Roman" w:hAnsi="Times New Roman"/>
          <w:sz w:val="24"/>
          <w:szCs w:val="24"/>
        </w:rPr>
      </w:pPr>
      <w:r w:rsidRPr="00366B6F">
        <w:rPr>
          <w:rFonts w:ascii="Times New Roman" w:hAnsi="Times New Roman"/>
          <w:sz w:val="24"/>
          <w:szCs w:val="24"/>
        </w:rPr>
        <w:t>Dear Sir,</w:t>
      </w:r>
    </w:p>
    <w:p w14:paraId="6E1AAE65" w14:textId="77777777" w:rsidR="00E95351" w:rsidRDefault="00E95351" w:rsidP="00E95351">
      <w:pPr>
        <w:spacing w:after="0" w:line="360" w:lineRule="auto"/>
        <w:jc w:val="both"/>
        <w:rPr>
          <w:rFonts w:ascii="Times New Roman" w:eastAsia="Times New Roman" w:hAnsi="Times New Roman"/>
          <w:sz w:val="24"/>
          <w:szCs w:val="24"/>
        </w:rPr>
      </w:pPr>
      <w:r w:rsidRPr="00E95351">
        <w:rPr>
          <w:rFonts w:ascii="Times New Roman" w:eastAsia="Times New Roman" w:hAnsi="Times New Roman"/>
          <w:sz w:val="24"/>
          <w:szCs w:val="24"/>
        </w:rPr>
        <w:t xml:space="preserve">This is a complete report on risk management </w:t>
      </w:r>
      <w:r>
        <w:rPr>
          <w:rFonts w:ascii="Times New Roman" w:eastAsia="Times New Roman" w:hAnsi="Times New Roman"/>
          <w:sz w:val="24"/>
          <w:szCs w:val="24"/>
        </w:rPr>
        <w:t xml:space="preserve">practices of </w:t>
      </w:r>
      <w:r w:rsidRPr="00E95351">
        <w:rPr>
          <w:rFonts w:ascii="Times New Roman" w:eastAsia="Times New Roman" w:hAnsi="Times New Roman"/>
          <w:sz w:val="24"/>
          <w:szCs w:val="24"/>
        </w:rPr>
        <w:t>Dhaka Bank</w:t>
      </w:r>
      <w:r w:rsidRPr="00E95351">
        <w:rPr>
          <w:rFonts w:ascii="Times New Roman" w:eastAsia="Times New Roman" w:hAnsi="Times New Roman"/>
          <w:sz w:val="24"/>
          <w:szCs w:val="24"/>
        </w:rPr>
        <w:t> </w:t>
      </w:r>
      <w:r w:rsidRPr="00E95351">
        <w:rPr>
          <w:rFonts w:ascii="Times New Roman" w:eastAsia="Times New Roman" w:hAnsi="Times New Roman"/>
          <w:sz w:val="24"/>
          <w:szCs w:val="24"/>
        </w:rPr>
        <w:t>PLC.</w:t>
      </w:r>
    </w:p>
    <w:p w14:paraId="10A15321" w14:textId="77777777" w:rsidR="00E95351" w:rsidRDefault="00E95351" w:rsidP="00E95351">
      <w:pPr>
        <w:spacing w:after="0" w:line="360" w:lineRule="auto"/>
        <w:jc w:val="both"/>
        <w:rPr>
          <w:rFonts w:ascii="Times New Roman" w:eastAsia="Times New Roman" w:hAnsi="Times New Roman"/>
          <w:sz w:val="24"/>
          <w:szCs w:val="24"/>
        </w:rPr>
      </w:pPr>
      <w:r w:rsidRPr="00E95351">
        <w:rPr>
          <w:rFonts w:ascii="Times New Roman" w:eastAsia="Times New Roman" w:hAnsi="Times New Roman"/>
          <w:sz w:val="24"/>
          <w:szCs w:val="24"/>
        </w:rPr>
        <w:t>I have gained</w:t>
      </w:r>
      <w:r w:rsidRPr="00E95351">
        <w:rPr>
          <w:rFonts w:ascii="Times New Roman" w:eastAsia="Times New Roman" w:hAnsi="Times New Roman"/>
          <w:sz w:val="24"/>
          <w:szCs w:val="24"/>
        </w:rPr>
        <w:t> </w:t>
      </w:r>
      <w:r w:rsidRPr="00E95351">
        <w:rPr>
          <w:rFonts w:ascii="Times New Roman" w:eastAsia="Times New Roman" w:hAnsi="Times New Roman"/>
          <w:sz w:val="24"/>
          <w:szCs w:val="24"/>
        </w:rPr>
        <w:t>knowledge from internship regarding the hardcore business execution of Dhaka Bank's risk management work. It's been a good experience to</w:t>
      </w:r>
      <w:r w:rsidRPr="00E95351">
        <w:rPr>
          <w:rFonts w:ascii="Times New Roman" w:eastAsia="Times New Roman" w:hAnsi="Times New Roman"/>
          <w:sz w:val="24"/>
          <w:szCs w:val="24"/>
        </w:rPr>
        <w:t> </w:t>
      </w:r>
      <w:r w:rsidRPr="00E95351">
        <w:rPr>
          <w:rFonts w:ascii="Times New Roman" w:eastAsia="Times New Roman" w:hAnsi="Times New Roman"/>
          <w:sz w:val="24"/>
          <w:szCs w:val="24"/>
        </w:rPr>
        <w:t>write this report, I understand quite well many concepts that have been exposed in the course through lived experiences.</w:t>
      </w:r>
    </w:p>
    <w:p w14:paraId="17FED05D" w14:textId="77777777" w:rsidR="00E95351" w:rsidRPr="00E95351" w:rsidRDefault="00E95351" w:rsidP="00E95351">
      <w:pPr>
        <w:spacing w:after="0" w:line="360" w:lineRule="auto"/>
        <w:jc w:val="both"/>
        <w:rPr>
          <w:rFonts w:ascii="Times New Roman" w:eastAsia="Times New Roman" w:hAnsi="Times New Roman"/>
          <w:sz w:val="24"/>
          <w:szCs w:val="24"/>
        </w:rPr>
      </w:pPr>
    </w:p>
    <w:p w14:paraId="258C3C2E" w14:textId="77777777" w:rsidR="00E25F09" w:rsidRDefault="00E95351" w:rsidP="00E95351">
      <w:pPr>
        <w:spacing w:after="0" w:line="360" w:lineRule="auto"/>
        <w:jc w:val="both"/>
        <w:rPr>
          <w:rFonts w:ascii="Times New Roman" w:eastAsia="Times New Roman" w:hAnsi="Times New Roman"/>
          <w:sz w:val="24"/>
          <w:szCs w:val="24"/>
        </w:rPr>
      </w:pPr>
      <w:r w:rsidRPr="00E95351">
        <w:rPr>
          <w:rFonts w:ascii="Times New Roman" w:eastAsia="Times New Roman" w:hAnsi="Times New Roman"/>
          <w:sz w:val="24"/>
          <w:szCs w:val="24"/>
        </w:rPr>
        <w:t>I've tried my best to put together the information you asked for in</w:t>
      </w:r>
      <w:r w:rsidRPr="00E95351">
        <w:rPr>
          <w:rFonts w:ascii="Times New Roman" w:eastAsia="Times New Roman" w:hAnsi="Times New Roman"/>
          <w:sz w:val="24"/>
          <w:szCs w:val="24"/>
        </w:rPr>
        <w:t> </w:t>
      </w:r>
      <w:r w:rsidRPr="00E95351">
        <w:rPr>
          <w:rFonts w:ascii="Times New Roman" w:eastAsia="Times New Roman" w:hAnsi="Times New Roman"/>
          <w:sz w:val="24"/>
          <w:szCs w:val="24"/>
        </w:rPr>
        <w:t xml:space="preserve">a timely manner and if you need more details </w:t>
      </w:r>
      <w:r>
        <w:rPr>
          <w:rFonts w:ascii="Times New Roman" w:eastAsia="Times New Roman" w:hAnsi="Times New Roman"/>
          <w:sz w:val="24"/>
          <w:szCs w:val="24"/>
        </w:rPr>
        <w:t>I am</w:t>
      </w:r>
      <w:r w:rsidRPr="00E95351">
        <w:rPr>
          <w:rFonts w:ascii="Times New Roman" w:eastAsia="Times New Roman" w:hAnsi="Times New Roman"/>
          <w:sz w:val="24"/>
          <w:szCs w:val="24"/>
        </w:rPr>
        <w:t xml:space="preserve"> happy to help. Thank you so much, sir, for your help and</w:t>
      </w:r>
      <w:r w:rsidRPr="00E95351">
        <w:rPr>
          <w:rFonts w:ascii="Times New Roman" w:eastAsia="Times New Roman" w:hAnsi="Times New Roman"/>
          <w:sz w:val="24"/>
          <w:szCs w:val="24"/>
        </w:rPr>
        <w:t> </w:t>
      </w:r>
      <w:r w:rsidRPr="00E95351">
        <w:rPr>
          <w:rFonts w:ascii="Times New Roman" w:eastAsia="Times New Roman" w:hAnsi="Times New Roman"/>
          <w:sz w:val="24"/>
          <w:szCs w:val="24"/>
        </w:rPr>
        <w:t>words of encouragement. I am happy to have your full question and proud to</w:t>
      </w:r>
      <w:r w:rsidRPr="00E95351">
        <w:rPr>
          <w:rFonts w:ascii="Times New Roman" w:eastAsia="Times New Roman" w:hAnsi="Times New Roman"/>
          <w:sz w:val="24"/>
          <w:szCs w:val="24"/>
        </w:rPr>
        <w:t> </w:t>
      </w:r>
      <w:r w:rsidRPr="00E95351">
        <w:rPr>
          <w:rFonts w:ascii="Times New Roman" w:eastAsia="Times New Roman" w:hAnsi="Times New Roman"/>
          <w:sz w:val="24"/>
          <w:szCs w:val="24"/>
        </w:rPr>
        <w:t>answer it.</w:t>
      </w:r>
    </w:p>
    <w:p w14:paraId="0FED73A0" w14:textId="77777777" w:rsidR="00366B6F" w:rsidRDefault="00366B6F" w:rsidP="00366B6F">
      <w:pPr>
        <w:spacing w:after="0" w:line="360" w:lineRule="auto"/>
        <w:jc w:val="both"/>
        <w:rPr>
          <w:rFonts w:ascii="Times New Roman" w:eastAsia="Times New Roman" w:hAnsi="Times New Roman"/>
          <w:sz w:val="24"/>
          <w:szCs w:val="24"/>
        </w:rPr>
      </w:pPr>
    </w:p>
    <w:p w14:paraId="23797C78" w14:textId="77777777" w:rsidR="00366B6F" w:rsidRDefault="00366B6F" w:rsidP="00366B6F">
      <w:pPr>
        <w:spacing w:after="0" w:line="360" w:lineRule="auto"/>
        <w:jc w:val="both"/>
        <w:rPr>
          <w:rFonts w:ascii="Times New Roman" w:eastAsia="Times New Roman" w:hAnsi="Times New Roman"/>
          <w:sz w:val="24"/>
          <w:szCs w:val="24"/>
        </w:rPr>
      </w:pPr>
      <w:r w:rsidRPr="00366B6F">
        <w:rPr>
          <w:rFonts w:ascii="Times New Roman" w:eastAsia="Times New Roman" w:hAnsi="Times New Roman"/>
          <w:sz w:val="24"/>
          <w:szCs w:val="24"/>
        </w:rPr>
        <w:t>Yours sincerely,</w:t>
      </w:r>
    </w:p>
    <w:p w14:paraId="06A8DC0B" w14:textId="77777777" w:rsidR="00366B6F" w:rsidRDefault="00366B6F" w:rsidP="00366B6F">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Avishek Poddar</w:t>
      </w:r>
    </w:p>
    <w:p w14:paraId="170E3A4F" w14:textId="77777777" w:rsidR="00366B6F" w:rsidRDefault="00366B6F" w:rsidP="00366B6F">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ID: 111 211 023</w:t>
      </w:r>
    </w:p>
    <w:p w14:paraId="17DFB7E7" w14:textId="77777777" w:rsidR="001D4117" w:rsidRPr="001D4117" w:rsidRDefault="001D4117" w:rsidP="001D4117">
      <w:pPr>
        <w:spacing w:after="0" w:line="360" w:lineRule="auto"/>
        <w:jc w:val="both"/>
        <w:rPr>
          <w:rFonts w:ascii="Times New Roman" w:eastAsia="Times New Roman" w:hAnsi="Times New Roman"/>
          <w:sz w:val="24"/>
          <w:szCs w:val="24"/>
        </w:rPr>
      </w:pPr>
      <w:r w:rsidRPr="001D4117">
        <w:rPr>
          <w:rFonts w:ascii="Times New Roman" w:eastAsia="Times New Roman" w:hAnsi="Times New Roman"/>
          <w:sz w:val="24"/>
          <w:szCs w:val="24"/>
        </w:rPr>
        <w:t>Major: Finance and Fintech</w:t>
      </w:r>
    </w:p>
    <w:p w14:paraId="7C9ECC2A" w14:textId="77777777" w:rsidR="001D4117" w:rsidRPr="00E25F09" w:rsidRDefault="001D4117" w:rsidP="001D4117">
      <w:pPr>
        <w:spacing w:after="0" w:line="360" w:lineRule="auto"/>
        <w:jc w:val="both"/>
        <w:rPr>
          <w:rFonts w:ascii="Times New Roman" w:eastAsia="Times New Roman" w:hAnsi="Times New Roman"/>
          <w:sz w:val="24"/>
          <w:szCs w:val="24"/>
        </w:rPr>
      </w:pPr>
      <w:r w:rsidRPr="001D4117">
        <w:rPr>
          <w:rFonts w:ascii="Times New Roman" w:eastAsia="Times New Roman" w:hAnsi="Times New Roman"/>
          <w:sz w:val="24"/>
          <w:szCs w:val="24"/>
        </w:rPr>
        <w:t>United International University</w:t>
      </w:r>
    </w:p>
    <w:p w14:paraId="730B70C0" w14:textId="77777777" w:rsidR="00E25F09" w:rsidRDefault="00E25F09" w:rsidP="007A778F">
      <w:pPr>
        <w:spacing w:line="360" w:lineRule="auto"/>
        <w:jc w:val="both"/>
        <w:rPr>
          <w:rFonts w:ascii="Times New Roman" w:hAnsi="Times New Roman"/>
          <w:sz w:val="24"/>
          <w:szCs w:val="24"/>
        </w:rPr>
      </w:pPr>
    </w:p>
    <w:p w14:paraId="18F15B95" w14:textId="6525040C" w:rsidR="00AC5F76" w:rsidRDefault="00F31C85" w:rsidP="006472C1">
      <w:pPr>
        <w:pStyle w:val="Heading1"/>
        <w:rPr>
          <w:rFonts w:ascii="Times New Roman" w:hAnsi="Times New Roman" w:cs="Times New Roman"/>
        </w:rPr>
      </w:pPr>
      <w:bookmarkStart w:id="4" w:name="_Toc214949002"/>
      <w:commentRangeStart w:id="5"/>
      <w:r w:rsidRPr="00A74FA3">
        <w:rPr>
          <w:rFonts w:ascii="Times New Roman" w:hAnsi="Times New Roman" w:cs="Times New Roman"/>
        </w:rPr>
        <w:lastRenderedPageBreak/>
        <w:t>Certification of Similarity Index</w:t>
      </w:r>
      <w:bookmarkEnd w:id="4"/>
      <w:commentRangeEnd w:id="5"/>
      <w:r>
        <w:rPr>
          <w:rStyle w:val="CommentReference"/>
          <w:rFonts w:ascii="Times New Roman" w:hAnsi="Times New Roman" w:cs="Times New Roman"/>
          <w:sz w:val="32"/>
          <w:szCs w:val="28"/>
        </w:rPr>
        <w:commentReference w:id="5"/>
      </w:r>
    </w:p>
    <w:p w14:paraId="4238AFCB" w14:textId="77777777" w:rsidR="00AC5F76" w:rsidRDefault="00AC5F76" w:rsidP="00AC5F76">
      <w:pPr>
        <w:spacing w:after="0" w:line="240" w:lineRule="auto"/>
        <w:rPr>
          <w:rFonts w:ascii="Times New Roman" w:hAnsi="Times New Roman"/>
        </w:rPr>
      </w:pPr>
    </w:p>
    <w:p w14:paraId="01DEE36E" w14:textId="77777777" w:rsidR="00AC5F76" w:rsidRDefault="00AC5F76" w:rsidP="00AC5F76">
      <w:pPr>
        <w:spacing w:after="0" w:line="360" w:lineRule="auto"/>
        <w:jc w:val="both"/>
        <w:rPr>
          <w:rFonts w:ascii="Times New Roman" w:hAnsi="Times New Roman"/>
          <w:sz w:val="24"/>
          <w:szCs w:val="24"/>
        </w:rPr>
      </w:pPr>
    </w:p>
    <w:p w14:paraId="2298D598" w14:textId="77777777" w:rsidR="00AC5F76" w:rsidRDefault="00AC5F76" w:rsidP="00AC5F76">
      <w:pPr>
        <w:spacing w:after="0" w:line="360" w:lineRule="auto"/>
        <w:jc w:val="both"/>
        <w:rPr>
          <w:rFonts w:ascii="Times New Roman" w:hAnsi="Times New Roman"/>
          <w:sz w:val="24"/>
          <w:szCs w:val="24"/>
        </w:rPr>
      </w:pPr>
      <w:r w:rsidRPr="00AC5F76">
        <w:rPr>
          <w:rFonts w:ascii="Times New Roman" w:hAnsi="Times New Roman"/>
          <w:sz w:val="24"/>
          <w:szCs w:val="24"/>
        </w:rPr>
        <w:t>This certifies that the work completed under my supervision resulted in this internship report. I attest that the report satisfies the academic and quality requirements set out by United International University (UIU). In order to confirm that the work is free of plagiarism, I also confirm that the report's similarity index, according to the plagiarism detection report, is within the acceptable range established by the university.</w:t>
      </w:r>
    </w:p>
    <w:p w14:paraId="6B0AD486" w14:textId="77777777" w:rsidR="00AC5F76" w:rsidRDefault="00AC5F76" w:rsidP="00AC5F76">
      <w:pPr>
        <w:spacing w:after="0" w:line="360" w:lineRule="auto"/>
        <w:jc w:val="both"/>
        <w:rPr>
          <w:rFonts w:ascii="Times New Roman" w:hAnsi="Times New Roman"/>
          <w:sz w:val="24"/>
          <w:szCs w:val="24"/>
        </w:rPr>
      </w:pPr>
    </w:p>
    <w:p w14:paraId="643A23F9" w14:textId="77777777" w:rsidR="00AC5F76" w:rsidRPr="00AC5F76" w:rsidRDefault="00AC5F76" w:rsidP="00AC5F76">
      <w:pPr>
        <w:spacing w:after="0" w:line="360" w:lineRule="auto"/>
        <w:jc w:val="both"/>
        <w:rPr>
          <w:rFonts w:ascii="Times New Roman" w:hAnsi="Times New Roman"/>
          <w:sz w:val="24"/>
          <w:szCs w:val="24"/>
        </w:rPr>
      </w:pPr>
      <w:r w:rsidRPr="00AC5F76">
        <w:rPr>
          <w:rFonts w:ascii="Times New Roman" w:hAnsi="Times New Roman"/>
          <w:sz w:val="24"/>
          <w:szCs w:val="24"/>
        </w:rPr>
        <w:t>Sincerely,</w:t>
      </w:r>
    </w:p>
    <w:p w14:paraId="2582FBE6" w14:textId="77777777" w:rsidR="00AC5F76" w:rsidRPr="00AC5F76" w:rsidRDefault="00AC5F76" w:rsidP="00AC5F76">
      <w:pPr>
        <w:spacing w:after="0" w:line="360" w:lineRule="auto"/>
        <w:jc w:val="both"/>
        <w:rPr>
          <w:rFonts w:ascii="Times New Roman" w:hAnsi="Times New Roman"/>
          <w:sz w:val="24"/>
          <w:szCs w:val="24"/>
        </w:rPr>
      </w:pPr>
      <w:r w:rsidRPr="00AC5F76">
        <w:rPr>
          <w:rFonts w:ascii="Times New Roman" w:hAnsi="Times New Roman"/>
          <w:sz w:val="24"/>
          <w:szCs w:val="24"/>
        </w:rPr>
        <w:t>Avishek Poddar</w:t>
      </w:r>
    </w:p>
    <w:p w14:paraId="2D06645F" w14:textId="77777777" w:rsidR="00AC5F76" w:rsidRPr="00AC5F76" w:rsidRDefault="00AC5F76" w:rsidP="00AC5F76">
      <w:pPr>
        <w:spacing w:after="0" w:line="360" w:lineRule="auto"/>
        <w:jc w:val="both"/>
        <w:rPr>
          <w:rFonts w:ascii="Times New Roman" w:hAnsi="Times New Roman"/>
          <w:sz w:val="24"/>
          <w:szCs w:val="24"/>
        </w:rPr>
      </w:pPr>
      <w:r w:rsidRPr="00AC5F76">
        <w:rPr>
          <w:rFonts w:ascii="Times New Roman" w:hAnsi="Times New Roman"/>
          <w:sz w:val="24"/>
          <w:szCs w:val="24"/>
        </w:rPr>
        <w:t>ID: 111 211 023</w:t>
      </w:r>
    </w:p>
    <w:p w14:paraId="694564BB" w14:textId="77777777" w:rsidR="00AC5F76" w:rsidRPr="00AC5F76" w:rsidRDefault="00AC5F76" w:rsidP="00AC5F76">
      <w:pPr>
        <w:spacing w:after="0" w:line="360" w:lineRule="auto"/>
        <w:jc w:val="both"/>
        <w:rPr>
          <w:rFonts w:ascii="Times New Roman" w:hAnsi="Times New Roman"/>
          <w:sz w:val="24"/>
          <w:szCs w:val="24"/>
        </w:rPr>
      </w:pPr>
      <w:r w:rsidRPr="00AC5F76">
        <w:rPr>
          <w:rFonts w:ascii="Times New Roman" w:hAnsi="Times New Roman"/>
          <w:sz w:val="24"/>
          <w:szCs w:val="24"/>
        </w:rPr>
        <w:t>Major: Finance and Fintech</w:t>
      </w:r>
    </w:p>
    <w:p w14:paraId="26363A12" w14:textId="77777777" w:rsidR="00AC5F76" w:rsidRPr="00AC5F76" w:rsidRDefault="00AC5F76" w:rsidP="00AC5F76">
      <w:pPr>
        <w:spacing w:after="0" w:line="360" w:lineRule="auto"/>
        <w:jc w:val="both"/>
        <w:rPr>
          <w:rFonts w:ascii="Times New Roman" w:hAnsi="Times New Roman"/>
          <w:sz w:val="24"/>
          <w:szCs w:val="24"/>
        </w:rPr>
      </w:pPr>
      <w:r w:rsidRPr="00AC5F76">
        <w:rPr>
          <w:rFonts w:ascii="Times New Roman" w:hAnsi="Times New Roman"/>
          <w:sz w:val="24"/>
          <w:szCs w:val="24"/>
        </w:rPr>
        <w:t>United International University</w:t>
      </w:r>
    </w:p>
    <w:p w14:paraId="19881B6F" w14:textId="77777777" w:rsidR="00AC5F76" w:rsidRDefault="00AC5F76" w:rsidP="00AC5F76">
      <w:pPr>
        <w:spacing w:after="0" w:line="360" w:lineRule="auto"/>
        <w:jc w:val="both"/>
        <w:rPr>
          <w:rFonts w:ascii="Times New Roman" w:hAnsi="Times New Roman"/>
          <w:sz w:val="24"/>
          <w:szCs w:val="24"/>
        </w:rPr>
      </w:pPr>
    </w:p>
    <w:p w14:paraId="4295445F" w14:textId="77777777" w:rsidR="00AC5F76" w:rsidRDefault="00AC5F76" w:rsidP="00AC5F76">
      <w:pPr>
        <w:spacing w:after="0" w:line="360" w:lineRule="auto"/>
        <w:jc w:val="both"/>
        <w:rPr>
          <w:rFonts w:ascii="Times New Roman" w:hAnsi="Times New Roman"/>
          <w:sz w:val="24"/>
          <w:szCs w:val="24"/>
        </w:rPr>
      </w:pPr>
    </w:p>
    <w:p w14:paraId="736CC3AE" w14:textId="77777777" w:rsidR="00AC5F76" w:rsidRPr="00AC5F76" w:rsidRDefault="00AC5F76" w:rsidP="00AC5F76">
      <w:pPr>
        <w:spacing w:after="0" w:line="360" w:lineRule="auto"/>
        <w:jc w:val="both"/>
        <w:rPr>
          <w:rFonts w:ascii="Times New Roman" w:hAnsi="Times New Roman"/>
          <w:sz w:val="24"/>
          <w:szCs w:val="24"/>
        </w:rPr>
      </w:pPr>
    </w:p>
    <w:p w14:paraId="5819212A" w14:textId="77777777" w:rsidR="00AC5F76" w:rsidRDefault="00AC5F76">
      <w:pPr>
        <w:spacing w:after="0" w:line="240" w:lineRule="auto"/>
        <w:rPr>
          <w:rFonts w:ascii="Times New Roman" w:eastAsiaTheme="majorEastAsia" w:hAnsi="Times New Roman"/>
          <w:b/>
          <w:bCs/>
          <w:color w:val="365F91" w:themeColor="accent1" w:themeShade="BF"/>
          <w:sz w:val="32"/>
          <w:szCs w:val="28"/>
        </w:rPr>
      </w:pPr>
      <w:r>
        <w:rPr>
          <w:rFonts w:ascii="Times New Roman" w:hAnsi="Times New Roman"/>
        </w:rPr>
        <w:br w:type="page"/>
      </w:r>
    </w:p>
    <w:p w14:paraId="4ECEC3AD" w14:textId="77777777" w:rsidR="00BD524F" w:rsidRPr="00A91AB6" w:rsidRDefault="00F31C85" w:rsidP="004F00BB">
      <w:pPr>
        <w:pStyle w:val="Heading1"/>
        <w:rPr>
          <w:rFonts w:ascii="Times New Roman" w:hAnsi="Times New Roman" w:cs="Times New Roman"/>
          <w:szCs w:val="32"/>
        </w:rPr>
      </w:pPr>
      <w:bookmarkStart w:id="6" w:name="_Toc214949003"/>
      <w:commentRangeStart w:id="7"/>
      <w:r w:rsidRPr="00A91AB6">
        <w:rPr>
          <w:rFonts w:ascii="Times New Roman" w:hAnsi="Times New Roman" w:cs="Times New Roman"/>
          <w:szCs w:val="32"/>
        </w:rPr>
        <w:lastRenderedPageBreak/>
        <w:t xml:space="preserve">Declaration of the Student </w:t>
      </w:r>
      <w:bookmarkEnd w:id="6"/>
      <w:commentRangeEnd w:id="7"/>
      <w:r w:rsidRPr="00A91AB6">
        <w:rPr>
          <w:rStyle w:val="CommentReference"/>
          <w:rFonts w:ascii="Times New Roman" w:hAnsi="Times New Roman" w:cs="Times New Roman"/>
          <w:sz w:val="32"/>
          <w:szCs w:val="32"/>
        </w:rPr>
        <w:commentReference w:id="7"/>
      </w:r>
    </w:p>
    <w:p w14:paraId="6D35A627" w14:textId="77777777" w:rsidR="004F00BB" w:rsidRDefault="004F00BB" w:rsidP="004F00BB"/>
    <w:p w14:paraId="3E340BFF" w14:textId="77777777" w:rsidR="000966CC" w:rsidRDefault="000966CC" w:rsidP="004F00BB">
      <w:pPr>
        <w:spacing w:after="0" w:line="360" w:lineRule="auto"/>
        <w:jc w:val="both"/>
        <w:rPr>
          <w:rFonts w:ascii="Times New Roman" w:eastAsia="Times New Roman" w:hAnsi="Times New Roman"/>
          <w:sz w:val="24"/>
          <w:szCs w:val="24"/>
        </w:rPr>
      </w:pPr>
    </w:p>
    <w:p w14:paraId="6DBD09C7" w14:textId="77777777" w:rsidR="00E95351" w:rsidRPr="00E95351" w:rsidRDefault="00E95351" w:rsidP="00E95351">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 xml:space="preserve">I Avishek Poddar </w:t>
      </w:r>
      <w:r w:rsidRPr="00E95351">
        <w:rPr>
          <w:rFonts w:ascii="Times New Roman" w:eastAsia="Times New Roman" w:hAnsi="Times New Roman"/>
          <w:sz w:val="24"/>
          <w:szCs w:val="24"/>
        </w:rPr>
        <w:t xml:space="preserve">student of United International University hereby declare that this internship report </w:t>
      </w:r>
      <w:r>
        <w:rPr>
          <w:rFonts w:ascii="Times New Roman" w:eastAsia="Times New Roman" w:hAnsi="Times New Roman"/>
          <w:sz w:val="24"/>
          <w:szCs w:val="24"/>
        </w:rPr>
        <w:t>on ‘Risk Management Practices of</w:t>
      </w:r>
      <w:r w:rsidRPr="00E95351">
        <w:rPr>
          <w:rFonts w:ascii="Times New Roman" w:eastAsia="Times New Roman" w:hAnsi="Times New Roman"/>
          <w:sz w:val="24"/>
          <w:szCs w:val="24"/>
        </w:rPr>
        <w:t xml:space="preserve"> Dhaka Bank PLC’ is my own original work and has been prepared after gathering the information directly from Dhaka Bank PLC by careful observation which includes</w:t>
      </w:r>
      <w:r w:rsidRPr="00E95351">
        <w:rPr>
          <w:rFonts w:ascii="Times New Roman" w:eastAsia="Times New Roman" w:hAnsi="Times New Roman"/>
          <w:sz w:val="24"/>
          <w:szCs w:val="24"/>
        </w:rPr>
        <w:t> </w:t>
      </w:r>
      <w:r w:rsidRPr="00E95351">
        <w:rPr>
          <w:rFonts w:ascii="Times New Roman" w:eastAsia="Times New Roman" w:hAnsi="Times New Roman"/>
          <w:sz w:val="24"/>
          <w:szCs w:val="24"/>
        </w:rPr>
        <w:t>theoretical learning also.</w:t>
      </w:r>
    </w:p>
    <w:p w14:paraId="082D16D3" w14:textId="77777777" w:rsidR="00E95351" w:rsidRPr="00E95351" w:rsidRDefault="00E95351" w:rsidP="00E95351">
      <w:pPr>
        <w:spacing w:after="0" w:line="360" w:lineRule="auto"/>
        <w:jc w:val="both"/>
        <w:rPr>
          <w:rFonts w:ascii="Times New Roman" w:eastAsia="Times New Roman" w:hAnsi="Times New Roman"/>
          <w:sz w:val="24"/>
          <w:szCs w:val="24"/>
        </w:rPr>
      </w:pPr>
      <w:r w:rsidRPr="00E95351">
        <w:rPr>
          <w:rFonts w:ascii="Times New Roman" w:eastAsia="Times New Roman" w:hAnsi="Times New Roman"/>
          <w:sz w:val="24"/>
          <w:szCs w:val="24"/>
        </w:rPr>
        <w:t>I declare that the entire content of</w:t>
      </w:r>
      <w:r w:rsidRPr="00E95351">
        <w:rPr>
          <w:rFonts w:ascii="Times New Roman" w:eastAsia="Times New Roman" w:hAnsi="Times New Roman"/>
          <w:sz w:val="24"/>
          <w:szCs w:val="24"/>
        </w:rPr>
        <w:t> </w:t>
      </w:r>
      <w:r w:rsidRPr="00E95351">
        <w:rPr>
          <w:rFonts w:ascii="Times New Roman" w:eastAsia="Times New Roman" w:hAnsi="Times New Roman"/>
          <w:sz w:val="24"/>
          <w:szCs w:val="24"/>
        </w:rPr>
        <w:t>this report is based on my own knowledge and investigation. The contents</w:t>
      </w:r>
      <w:r w:rsidRPr="00E95351">
        <w:rPr>
          <w:rFonts w:ascii="Times New Roman" w:eastAsia="Times New Roman" w:hAnsi="Times New Roman"/>
          <w:sz w:val="24"/>
          <w:szCs w:val="24"/>
        </w:rPr>
        <w:t> </w:t>
      </w:r>
      <w:r w:rsidRPr="00E95351">
        <w:rPr>
          <w:rFonts w:ascii="Times New Roman" w:eastAsia="Times New Roman" w:hAnsi="Times New Roman"/>
          <w:sz w:val="24"/>
          <w:szCs w:val="24"/>
        </w:rPr>
        <w:t>and data of this paper was original.</w:t>
      </w:r>
    </w:p>
    <w:p w14:paraId="44D1561F" w14:textId="77777777" w:rsidR="00E95351" w:rsidRPr="00E95351" w:rsidRDefault="00E95351" w:rsidP="00E95351">
      <w:pPr>
        <w:spacing w:after="0" w:line="360" w:lineRule="auto"/>
        <w:jc w:val="both"/>
        <w:rPr>
          <w:rFonts w:ascii="Times New Roman" w:eastAsia="Times New Roman" w:hAnsi="Times New Roman"/>
          <w:sz w:val="24"/>
          <w:szCs w:val="24"/>
        </w:rPr>
      </w:pPr>
      <w:r w:rsidRPr="00E95351">
        <w:rPr>
          <w:rFonts w:ascii="Times New Roman" w:eastAsia="Times New Roman" w:hAnsi="Times New Roman"/>
          <w:sz w:val="24"/>
          <w:szCs w:val="24"/>
        </w:rPr>
        <w:t>This paper is my attempt at distilling a lifetime of</w:t>
      </w:r>
      <w:r w:rsidRPr="00E95351">
        <w:rPr>
          <w:rFonts w:ascii="Times New Roman" w:eastAsia="Times New Roman" w:hAnsi="Times New Roman"/>
          <w:sz w:val="24"/>
          <w:szCs w:val="24"/>
        </w:rPr>
        <w:t> </w:t>
      </w:r>
      <w:r w:rsidRPr="00E95351">
        <w:rPr>
          <w:rFonts w:ascii="Times New Roman" w:eastAsia="Times New Roman" w:hAnsi="Times New Roman"/>
          <w:sz w:val="24"/>
          <w:szCs w:val="24"/>
        </w:rPr>
        <w:t xml:space="preserve">study and reflection down to something that fulfills the </w:t>
      </w:r>
      <w:r w:rsidR="00A54AB0">
        <w:rPr>
          <w:rFonts w:ascii="Times New Roman" w:eastAsia="Times New Roman" w:hAnsi="Times New Roman"/>
          <w:sz w:val="24"/>
          <w:szCs w:val="24"/>
        </w:rPr>
        <w:t>report</w:t>
      </w:r>
      <w:r w:rsidRPr="00E95351">
        <w:rPr>
          <w:rFonts w:ascii="Times New Roman" w:eastAsia="Times New Roman" w:hAnsi="Times New Roman"/>
          <w:sz w:val="24"/>
          <w:szCs w:val="24"/>
        </w:rPr>
        <w:t xml:space="preserve"> requirements. I also declare that I have not previously presented or submitted the report to a university for a</w:t>
      </w:r>
      <w:r w:rsidRPr="00E95351">
        <w:rPr>
          <w:rFonts w:ascii="Times New Roman" w:eastAsia="Times New Roman" w:hAnsi="Times New Roman"/>
          <w:sz w:val="24"/>
          <w:szCs w:val="24"/>
        </w:rPr>
        <w:t> </w:t>
      </w:r>
      <w:r w:rsidRPr="00E95351">
        <w:rPr>
          <w:rFonts w:ascii="Times New Roman" w:eastAsia="Times New Roman" w:hAnsi="Times New Roman"/>
          <w:sz w:val="24"/>
          <w:szCs w:val="24"/>
        </w:rPr>
        <w:t>degree at any level. Furthermore it is</w:t>
      </w:r>
      <w:r w:rsidRPr="00E95351">
        <w:rPr>
          <w:rFonts w:ascii="Times New Roman" w:eastAsia="Times New Roman" w:hAnsi="Times New Roman"/>
          <w:sz w:val="24"/>
          <w:szCs w:val="24"/>
        </w:rPr>
        <w:t> </w:t>
      </w:r>
      <w:r w:rsidRPr="00E95351">
        <w:rPr>
          <w:rFonts w:ascii="Times New Roman" w:eastAsia="Times New Roman" w:hAnsi="Times New Roman"/>
          <w:sz w:val="24"/>
          <w:szCs w:val="24"/>
        </w:rPr>
        <w:t>recommended that no information has been copied without proper referencing. Acknowledgments</w:t>
      </w:r>
      <w:r w:rsidRPr="00E95351">
        <w:rPr>
          <w:rFonts w:ascii="Times New Roman" w:eastAsia="Times New Roman" w:hAnsi="Times New Roman"/>
          <w:sz w:val="24"/>
          <w:szCs w:val="24"/>
        </w:rPr>
        <w:t> </w:t>
      </w:r>
      <w:r w:rsidRPr="00E95351">
        <w:rPr>
          <w:rFonts w:ascii="Times New Roman" w:eastAsia="Times New Roman" w:hAnsi="Times New Roman"/>
          <w:sz w:val="24"/>
          <w:szCs w:val="24"/>
        </w:rPr>
        <w:t>All references have been appropriately cited.</w:t>
      </w:r>
    </w:p>
    <w:p w14:paraId="2DE1C951" w14:textId="77777777" w:rsidR="00414E60" w:rsidRDefault="00414E60" w:rsidP="004F00BB">
      <w:pPr>
        <w:spacing w:after="0" w:line="360" w:lineRule="auto"/>
        <w:jc w:val="both"/>
        <w:rPr>
          <w:rFonts w:ascii="Times New Roman" w:eastAsia="Times New Roman" w:hAnsi="Times New Roman"/>
          <w:sz w:val="24"/>
          <w:szCs w:val="24"/>
        </w:rPr>
      </w:pPr>
    </w:p>
    <w:p w14:paraId="49F4EB09" w14:textId="77777777" w:rsidR="00414E60" w:rsidRDefault="00414E60" w:rsidP="004F00BB">
      <w:pPr>
        <w:spacing w:after="0" w:line="360" w:lineRule="auto"/>
        <w:jc w:val="both"/>
        <w:rPr>
          <w:rFonts w:ascii="Times New Roman" w:eastAsia="Times New Roman" w:hAnsi="Times New Roman"/>
          <w:sz w:val="24"/>
          <w:szCs w:val="24"/>
        </w:rPr>
      </w:pPr>
    </w:p>
    <w:p w14:paraId="53E9A477" w14:textId="77777777" w:rsidR="00414E60" w:rsidRDefault="00414E60" w:rsidP="004F00BB">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Sincerely,</w:t>
      </w:r>
    </w:p>
    <w:p w14:paraId="45574E29" w14:textId="77777777" w:rsidR="00414E60" w:rsidRDefault="00414E60" w:rsidP="004F00BB">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Avishek Poddar</w:t>
      </w:r>
    </w:p>
    <w:p w14:paraId="415E4812" w14:textId="77777777" w:rsidR="00414E60" w:rsidRDefault="00414E60" w:rsidP="004F00BB">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ID: 111 211 023</w:t>
      </w:r>
    </w:p>
    <w:p w14:paraId="58FFB7D3" w14:textId="77777777" w:rsidR="00D11CE9" w:rsidRPr="00D11CE9" w:rsidRDefault="00191FDD" w:rsidP="00D11CE9">
      <w:pPr>
        <w:spacing w:after="0" w:line="360" w:lineRule="auto"/>
        <w:jc w:val="both"/>
        <w:rPr>
          <w:rFonts w:ascii="Times New Roman" w:eastAsia="Times New Roman" w:hAnsi="Times New Roman"/>
          <w:sz w:val="24"/>
          <w:szCs w:val="24"/>
        </w:rPr>
      </w:pPr>
      <w:r>
        <w:rPr>
          <w:rFonts w:ascii="Times New Roman" w:eastAsia="Times New Roman" w:hAnsi="Times New Roman"/>
          <w:sz w:val="24"/>
          <w:szCs w:val="24"/>
        </w:rPr>
        <w:t>Major:</w:t>
      </w:r>
      <w:r w:rsidR="00D11CE9" w:rsidRPr="00D11CE9">
        <w:rPr>
          <w:rFonts w:ascii="Times New Roman" w:eastAsia="Times New Roman" w:hAnsi="Times New Roman"/>
          <w:sz w:val="24"/>
          <w:szCs w:val="24"/>
        </w:rPr>
        <w:t xml:space="preserve"> Finance </w:t>
      </w:r>
      <w:r>
        <w:rPr>
          <w:rFonts w:ascii="Times New Roman" w:eastAsia="Times New Roman" w:hAnsi="Times New Roman"/>
          <w:sz w:val="24"/>
          <w:szCs w:val="24"/>
        </w:rPr>
        <w:t>and Fintech</w:t>
      </w:r>
    </w:p>
    <w:p w14:paraId="653BF8F6" w14:textId="77777777" w:rsidR="00D11CE9" w:rsidRDefault="00D11CE9" w:rsidP="00D11CE9">
      <w:pPr>
        <w:spacing w:after="0" w:line="360" w:lineRule="auto"/>
        <w:jc w:val="both"/>
        <w:rPr>
          <w:rFonts w:ascii="Times New Roman" w:eastAsia="Times New Roman" w:hAnsi="Times New Roman"/>
          <w:sz w:val="24"/>
          <w:szCs w:val="24"/>
        </w:rPr>
      </w:pPr>
      <w:r w:rsidRPr="00D11CE9">
        <w:rPr>
          <w:rFonts w:ascii="Times New Roman" w:eastAsia="Times New Roman" w:hAnsi="Times New Roman"/>
          <w:sz w:val="24"/>
          <w:szCs w:val="24"/>
        </w:rPr>
        <w:t>United International University</w:t>
      </w:r>
    </w:p>
    <w:p w14:paraId="48CAD101" w14:textId="77777777" w:rsidR="00414E60" w:rsidRPr="004F00BB" w:rsidRDefault="00414E60" w:rsidP="004F00BB">
      <w:pPr>
        <w:spacing w:after="0" w:line="360" w:lineRule="auto"/>
        <w:jc w:val="both"/>
        <w:rPr>
          <w:rFonts w:ascii="Times New Roman" w:eastAsia="Times New Roman" w:hAnsi="Times New Roman"/>
          <w:sz w:val="24"/>
          <w:szCs w:val="24"/>
        </w:rPr>
      </w:pPr>
    </w:p>
    <w:p w14:paraId="27C0F2D3" w14:textId="77777777" w:rsidR="004F00BB" w:rsidRPr="004F00BB" w:rsidRDefault="004F00BB" w:rsidP="004F00BB"/>
    <w:p w14:paraId="30304BDD" w14:textId="77777777" w:rsidR="00BD524F" w:rsidRDefault="00BD524F"/>
    <w:p w14:paraId="47DB3480" w14:textId="77777777" w:rsidR="00BD524F" w:rsidRDefault="00BD524F"/>
    <w:p w14:paraId="3F79FCD3" w14:textId="77777777" w:rsidR="00BD524F" w:rsidRDefault="00BD524F"/>
    <w:p w14:paraId="45E4FAD3" w14:textId="77777777" w:rsidR="00BD524F" w:rsidRDefault="00BD524F"/>
    <w:p w14:paraId="7C775820" w14:textId="77777777" w:rsidR="00BD524F" w:rsidRDefault="00BD524F"/>
    <w:p w14:paraId="097CBDE9" w14:textId="77777777" w:rsidR="00BD524F" w:rsidRDefault="00BD524F"/>
    <w:p w14:paraId="118E57E8" w14:textId="77777777" w:rsidR="00BD524F" w:rsidRPr="00A54F31" w:rsidRDefault="00F31C85" w:rsidP="008423D0">
      <w:pPr>
        <w:pStyle w:val="Heading1"/>
        <w:rPr>
          <w:rFonts w:ascii="Calibri" w:eastAsia="Calibri" w:hAnsi="Calibri" w:cs="Times New Roman"/>
          <w:b w:val="0"/>
          <w:bCs w:val="0"/>
          <w:color w:val="auto"/>
          <w:sz w:val="22"/>
          <w:szCs w:val="22"/>
        </w:rPr>
      </w:pPr>
      <w:bookmarkStart w:id="8" w:name="_Toc214949004"/>
      <w:commentRangeStart w:id="9"/>
      <w:r w:rsidRPr="00A54F31">
        <w:rPr>
          <w:rFonts w:ascii="Times New Roman" w:hAnsi="Times New Roman" w:cs="Times New Roman"/>
          <w:szCs w:val="32"/>
        </w:rPr>
        <w:lastRenderedPageBreak/>
        <w:t>Corporate Evidence</w:t>
      </w:r>
      <w:r w:rsidRPr="00A54F31">
        <w:rPr>
          <w:rFonts w:ascii="Calibri" w:eastAsia="Calibri" w:hAnsi="Calibri" w:cs="Times New Roman"/>
          <w:b w:val="0"/>
          <w:bCs w:val="0"/>
          <w:color w:val="auto"/>
          <w:sz w:val="22"/>
          <w:szCs w:val="22"/>
        </w:rPr>
        <w:t xml:space="preserve"> </w:t>
      </w:r>
      <w:bookmarkEnd w:id="8"/>
      <w:commentRangeEnd w:id="9"/>
      <w:r w:rsidRPr="00A54F31">
        <w:rPr>
          <w:rStyle w:val="CommentReference"/>
          <w:rFonts w:ascii="Calibri" w:eastAsia="Calibri" w:hAnsi="Calibri" w:cs="Times New Roman"/>
          <w:b w:val="0"/>
          <w:bCs w:val="0"/>
          <w:color w:val="auto"/>
          <w:sz w:val="22"/>
          <w:szCs w:val="22"/>
        </w:rPr>
        <w:commentReference w:id="9"/>
      </w:r>
    </w:p>
    <w:p w14:paraId="1CCF24F8" w14:textId="77777777" w:rsidR="000966CC" w:rsidRDefault="000966CC" w:rsidP="000966CC"/>
    <w:p w14:paraId="51C9EEB9" w14:textId="77777777" w:rsidR="000966CC" w:rsidRPr="000966CC" w:rsidRDefault="004A3528" w:rsidP="000966CC">
      <w:r>
        <w:pict w14:anchorId="77D770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578.25pt">
            <v:imagedata r:id="rId13" o:title="CamScanner 14-09-2025 00"/>
          </v:shape>
        </w:pict>
      </w:r>
    </w:p>
    <w:p w14:paraId="4AD804A0" w14:textId="77777777" w:rsidR="00BD524F" w:rsidRPr="00A74FA3" w:rsidRDefault="00F31C85" w:rsidP="00ED283B">
      <w:pPr>
        <w:pStyle w:val="Heading1"/>
        <w:rPr>
          <w:rFonts w:ascii="Times New Roman" w:hAnsi="Times New Roman" w:cs="Times New Roman"/>
        </w:rPr>
      </w:pPr>
      <w:bookmarkStart w:id="10" w:name="_Toc214949005"/>
      <w:commentRangeStart w:id="11"/>
      <w:r w:rsidRPr="00A74FA3">
        <w:rPr>
          <w:rFonts w:ascii="Times New Roman" w:hAnsi="Times New Roman" w:cs="Times New Roman"/>
        </w:rPr>
        <w:lastRenderedPageBreak/>
        <w:t>Acknowledgement</w:t>
      </w:r>
      <w:bookmarkEnd w:id="10"/>
      <w:commentRangeEnd w:id="11"/>
      <w:r w:rsidRPr="00A74FA3">
        <w:rPr>
          <w:rStyle w:val="CommentReference"/>
          <w:rFonts w:ascii="Times New Roman" w:hAnsi="Times New Roman" w:cs="Times New Roman"/>
          <w:sz w:val="32"/>
          <w:szCs w:val="28"/>
        </w:rPr>
        <w:commentReference w:id="11"/>
      </w:r>
    </w:p>
    <w:p w14:paraId="5C364AA9" w14:textId="77777777" w:rsidR="00C87718" w:rsidRDefault="00C87718" w:rsidP="00C87718"/>
    <w:p w14:paraId="29DB1BC0" w14:textId="77777777" w:rsidR="009A41E1" w:rsidRPr="00172B01" w:rsidRDefault="009A41E1" w:rsidP="009A41E1">
      <w:pPr>
        <w:spacing w:before="100" w:beforeAutospacing="1" w:after="100" w:afterAutospacing="1" w:line="360" w:lineRule="auto"/>
        <w:jc w:val="both"/>
        <w:rPr>
          <w:rFonts w:ascii="Times New Roman" w:eastAsia="Times New Roman" w:hAnsi="Times New Roman"/>
          <w:sz w:val="24"/>
          <w:szCs w:val="24"/>
        </w:rPr>
      </w:pPr>
      <w:r w:rsidRPr="00172B01">
        <w:rPr>
          <w:rFonts w:ascii="Times New Roman" w:eastAsia="Times New Roman" w:hAnsi="Times New Roman"/>
          <w:sz w:val="24"/>
          <w:szCs w:val="24"/>
        </w:rPr>
        <w:t>First of all, I want to thank the Almighty God for making me able to do</w:t>
      </w:r>
      <w:r w:rsidRPr="00172B01">
        <w:rPr>
          <w:rFonts w:ascii="Times New Roman" w:eastAsia="Times New Roman" w:hAnsi="Times New Roman"/>
          <w:sz w:val="24"/>
          <w:szCs w:val="24"/>
        </w:rPr>
        <w:t> </w:t>
      </w:r>
      <w:r w:rsidRPr="00172B01">
        <w:rPr>
          <w:rFonts w:ascii="Times New Roman" w:eastAsia="Times New Roman" w:hAnsi="Times New Roman"/>
          <w:sz w:val="24"/>
          <w:szCs w:val="24"/>
        </w:rPr>
        <w:t>the complete internship and also have done timely needed documentation of my internship.</w:t>
      </w:r>
    </w:p>
    <w:p w14:paraId="55C44CDF" w14:textId="77777777" w:rsidR="009A41E1" w:rsidRPr="00172B01" w:rsidRDefault="009A41E1" w:rsidP="009A41E1">
      <w:pPr>
        <w:spacing w:before="100" w:beforeAutospacing="1" w:after="100" w:afterAutospacing="1" w:line="360" w:lineRule="auto"/>
        <w:jc w:val="both"/>
        <w:rPr>
          <w:rFonts w:ascii="Times New Roman" w:eastAsia="Times New Roman" w:hAnsi="Times New Roman"/>
          <w:sz w:val="24"/>
          <w:szCs w:val="24"/>
        </w:rPr>
      </w:pPr>
      <w:r w:rsidRPr="00172B01">
        <w:rPr>
          <w:rFonts w:ascii="Times New Roman" w:eastAsia="Times New Roman" w:hAnsi="Times New Roman"/>
          <w:sz w:val="24"/>
          <w:szCs w:val="24"/>
        </w:rPr>
        <w:t>I would like</w:t>
      </w:r>
      <w:r w:rsidRPr="00172B01">
        <w:rPr>
          <w:rFonts w:ascii="Times New Roman" w:eastAsia="Times New Roman" w:hAnsi="Times New Roman"/>
          <w:sz w:val="24"/>
          <w:szCs w:val="24"/>
        </w:rPr>
        <w:t> </w:t>
      </w:r>
      <w:r w:rsidRPr="00172B01">
        <w:rPr>
          <w:rFonts w:ascii="Times New Roman" w:eastAsia="Times New Roman" w:hAnsi="Times New Roman"/>
          <w:sz w:val="24"/>
          <w:szCs w:val="24"/>
        </w:rPr>
        <w:t>to thank the cooperation of many encouraging people. I could not succeed fully in sorting the internship report, without</w:t>
      </w:r>
      <w:r w:rsidRPr="00172B01">
        <w:rPr>
          <w:rFonts w:ascii="Times New Roman" w:eastAsia="Times New Roman" w:hAnsi="Times New Roman"/>
          <w:sz w:val="24"/>
          <w:szCs w:val="24"/>
        </w:rPr>
        <w:t> </w:t>
      </w:r>
      <w:r w:rsidRPr="00172B01">
        <w:rPr>
          <w:rFonts w:ascii="Times New Roman" w:eastAsia="Times New Roman" w:hAnsi="Times New Roman"/>
          <w:sz w:val="24"/>
          <w:szCs w:val="24"/>
        </w:rPr>
        <w:t xml:space="preserve">their help. Special Thanks I would like to express my sincere gratitude to my respected and friendly supervisor, </w:t>
      </w:r>
      <w:r w:rsidRPr="00172B01">
        <w:rPr>
          <w:rFonts w:ascii="Times New Roman" w:eastAsia="Times New Roman" w:hAnsi="Times New Roman"/>
          <w:b/>
          <w:sz w:val="24"/>
          <w:szCs w:val="24"/>
        </w:rPr>
        <w:t>Mr. Muhammad Enamul Haque</w:t>
      </w:r>
      <w:r w:rsidRPr="00172B01">
        <w:rPr>
          <w:rFonts w:ascii="Times New Roman" w:eastAsia="Times New Roman" w:hAnsi="Times New Roman"/>
          <w:sz w:val="24"/>
          <w:szCs w:val="24"/>
        </w:rPr>
        <w:t>, Assistant Professor of United International</w:t>
      </w:r>
      <w:r w:rsidRPr="00172B01">
        <w:rPr>
          <w:rFonts w:ascii="Times New Roman" w:eastAsia="Times New Roman" w:hAnsi="Times New Roman"/>
          <w:sz w:val="24"/>
          <w:szCs w:val="24"/>
        </w:rPr>
        <w:t> </w:t>
      </w:r>
      <w:r w:rsidRPr="00172B01">
        <w:rPr>
          <w:rFonts w:ascii="Times New Roman" w:eastAsia="Times New Roman" w:hAnsi="Times New Roman"/>
          <w:sz w:val="24"/>
          <w:szCs w:val="24"/>
        </w:rPr>
        <w:t>University for his valuable guidance and constant support during the time on preparing this report. His</w:t>
      </w:r>
      <w:r w:rsidRPr="00172B01">
        <w:rPr>
          <w:rFonts w:ascii="Times New Roman" w:eastAsia="Times New Roman" w:hAnsi="Times New Roman"/>
          <w:sz w:val="24"/>
          <w:szCs w:val="24"/>
        </w:rPr>
        <w:t> </w:t>
      </w:r>
      <w:r>
        <w:rPr>
          <w:rFonts w:ascii="Times New Roman" w:eastAsia="Times New Roman" w:hAnsi="Times New Roman"/>
          <w:sz w:val="24"/>
          <w:szCs w:val="24"/>
        </w:rPr>
        <w:t xml:space="preserve">help and teaching </w:t>
      </w:r>
      <w:r w:rsidR="00B136C9">
        <w:rPr>
          <w:rFonts w:ascii="Times New Roman" w:eastAsia="Times New Roman" w:hAnsi="Times New Roman"/>
          <w:sz w:val="24"/>
          <w:szCs w:val="24"/>
        </w:rPr>
        <w:t xml:space="preserve">method </w:t>
      </w:r>
      <w:r>
        <w:rPr>
          <w:rFonts w:ascii="Times New Roman" w:eastAsia="Times New Roman" w:hAnsi="Times New Roman"/>
          <w:sz w:val="24"/>
          <w:szCs w:val="24"/>
        </w:rPr>
        <w:t>make</w:t>
      </w:r>
      <w:r w:rsidR="00B136C9">
        <w:rPr>
          <w:rFonts w:ascii="Times New Roman" w:eastAsia="Times New Roman" w:hAnsi="Times New Roman"/>
          <w:sz w:val="24"/>
          <w:szCs w:val="24"/>
        </w:rPr>
        <w:t xml:space="preserve"> this</w:t>
      </w:r>
      <w:r>
        <w:rPr>
          <w:rFonts w:ascii="Times New Roman" w:eastAsia="Times New Roman" w:hAnsi="Times New Roman"/>
          <w:sz w:val="24"/>
          <w:szCs w:val="24"/>
        </w:rPr>
        <w:t xml:space="preserve"> report </w:t>
      </w:r>
      <w:r w:rsidRPr="00172B01">
        <w:rPr>
          <w:rFonts w:ascii="Times New Roman" w:eastAsia="Times New Roman" w:hAnsi="Times New Roman"/>
          <w:sz w:val="24"/>
          <w:szCs w:val="24"/>
        </w:rPr>
        <w:t>little easier.</w:t>
      </w:r>
    </w:p>
    <w:p w14:paraId="66C5E2B9" w14:textId="77777777" w:rsidR="009A41E1" w:rsidRPr="00172B01" w:rsidRDefault="009A41E1" w:rsidP="009A41E1">
      <w:pPr>
        <w:spacing w:before="100" w:beforeAutospacing="1" w:after="100" w:afterAutospacing="1" w:line="360" w:lineRule="auto"/>
        <w:jc w:val="both"/>
        <w:rPr>
          <w:rFonts w:ascii="Times New Roman" w:eastAsia="Times New Roman" w:hAnsi="Times New Roman"/>
          <w:sz w:val="24"/>
          <w:szCs w:val="24"/>
        </w:rPr>
      </w:pPr>
      <w:r w:rsidRPr="00172B01">
        <w:rPr>
          <w:rFonts w:ascii="Times New Roman" w:eastAsia="Times New Roman" w:hAnsi="Times New Roman"/>
          <w:sz w:val="24"/>
          <w:szCs w:val="24"/>
        </w:rPr>
        <w:t>I desi</w:t>
      </w:r>
      <w:r>
        <w:rPr>
          <w:rFonts w:ascii="Times New Roman" w:eastAsia="Times New Roman" w:hAnsi="Times New Roman"/>
          <w:sz w:val="24"/>
          <w:szCs w:val="24"/>
        </w:rPr>
        <w:t xml:space="preserve">re to express my sincere joy </w:t>
      </w:r>
      <w:r w:rsidRPr="00172B01">
        <w:rPr>
          <w:rFonts w:ascii="Times New Roman" w:eastAsia="Times New Roman" w:hAnsi="Times New Roman"/>
          <w:sz w:val="24"/>
          <w:szCs w:val="24"/>
        </w:rPr>
        <w:t xml:space="preserve">to Ezazur Rahman, FVP, Dhaka Bank Limited and Liton Kumer Saha, FVP, </w:t>
      </w:r>
      <w:r w:rsidRPr="00172B01">
        <w:rPr>
          <w:rFonts w:ascii="Times New Roman" w:eastAsia="Times New Roman" w:hAnsi="Times New Roman"/>
          <w:sz w:val="24"/>
          <w:szCs w:val="24"/>
        </w:rPr>
        <w:t> </w:t>
      </w:r>
      <w:r w:rsidRPr="00172B01">
        <w:rPr>
          <w:rFonts w:ascii="Times New Roman" w:eastAsia="Times New Roman" w:hAnsi="Times New Roman"/>
          <w:sz w:val="24"/>
          <w:szCs w:val="24"/>
        </w:rPr>
        <w:t>Dhaka Bank Limited. I</w:t>
      </w:r>
      <w:r w:rsidRPr="00172B01">
        <w:rPr>
          <w:rFonts w:ascii="Times New Roman" w:eastAsia="Times New Roman" w:hAnsi="Times New Roman"/>
          <w:sz w:val="24"/>
          <w:szCs w:val="24"/>
        </w:rPr>
        <w:t> </w:t>
      </w:r>
      <w:r w:rsidRPr="00172B01">
        <w:rPr>
          <w:rFonts w:ascii="Times New Roman" w:eastAsia="Times New Roman" w:hAnsi="Times New Roman"/>
          <w:sz w:val="24"/>
          <w:szCs w:val="24"/>
        </w:rPr>
        <w:t>thank the authors for providing such insightful data on DBL. I don't know what I would do withou</w:t>
      </w:r>
      <w:r>
        <w:rPr>
          <w:rFonts w:ascii="Times New Roman" w:eastAsia="Times New Roman" w:hAnsi="Times New Roman"/>
          <w:sz w:val="24"/>
          <w:szCs w:val="24"/>
        </w:rPr>
        <w:t xml:space="preserve">t their help; </w:t>
      </w:r>
      <w:r w:rsidRPr="00172B01">
        <w:rPr>
          <w:rFonts w:ascii="Times New Roman" w:eastAsia="Times New Roman" w:hAnsi="Times New Roman"/>
          <w:sz w:val="24"/>
          <w:szCs w:val="24"/>
        </w:rPr>
        <w:t>it</w:t>
      </w:r>
      <w:r w:rsidRPr="00172B01">
        <w:rPr>
          <w:rFonts w:ascii="Times New Roman" w:eastAsia="Times New Roman" w:hAnsi="Times New Roman"/>
          <w:sz w:val="24"/>
          <w:szCs w:val="24"/>
        </w:rPr>
        <w:t> </w:t>
      </w:r>
      <w:r w:rsidRPr="00172B01">
        <w:rPr>
          <w:rFonts w:ascii="Times New Roman" w:eastAsia="Times New Roman" w:hAnsi="Times New Roman"/>
          <w:sz w:val="24"/>
          <w:szCs w:val="24"/>
        </w:rPr>
        <w:t xml:space="preserve">wouldn't be easy to </w:t>
      </w:r>
      <w:r>
        <w:rPr>
          <w:rFonts w:ascii="Times New Roman" w:eastAsia="Times New Roman" w:hAnsi="Times New Roman"/>
          <w:sz w:val="24"/>
          <w:szCs w:val="24"/>
        </w:rPr>
        <w:t>find this information on my own.</w:t>
      </w:r>
    </w:p>
    <w:p w14:paraId="5097B9A2" w14:textId="77777777" w:rsidR="009A41E1" w:rsidRPr="00172B01" w:rsidRDefault="009A41E1" w:rsidP="009A41E1">
      <w:pPr>
        <w:spacing w:before="100" w:beforeAutospacing="1" w:after="100" w:afterAutospacing="1" w:line="360" w:lineRule="auto"/>
        <w:jc w:val="both"/>
        <w:rPr>
          <w:rFonts w:ascii="Times New Roman" w:eastAsia="Times New Roman" w:hAnsi="Times New Roman"/>
          <w:sz w:val="24"/>
          <w:szCs w:val="24"/>
        </w:rPr>
      </w:pPr>
      <w:r w:rsidRPr="00172B01">
        <w:rPr>
          <w:rFonts w:ascii="Times New Roman" w:eastAsia="Times New Roman" w:hAnsi="Times New Roman"/>
          <w:sz w:val="24"/>
          <w:szCs w:val="24"/>
        </w:rPr>
        <w:t xml:space="preserve">I had access to a lot of </w:t>
      </w:r>
      <w:r>
        <w:rPr>
          <w:rFonts w:ascii="Times New Roman" w:eastAsia="Times New Roman" w:hAnsi="Times New Roman"/>
          <w:sz w:val="24"/>
          <w:szCs w:val="24"/>
        </w:rPr>
        <w:t>officers</w:t>
      </w:r>
      <w:r w:rsidRPr="00172B01">
        <w:rPr>
          <w:rFonts w:ascii="Times New Roman" w:eastAsia="Times New Roman" w:hAnsi="Times New Roman"/>
          <w:sz w:val="24"/>
          <w:szCs w:val="24"/>
        </w:rPr>
        <w:t xml:space="preserve"> and very senior people who gave me ideas, time, and advice</w:t>
      </w:r>
      <w:r w:rsidRPr="00172B01">
        <w:rPr>
          <w:rFonts w:ascii="Times New Roman" w:eastAsia="Times New Roman" w:hAnsi="Times New Roman"/>
          <w:sz w:val="24"/>
          <w:szCs w:val="24"/>
        </w:rPr>
        <w:t> </w:t>
      </w:r>
      <w:r w:rsidRPr="00172B01">
        <w:rPr>
          <w:rFonts w:ascii="Times New Roman" w:eastAsia="Times New Roman" w:hAnsi="Times New Roman"/>
          <w:sz w:val="24"/>
          <w:szCs w:val="24"/>
        </w:rPr>
        <w:t>on important matters th</w:t>
      </w:r>
      <w:r>
        <w:rPr>
          <w:rFonts w:ascii="Times New Roman" w:eastAsia="Times New Roman" w:hAnsi="Times New Roman"/>
          <w:sz w:val="24"/>
          <w:szCs w:val="24"/>
        </w:rPr>
        <w:t>at helped me build this report.</w:t>
      </w:r>
      <w:r w:rsidRPr="00172B01">
        <w:rPr>
          <w:rFonts w:ascii="Times New Roman" w:eastAsia="Times New Roman" w:hAnsi="Times New Roman"/>
          <w:sz w:val="24"/>
          <w:szCs w:val="24"/>
        </w:rPr>
        <w:t xml:space="preserve"> Thanks of course to the learned patrons who've always hit me back and</w:t>
      </w:r>
      <w:r w:rsidRPr="00172B01">
        <w:rPr>
          <w:rFonts w:ascii="Times New Roman" w:eastAsia="Times New Roman" w:hAnsi="Times New Roman"/>
          <w:sz w:val="24"/>
          <w:szCs w:val="24"/>
        </w:rPr>
        <w:t> </w:t>
      </w:r>
      <w:r w:rsidRPr="00172B01">
        <w:rPr>
          <w:rFonts w:ascii="Times New Roman" w:eastAsia="Times New Roman" w:hAnsi="Times New Roman"/>
          <w:sz w:val="24"/>
          <w:szCs w:val="24"/>
        </w:rPr>
        <w:t>been so grateful for all the mind numbing work I just about managed to do for them.</w:t>
      </w:r>
    </w:p>
    <w:p w14:paraId="67B9614D" w14:textId="77777777" w:rsidR="00C87718" w:rsidRPr="00C87718" w:rsidRDefault="00C87718" w:rsidP="000C5EEE">
      <w:pPr>
        <w:spacing w:after="0" w:line="360" w:lineRule="auto"/>
        <w:jc w:val="both"/>
        <w:rPr>
          <w:rFonts w:ascii="Times New Roman" w:eastAsia="Times New Roman" w:hAnsi="Times New Roman"/>
          <w:sz w:val="24"/>
          <w:szCs w:val="24"/>
        </w:rPr>
      </w:pPr>
    </w:p>
    <w:p w14:paraId="4DD6C4ED" w14:textId="77777777" w:rsidR="00C87718" w:rsidRPr="00C87718" w:rsidRDefault="00C87718" w:rsidP="00C87718"/>
    <w:p w14:paraId="434D9EE6" w14:textId="77777777" w:rsidR="00ED283B" w:rsidRDefault="00ED283B" w:rsidP="00ED283B"/>
    <w:p w14:paraId="13D5BF7D" w14:textId="77777777" w:rsidR="00ED283B" w:rsidRPr="00ED283B" w:rsidRDefault="00ED283B" w:rsidP="00ED283B"/>
    <w:p w14:paraId="0A1FE166" w14:textId="77777777" w:rsidR="00BD524F" w:rsidRDefault="00BD524F"/>
    <w:p w14:paraId="0416C85F" w14:textId="77777777" w:rsidR="00BD524F" w:rsidRDefault="00BD524F">
      <w:pPr>
        <w:pStyle w:val="Heading1"/>
      </w:pPr>
    </w:p>
    <w:p w14:paraId="79118E78" w14:textId="77777777" w:rsidR="00BD524F" w:rsidRDefault="00BD524F"/>
    <w:p w14:paraId="31938702" w14:textId="77777777" w:rsidR="00BD524F" w:rsidRPr="00A74FA3" w:rsidRDefault="00F31C85" w:rsidP="003543D6">
      <w:pPr>
        <w:pStyle w:val="Heading1"/>
        <w:rPr>
          <w:rFonts w:ascii="Times New Roman" w:hAnsi="Times New Roman" w:cs="Times New Roman"/>
        </w:rPr>
      </w:pPr>
      <w:bookmarkStart w:id="12" w:name="_Toc214949006"/>
      <w:commentRangeStart w:id="13"/>
      <w:r w:rsidRPr="00A74FA3">
        <w:rPr>
          <w:rFonts w:ascii="Times New Roman" w:hAnsi="Times New Roman" w:cs="Times New Roman"/>
        </w:rPr>
        <w:lastRenderedPageBreak/>
        <w:t>Executive Summary</w:t>
      </w:r>
      <w:bookmarkEnd w:id="12"/>
      <w:commentRangeEnd w:id="13"/>
      <w:r w:rsidRPr="00A74FA3">
        <w:rPr>
          <w:rStyle w:val="CommentReference"/>
          <w:rFonts w:ascii="Times New Roman" w:hAnsi="Times New Roman" w:cs="Times New Roman"/>
          <w:sz w:val="32"/>
          <w:szCs w:val="28"/>
        </w:rPr>
        <w:commentReference w:id="13"/>
      </w:r>
    </w:p>
    <w:p w14:paraId="03AF237C" w14:textId="77777777" w:rsidR="00BD524F" w:rsidRDefault="00BD524F"/>
    <w:p w14:paraId="70F0F1A9" w14:textId="77777777" w:rsidR="00992877" w:rsidRPr="00992877" w:rsidRDefault="00992877" w:rsidP="00992877">
      <w:pPr>
        <w:spacing w:after="0" w:line="360" w:lineRule="auto"/>
        <w:jc w:val="both"/>
        <w:rPr>
          <w:rFonts w:ascii="Times New Roman" w:eastAsia="Times New Roman" w:hAnsi="Times New Roman"/>
          <w:sz w:val="24"/>
          <w:szCs w:val="24"/>
        </w:rPr>
      </w:pPr>
      <w:r w:rsidRPr="00992877">
        <w:rPr>
          <w:rFonts w:ascii="Times New Roman" w:eastAsia="Times New Roman" w:hAnsi="Times New Roman"/>
          <w:sz w:val="24"/>
          <w:szCs w:val="24"/>
        </w:rPr>
        <w:t xml:space="preserve">This extensive study analyzes the risk management strategies utilized by Dhaka Bank PLC, a prominent commercial bank in Bangladesh. In a complex and turbulent financial landscape, effective risk management is essential for commercial banks to sustain financial stability, safeguard shareholder value, and uphold regulatory compliance. </w:t>
      </w:r>
    </w:p>
    <w:p w14:paraId="6673C146" w14:textId="77777777" w:rsidR="00992877" w:rsidRPr="00992877" w:rsidRDefault="00992877" w:rsidP="00992877">
      <w:pPr>
        <w:spacing w:after="0" w:line="360" w:lineRule="auto"/>
        <w:jc w:val="both"/>
        <w:rPr>
          <w:rFonts w:ascii="Times New Roman" w:eastAsia="Times New Roman" w:hAnsi="Times New Roman"/>
          <w:sz w:val="24"/>
          <w:szCs w:val="24"/>
        </w:rPr>
      </w:pPr>
    </w:p>
    <w:p w14:paraId="01CA9564" w14:textId="77777777" w:rsidR="00992877" w:rsidRPr="00992877" w:rsidRDefault="00992877" w:rsidP="00992877">
      <w:pPr>
        <w:spacing w:after="0" w:line="360" w:lineRule="auto"/>
        <w:jc w:val="both"/>
        <w:rPr>
          <w:rFonts w:ascii="Times New Roman" w:eastAsia="Times New Roman" w:hAnsi="Times New Roman"/>
          <w:sz w:val="24"/>
          <w:szCs w:val="24"/>
        </w:rPr>
      </w:pPr>
      <w:r w:rsidRPr="00992877">
        <w:rPr>
          <w:rFonts w:ascii="Times New Roman" w:eastAsia="Times New Roman" w:hAnsi="Times New Roman"/>
          <w:sz w:val="24"/>
          <w:szCs w:val="24"/>
        </w:rPr>
        <w:t xml:space="preserve">This study examines how Dhaka Bank detects, quantifies, oversees, and alleviates many types of risks, including credit, market, liquidity, operational, and compliance risks. The analysis indicates that Dhaka Bank has implemented a strong risk management system in accordance with Basel II and Basel III standards, as well as Bangladesh Bank rules. The analysis of five years of financial data (2019-2023) reveals that the bank has effectively decreased its non-performing loan ratio from 4.8% to 3.2%, sustained a capital adequacy ratio significantly above the regulatory minimum of 10%, and enhanced its liquidity coverage ratio to comply with international standards. </w:t>
      </w:r>
    </w:p>
    <w:p w14:paraId="53D1D393" w14:textId="77777777" w:rsidR="00992877" w:rsidRPr="00992877" w:rsidRDefault="00992877" w:rsidP="00992877">
      <w:pPr>
        <w:spacing w:after="0" w:line="360" w:lineRule="auto"/>
        <w:jc w:val="both"/>
        <w:rPr>
          <w:rFonts w:ascii="Times New Roman" w:eastAsia="Times New Roman" w:hAnsi="Times New Roman"/>
          <w:sz w:val="24"/>
          <w:szCs w:val="24"/>
        </w:rPr>
      </w:pPr>
    </w:p>
    <w:p w14:paraId="33AE9BBA" w14:textId="77777777" w:rsidR="00992877" w:rsidRPr="00992877" w:rsidRDefault="00992877" w:rsidP="00992877">
      <w:pPr>
        <w:spacing w:after="0" w:line="360" w:lineRule="auto"/>
        <w:jc w:val="both"/>
        <w:rPr>
          <w:rFonts w:ascii="Times New Roman" w:eastAsia="Times New Roman" w:hAnsi="Times New Roman"/>
          <w:sz w:val="24"/>
          <w:szCs w:val="24"/>
        </w:rPr>
      </w:pPr>
      <w:r w:rsidRPr="00992877">
        <w:rPr>
          <w:rFonts w:ascii="Times New Roman" w:eastAsia="Times New Roman" w:hAnsi="Times New Roman"/>
          <w:sz w:val="24"/>
          <w:szCs w:val="24"/>
        </w:rPr>
        <w:t xml:space="preserve">The bank utilizes advanced risk assessment methods, sustains diversified loan portfolios, and has established thorough internal control systems to reduce operational risks. The report finds areas for improvement, including the necessity for sophisticated predictive analytics, enhanced cybersecurity infrastructure, and superior stress testing capabilities. </w:t>
      </w:r>
    </w:p>
    <w:p w14:paraId="4C98F993" w14:textId="77777777" w:rsidR="00992877" w:rsidRPr="00992877" w:rsidRDefault="00992877" w:rsidP="00992877">
      <w:pPr>
        <w:spacing w:after="0" w:line="360" w:lineRule="auto"/>
        <w:jc w:val="both"/>
        <w:rPr>
          <w:rFonts w:ascii="Times New Roman" w:eastAsia="Times New Roman" w:hAnsi="Times New Roman"/>
          <w:sz w:val="24"/>
          <w:szCs w:val="24"/>
        </w:rPr>
      </w:pPr>
    </w:p>
    <w:p w14:paraId="23AB4F6D" w14:textId="77777777" w:rsidR="00BD524F" w:rsidRPr="00992877" w:rsidRDefault="00992877" w:rsidP="00992877">
      <w:pPr>
        <w:spacing w:after="0" w:line="360" w:lineRule="auto"/>
        <w:jc w:val="both"/>
        <w:rPr>
          <w:rFonts w:ascii="Times New Roman" w:eastAsia="Times New Roman" w:hAnsi="Times New Roman"/>
          <w:sz w:val="24"/>
          <w:szCs w:val="24"/>
        </w:rPr>
      </w:pPr>
      <w:r w:rsidRPr="00992877">
        <w:rPr>
          <w:rFonts w:ascii="Times New Roman" w:eastAsia="Times New Roman" w:hAnsi="Times New Roman"/>
          <w:sz w:val="24"/>
          <w:szCs w:val="24"/>
        </w:rPr>
        <w:t>Hence, the findings indicate that although Dhaka Bank's risk management systems are fundamentally robust, ongoing adaptation to emerging risks and technology advancements is crucial for maintaining competitiveness and stability in the evolving banking market.</w:t>
      </w:r>
    </w:p>
    <w:p w14:paraId="7E12C5F6" w14:textId="77777777" w:rsidR="00BD524F" w:rsidRDefault="00BD524F" w:rsidP="003543D6">
      <w:pPr>
        <w:rPr>
          <w:rFonts w:ascii="Arial" w:hAnsi="Arial" w:cs="Arial"/>
          <w:sz w:val="24"/>
          <w:szCs w:val="24"/>
        </w:rPr>
      </w:pPr>
    </w:p>
    <w:p w14:paraId="31416581" w14:textId="77777777" w:rsidR="00BD524F" w:rsidRDefault="00BD524F">
      <w:pPr>
        <w:jc w:val="center"/>
        <w:rPr>
          <w:rFonts w:ascii="Arial" w:hAnsi="Arial" w:cs="Arial"/>
          <w:sz w:val="24"/>
          <w:szCs w:val="24"/>
        </w:rPr>
      </w:pPr>
    </w:p>
    <w:p w14:paraId="34DFD883" w14:textId="77777777" w:rsidR="00BD524F" w:rsidRDefault="00BD524F">
      <w:pPr>
        <w:jc w:val="center"/>
        <w:rPr>
          <w:rFonts w:ascii="Arial" w:hAnsi="Arial" w:cs="Arial"/>
          <w:sz w:val="24"/>
          <w:szCs w:val="24"/>
        </w:rPr>
      </w:pPr>
    </w:p>
    <w:p w14:paraId="0A81DA7B" w14:textId="77777777" w:rsidR="00BD524F" w:rsidRDefault="00BD524F">
      <w:pPr>
        <w:jc w:val="center"/>
        <w:rPr>
          <w:rFonts w:ascii="Arial" w:hAnsi="Arial" w:cs="Arial"/>
          <w:sz w:val="24"/>
          <w:szCs w:val="24"/>
        </w:rPr>
      </w:pPr>
    </w:p>
    <w:p w14:paraId="32A75FB3" w14:textId="77777777" w:rsidR="00BD524F" w:rsidRDefault="00BD524F">
      <w:pPr>
        <w:jc w:val="center"/>
        <w:rPr>
          <w:rFonts w:ascii="Arial" w:hAnsi="Arial" w:cs="Arial"/>
          <w:sz w:val="24"/>
          <w:szCs w:val="24"/>
        </w:rPr>
      </w:pPr>
    </w:p>
    <w:sdt>
      <w:sdtPr>
        <w:rPr>
          <w:rFonts w:ascii="Calibri" w:eastAsia="Calibri" w:hAnsi="Calibri" w:cs="Times New Roman"/>
          <w:b w:val="0"/>
          <w:bCs w:val="0"/>
          <w:color w:val="auto"/>
          <w:sz w:val="22"/>
          <w:szCs w:val="22"/>
          <w:lang w:eastAsia="en-US"/>
        </w:rPr>
        <w:id w:val="1595287686"/>
        <w:docPartObj>
          <w:docPartGallery w:val="Table of Contents"/>
          <w:docPartUnique/>
        </w:docPartObj>
      </w:sdtPr>
      <w:sdtContent>
        <w:p w14:paraId="5A0F26A6" w14:textId="77777777" w:rsidR="00BD524F" w:rsidRDefault="00F31C85">
          <w:pPr>
            <w:pStyle w:val="TOCHeading1"/>
            <w:jc w:val="center"/>
          </w:pPr>
          <w:r>
            <w:t>Table of Contents</w:t>
          </w:r>
        </w:p>
        <w:p w14:paraId="124A993B" w14:textId="77777777" w:rsidR="004E5BCF" w:rsidRPr="004E5BCF" w:rsidRDefault="004E5BCF" w:rsidP="004E5BCF">
          <w:pPr>
            <w:rPr>
              <w:lang w:eastAsia="ja-JP"/>
            </w:rPr>
          </w:pPr>
        </w:p>
        <w:commentRangeStart w:id="14"/>
        <w:p w14:paraId="6DD04C41" w14:textId="77777777" w:rsidR="00EA170B" w:rsidRDefault="00F31C85">
          <w:pPr>
            <w:pStyle w:val="TOC1"/>
            <w:tabs>
              <w:tab w:val="right" w:leader="dot" w:pos="9350"/>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214949001" w:history="1">
            <w:r w:rsidR="00EA170B" w:rsidRPr="00D74A95">
              <w:rPr>
                <w:rStyle w:val="Hyperlink"/>
                <w:rFonts w:ascii="Times New Roman" w:hAnsi="Times New Roman"/>
                <w:noProof/>
              </w:rPr>
              <w:t>Letter of Transmittal</w:t>
            </w:r>
            <w:r w:rsidR="00EA170B">
              <w:rPr>
                <w:noProof/>
                <w:webHidden/>
              </w:rPr>
              <w:tab/>
            </w:r>
            <w:r w:rsidR="00EA170B">
              <w:rPr>
                <w:noProof/>
                <w:webHidden/>
              </w:rPr>
              <w:fldChar w:fldCharType="begin"/>
            </w:r>
            <w:r w:rsidR="00EA170B">
              <w:rPr>
                <w:noProof/>
                <w:webHidden/>
              </w:rPr>
              <w:instrText xml:space="preserve"> PAGEREF _Toc214949001 \h </w:instrText>
            </w:r>
            <w:r w:rsidR="00EA170B">
              <w:rPr>
                <w:noProof/>
                <w:webHidden/>
              </w:rPr>
            </w:r>
            <w:r w:rsidR="00EA170B">
              <w:rPr>
                <w:noProof/>
                <w:webHidden/>
              </w:rPr>
              <w:fldChar w:fldCharType="separate"/>
            </w:r>
            <w:r w:rsidR="002E2E0B">
              <w:rPr>
                <w:noProof/>
                <w:webHidden/>
              </w:rPr>
              <w:t>iii</w:t>
            </w:r>
            <w:r w:rsidR="00EA170B">
              <w:rPr>
                <w:noProof/>
                <w:webHidden/>
              </w:rPr>
              <w:fldChar w:fldCharType="end"/>
            </w:r>
          </w:hyperlink>
        </w:p>
        <w:p w14:paraId="6B0A3B3E" w14:textId="77777777" w:rsidR="00EA170B" w:rsidRDefault="00EA170B">
          <w:pPr>
            <w:pStyle w:val="TOC1"/>
            <w:tabs>
              <w:tab w:val="right" w:leader="dot" w:pos="9350"/>
            </w:tabs>
            <w:rPr>
              <w:rFonts w:asciiTheme="minorHAnsi" w:eastAsiaTheme="minorEastAsia" w:hAnsiTheme="minorHAnsi" w:cstheme="minorBidi"/>
              <w:noProof/>
            </w:rPr>
          </w:pPr>
          <w:hyperlink w:anchor="_Toc214949002" w:history="1">
            <w:r w:rsidRPr="00D74A95">
              <w:rPr>
                <w:rStyle w:val="Hyperlink"/>
                <w:rFonts w:ascii="Times New Roman" w:hAnsi="Times New Roman"/>
                <w:noProof/>
              </w:rPr>
              <w:t>Certification of Similarity Index</w:t>
            </w:r>
            <w:r>
              <w:rPr>
                <w:noProof/>
                <w:webHidden/>
              </w:rPr>
              <w:tab/>
            </w:r>
            <w:r>
              <w:rPr>
                <w:noProof/>
                <w:webHidden/>
              </w:rPr>
              <w:fldChar w:fldCharType="begin"/>
            </w:r>
            <w:r>
              <w:rPr>
                <w:noProof/>
                <w:webHidden/>
              </w:rPr>
              <w:instrText xml:space="preserve"> PAGEREF _Toc214949002 \h </w:instrText>
            </w:r>
            <w:r>
              <w:rPr>
                <w:noProof/>
                <w:webHidden/>
              </w:rPr>
            </w:r>
            <w:r>
              <w:rPr>
                <w:noProof/>
                <w:webHidden/>
              </w:rPr>
              <w:fldChar w:fldCharType="separate"/>
            </w:r>
            <w:r w:rsidR="002E2E0B">
              <w:rPr>
                <w:noProof/>
                <w:webHidden/>
              </w:rPr>
              <w:t>iv</w:t>
            </w:r>
            <w:r>
              <w:rPr>
                <w:noProof/>
                <w:webHidden/>
              </w:rPr>
              <w:fldChar w:fldCharType="end"/>
            </w:r>
          </w:hyperlink>
        </w:p>
        <w:p w14:paraId="028FAD71" w14:textId="77777777" w:rsidR="00EA170B" w:rsidRDefault="00EA170B">
          <w:pPr>
            <w:pStyle w:val="TOC1"/>
            <w:tabs>
              <w:tab w:val="right" w:leader="dot" w:pos="9350"/>
            </w:tabs>
            <w:rPr>
              <w:rFonts w:asciiTheme="minorHAnsi" w:eastAsiaTheme="minorEastAsia" w:hAnsiTheme="minorHAnsi" w:cstheme="minorBidi"/>
              <w:noProof/>
            </w:rPr>
          </w:pPr>
          <w:hyperlink w:anchor="_Toc214949003" w:history="1">
            <w:r w:rsidRPr="00D74A95">
              <w:rPr>
                <w:rStyle w:val="Hyperlink"/>
                <w:rFonts w:ascii="Times New Roman" w:hAnsi="Times New Roman"/>
                <w:noProof/>
              </w:rPr>
              <w:t xml:space="preserve">Declaration of the Student </w:t>
            </w:r>
            <w:r>
              <w:rPr>
                <w:noProof/>
                <w:webHidden/>
              </w:rPr>
              <w:tab/>
            </w:r>
            <w:r>
              <w:rPr>
                <w:noProof/>
                <w:webHidden/>
              </w:rPr>
              <w:fldChar w:fldCharType="begin"/>
            </w:r>
            <w:r>
              <w:rPr>
                <w:noProof/>
                <w:webHidden/>
              </w:rPr>
              <w:instrText xml:space="preserve"> PAGEREF _Toc214949003 \h </w:instrText>
            </w:r>
            <w:r>
              <w:rPr>
                <w:noProof/>
                <w:webHidden/>
              </w:rPr>
            </w:r>
            <w:r>
              <w:rPr>
                <w:noProof/>
                <w:webHidden/>
              </w:rPr>
              <w:fldChar w:fldCharType="separate"/>
            </w:r>
            <w:r w:rsidR="002E2E0B">
              <w:rPr>
                <w:noProof/>
                <w:webHidden/>
              </w:rPr>
              <w:t>v</w:t>
            </w:r>
            <w:r>
              <w:rPr>
                <w:noProof/>
                <w:webHidden/>
              </w:rPr>
              <w:fldChar w:fldCharType="end"/>
            </w:r>
          </w:hyperlink>
        </w:p>
        <w:p w14:paraId="5CFD7B86" w14:textId="77777777" w:rsidR="00EA170B" w:rsidRDefault="00EA170B">
          <w:pPr>
            <w:pStyle w:val="TOC1"/>
            <w:tabs>
              <w:tab w:val="right" w:leader="dot" w:pos="9350"/>
            </w:tabs>
            <w:rPr>
              <w:rFonts w:asciiTheme="minorHAnsi" w:eastAsiaTheme="minorEastAsia" w:hAnsiTheme="minorHAnsi" w:cstheme="minorBidi"/>
              <w:noProof/>
            </w:rPr>
          </w:pPr>
          <w:hyperlink w:anchor="_Toc214949004" w:history="1">
            <w:r w:rsidRPr="00D74A95">
              <w:rPr>
                <w:rStyle w:val="Hyperlink"/>
                <w:rFonts w:ascii="Times New Roman" w:hAnsi="Times New Roman"/>
                <w:noProof/>
              </w:rPr>
              <w:t>Corporate Evidence</w:t>
            </w:r>
            <w:r w:rsidRPr="00D74A95">
              <w:rPr>
                <w:rStyle w:val="Hyperlink"/>
                <w:noProof/>
              </w:rPr>
              <w:t xml:space="preserve"> </w:t>
            </w:r>
            <w:r>
              <w:rPr>
                <w:noProof/>
                <w:webHidden/>
              </w:rPr>
              <w:tab/>
            </w:r>
            <w:r>
              <w:rPr>
                <w:noProof/>
                <w:webHidden/>
              </w:rPr>
              <w:fldChar w:fldCharType="begin"/>
            </w:r>
            <w:r>
              <w:rPr>
                <w:noProof/>
                <w:webHidden/>
              </w:rPr>
              <w:instrText xml:space="preserve"> PAGEREF _Toc214949004 \h </w:instrText>
            </w:r>
            <w:r>
              <w:rPr>
                <w:noProof/>
                <w:webHidden/>
              </w:rPr>
            </w:r>
            <w:r>
              <w:rPr>
                <w:noProof/>
                <w:webHidden/>
              </w:rPr>
              <w:fldChar w:fldCharType="separate"/>
            </w:r>
            <w:r w:rsidR="002E2E0B">
              <w:rPr>
                <w:noProof/>
                <w:webHidden/>
              </w:rPr>
              <w:t>vi</w:t>
            </w:r>
            <w:r>
              <w:rPr>
                <w:noProof/>
                <w:webHidden/>
              </w:rPr>
              <w:fldChar w:fldCharType="end"/>
            </w:r>
          </w:hyperlink>
        </w:p>
        <w:p w14:paraId="0378BBB9" w14:textId="77777777" w:rsidR="00EA170B" w:rsidRDefault="00EA170B">
          <w:pPr>
            <w:pStyle w:val="TOC1"/>
            <w:tabs>
              <w:tab w:val="right" w:leader="dot" w:pos="9350"/>
            </w:tabs>
            <w:rPr>
              <w:rFonts w:asciiTheme="minorHAnsi" w:eastAsiaTheme="minorEastAsia" w:hAnsiTheme="minorHAnsi" w:cstheme="minorBidi"/>
              <w:noProof/>
            </w:rPr>
          </w:pPr>
          <w:hyperlink w:anchor="_Toc214949005" w:history="1">
            <w:r w:rsidRPr="00D74A95">
              <w:rPr>
                <w:rStyle w:val="Hyperlink"/>
                <w:rFonts w:ascii="Times New Roman" w:hAnsi="Times New Roman"/>
                <w:noProof/>
              </w:rPr>
              <w:t>Acknowledgement</w:t>
            </w:r>
            <w:r>
              <w:rPr>
                <w:noProof/>
                <w:webHidden/>
              </w:rPr>
              <w:tab/>
            </w:r>
            <w:r>
              <w:rPr>
                <w:noProof/>
                <w:webHidden/>
              </w:rPr>
              <w:fldChar w:fldCharType="begin"/>
            </w:r>
            <w:r>
              <w:rPr>
                <w:noProof/>
                <w:webHidden/>
              </w:rPr>
              <w:instrText xml:space="preserve"> PAGEREF _Toc214949005 \h </w:instrText>
            </w:r>
            <w:r>
              <w:rPr>
                <w:noProof/>
                <w:webHidden/>
              </w:rPr>
            </w:r>
            <w:r>
              <w:rPr>
                <w:noProof/>
                <w:webHidden/>
              </w:rPr>
              <w:fldChar w:fldCharType="separate"/>
            </w:r>
            <w:r w:rsidR="002E2E0B">
              <w:rPr>
                <w:noProof/>
                <w:webHidden/>
              </w:rPr>
              <w:t>vii</w:t>
            </w:r>
            <w:r>
              <w:rPr>
                <w:noProof/>
                <w:webHidden/>
              </w:rPr>
              <w:fldChar w:fldCharType="end"/>
            </w:r>
          </w:hyperlink>
        </w:p>
        <w:p w14:paraId="49C64BDF" w14:textId="77777777" w:rsidR="00EA170B" w:rsidRDefault="00EA170B">
          <w:pPr>
            <w:pStyle w:val="TOC1"/>
            <w:tabs>
              <w:tab w:val="right" w:leader="dot" w:pos="9350"/>
            </w:tabs>
            <w:rPr>
              <w:rFonts w:asciiTheme="minorHAnsi" w:eastAsiaTheme="minorEastAsia" w:hAnsiTheme="minorHAnsi" w:cstheme="minorBidi"/>
              <w:noProof/>
            </w:rPr>
          </w:pPr>
          <w:hyperlink w:anchor="_Toc214949006" w:history="1">
            <w:r w:rsidRPr="00D74A95">
              <w:rPr>
                <w:rStyle w:val="Hyperlink"/>
                <w:rFonts w:ascii="Times New Roman" w:hAnsi="Times New Roman"/>
                <w:noProof/>
              </w:rPr>
              <w:t>Executive Summary</w:t>
            </w:r>
            <w:r>
              <w:rPr>
                <w:noProof/>
                <w:webHidden/>
              </w:rPr>
              <w:tab/>
            </w:r>
            <w:r>
              <w:rPr>
                <w:noProof/>
                <w:webHidden/>
              </w:rPr>
              <w:fldChar w:fldCharType="begin"/>
            </w:r>
            <w:r>
              <w:rPr>
                <w:noProof/>
                <w:webHidden/>
              </w:rPr>
              <w:instrText xml:space="preserve"> PAGEREF _Toc214949006 \h </w:instrText>
            </w:r>
            <w:r>
              <w:rPr>
                <w:noProof/>
                <w:webHidden/>
              </w:rPr>
            </w:r>
            <w:r>
              <w:rPr>
                <w:noProof/>
                <w:webHidden/>
              </w:rPr>
              <w:fldChar w:fldCharType="separate"/>
            </w:r>
            <w:r w:rsidR="002E2E0B">
              <w:rPr>
                <w:noProof/>
                <w:webHidden/>
              </w:rPr>
              <w:t>viii</w:t>
            </w:r>
            <w:r>
              <w:rPr>
                <w:noProof/>
                <w:webHidden/>
              </w:rPr>
              <w:fldChar w:fldCharType="end"/>
            </w:r>
          </w:hyperlink>
        </w:p>
        <w:p w14:paraId="57599588" w14:textId="77777777" w:rsidR="00EA170B" w:rsidRDefault="00EA170B">
          <w:pPr>
            <w:pStyle w:val="TOC1"/>
            <w:tabs>
              <w:tab w:val="right" w:leader="dot" w:pos="9350"/>
            </w:tabs>
            <w:rPr>
              <w:rFonts w:asciiTheme="minorHAnsi" w:eastAsiaTheme="minorEastAsia" w:hAnsiTheme="minorHAnsi" w:cstheme="minorBidi"/>
              <w:noProof/>
            </w:rPr>
          </w:pPr>
          <w:hyperlink w:anchor="_Toc214949007" w:history="1">
            <w:r w:rsidRPr="00D74A95">
              <w:rPr>
                <w:rStyle w:val="Hyperlink"/>
                <w:rFonts w:ascii="Times New Roman" w:hAnsi="Times New Roman"/>
                <w:noProof/>
              </w:rPr>
              <w:t>List of Tables</w:t>
            </w:r>
            <w:r>
              <w:rPr>
                <w:noProof/>
                <w:webHidden/>
              </w:rPr>
              <w:tab/>
            </w:r>
            <w:r>
              <w:rPr>
                <w:noProof/>
                <w:webHidden/>
              </w:rPr>
              <w:fldChar w:fldCharType="begin"/>
            </w:r>
            <w:r>
              <w:rPr>
                <w:noProof/>
                <w:webHidden/>
              </w:rPr>
              <w:instrText xml:space="preserve"> PAGEREF _Toc214949007 \h </w:instrText>
            </w:r>
            <w:r>
              <w:rPr>
                <w:noProof/>
                <w:webHidden/>
              </w:rPr>
            </w:r>
            <w:r>
              <w:rPr>
                <w:noProof/>
                <w:webHidden/>
              </w:rPr>
              <w:fldChar w:fldCharType="separate"/>
            </w:r>
            <w:r w:rsidR="002E2E0B">
              <w:rPr>
                <w:noProof/>
                <w:webHidden/>
              </w:rPr>
              <w:t>xi</w:t>
            </w:r>
            <w:r>
              <w:rPr>
                <w:noProof/>
                <w:webHidden/>
              </w:rPr>
              <w:fldChar w:fldCharType="end"/>
            </w:r>
          </w:hyperlink>
        </w:p>
        <w:p w14:paraId="22CA7559" w14:textId="77777777" w:rsidR="00EA170B" w:rsidRDefault="00EA170B">
          <w:pPr>
            <w:pStyle w:val="TOC1"/>
            <w:tabs>
              <w:tab w:val="right" w:leader="dot" w:pos="9350"/>
            </w:tabs>
            <w:rPr>
              <w:rFonts w:asciiTheme="minorHAnsi" w:eastAsiaTheme="minorEastAsia" w:hAnsiTheme="minorHAnsi" w:cstheme="minorBidi"/>
              <w:noProof/>
            </w:rPr>
          </w:pPr>
          <w:hyperlink w:anchor="_Toc214949008" w:history="1">
            <w:r w:rsidRPr="00D74A95">
              <w:rPr>
                <w:rStyle w:val="Hyperlink"/>
                <w:rFonts w:ascii="Times New Roman" w:hAnsi="Times New Roman"/>
                <w:noProof/>
              </w:rPr>
              <w:t>List of Acronyms</w:t>
            </w:r>
            <w:r>
              <w:rPr>
                <w:noProof/>
                <w:webHidden/>
              </w:rPr>
              <w:tab/>
            </w:r>
            <w:r>
              <w:rPr>
                <w:noProof/>
                <w:webHidden/>
              </w:rPr>
              <w:fldChar w:fldCharType="begin"/>
            </w:r>
            <w:r>
              <w:rPr>
                <w:noProof/>
                <w:webHidden/>
              </w:rPr>
              <w:instrText xml:space="preserve"> PAGEREF _Toc214949008 \h </w:instrText>
            </w:r>
            <w:r>
              <w:rPr>
                <w:noProof/>
                <w:webHidden/>
              </w:rPr>
            </w:r>
            <w:r>
              <w:rPr>
                <w:noProof/>
                <w:webHidden/>
              </w:rPr>
              <w:fldChar w:fldCharType="separate"/>
            </w:r>
            <w:r w:rsidR="002E2E0B">
              <w:rPr>
                <w:noProof/>
                <w:webHidden/>
              </w:rPr>
              <w:t>xii</w:t>
            </w:r>
            <w:r>
              <w:rPr>
                <w:noProof/>
                <w:webHidden/>
              </w:rPr>
              <w:fldChar w:fldCharType="end"/>
            </w:r>
          </w:hyperlink>
        </w:p>
        <w:p w14:paraId="4C04A33C" w14:textId="77777777" w:rsidR="00EA170B" w:rsidRDefault="00EA170B">
          <w:pPr>
            <w:pStyle w:val="TOC1"/>
            <w:tabs>
              <w:tab w:val="left" w:pos="660"/>
              <w:tab w:val="right" w:leader="dot" w:pos="9350"/>
            </w:tabs>
            <w:rPr>
              <w:rFonts w:asciiTheme="minorHAnsi" w:eastAsiaTheme="minorEastAsia" w:hAnsiTheme="minorHAnsi" w:cstheme="minorBidi"/>
              <w:noProof/>
            </w:rPr>
          </w:pPr>
          <w:hyperlink w:anchor="_Toc214949009" w:history="1">
            <w:r w:rsidRPr="00D74A95">
              <w:rPr>
                <w:rStyle w:val="Hyperlink"/>
                <w:rFonts w:ascii="Times New Roman" w:hAnsi="Times New Roman"/>
                <w:noProof/>
              </w:rPr>
              <w:t>1.1</w:t>
            </w:r>
            <w:r>
              <w:rPr>
                <w:rFonts w:asciiTheme="minorHAnsi" w:eastAsiaTheme="minorEastAsia" w:hAnsiTheme="minorHAnsi" w:cstheme="minorBidi"/>
                <w:noProof/>
              </w:rPr>
              <w:tab/>
            </w:r>
            <w:r w:rsidRPr="00D74A95">
              <w:rPr>
                <w:rStyle w:val="Hyperlink"/>
                <w:rFonts w:ascii="Times New Roman" w:hAnsi="Times New Roman"/>
                <w:noProof/>
              </w:rPr>
              <w:t>Background of the Report</w:t>
            </w:r>
            <w:r>
              <w:rPr>
                <w:noProof/>
                <w:webHidden/>
              </w:rPr>
              <w:tab/>
            </w:r>
            <w:r>
              <w:rPr>
                <w:noProof/>
                <w:webHidden/>
              </w:rPr>
              <w:fldChar w:fldCharType="begin"/>
            </w:r>
            <w:r>
              <w:rPr>
                <w:noProof/>
                <w:webHidden/>
              </w:rPr>
              <w:instrText xml:space="preserve"> PAGEREF _Toc214949009 \h </w:instrText>
            </w:r>
            <w:r>
              <w:rPr>
                <w:noProof/>
                <w:webHidden/>
              </w:rPr>
            </w:r>
            <w:r>
              <w:rPr>
                <w:noProof/>
                <w:webHidden/>
              </w:rPr>
              <w:fldChar w:fldCharType="separate"/>
            </w:r>
            <w:r w:rsidR="002E2E0B">
              <w:rPr>
                <w:noProof/>
                <w:webHidden/>
              </w:rPr>
              <w:t>2</w:t>
            </w:r>
            <w:r>
              <w:rPr>
                <w:noProof/>
                <w:webHidden/>
              </w:rPr>
              <w:fldChar w:fldCharType="end"/>
            </w:r>
          </w:hyperlink>
        </w:p>
        <w:p w14:paraId="68F70EB5" w14:textId="77777777" w:rsidR="00EA170B" w:rsidRDefault="00EA170B">
          <w:pPr>
            <w:pStyle w:val="TOC1"/>
            <w:tabs>
              <w:tab w:val="left" w:pos="660"/>
              <w:tab w:val="right" w:leader="dot" w:pos="9350"/>
            </w:tabs>
            <w:rPr>
              <w:rFonts w:asciiTheme="minorHAnsi" w:eastAsiaTheme="minorEastAsia" w:hAnsiTheme="minorHAnsi" w:cstheme="minorBidi"/>
              <w:noProof/>
            </w:rPr>
          </w:pPr>
          <w:hyperlink w:anchor="_Toc214949010" w:history="1">
            <w:r w:rsidRPr="00D74A95">
              <w:rPr>
                <w:rStyle w:val="Hyperlink"/>
                <w:rFonts w:ascii="Times New Roman" w:hAnsi="Times New Roman"/>
                <w:noProof/>
              </w:rPr>
              <w:t>1.2</w:t>
            </w:r>
            <w:r>
              <w:rPr>
                <w:rFonts w:asciiTheme="minorHAnsi" w:eastAsiaTheme="minorEastAsia" w:hAnsiTheme="minorHAnsi" w:cstheme="minorBidi"/>
                <w:noProof/>
              </w:rPr>
              <w:tab/>
            </w:r>
            <w:r w:rsidRPr="00D74A95">
              <w:rPr>
                <w:rStyle w:val="Hyperlink"/>
                <w:rFonts w:ascii="Times New Roman" w:hAnsi="Times New Roman"/>
                <w:noProof/>
              </w:rPr>
              <w:t>Objectives of the Report</w:t>
            </w:r>
            <w:r>
              <w:rPr>
                <w:noProof/>
                <w:webHidden/>
              </w:rPr>
              <w:tab/>
            </w:r>
            <w:r>
              <w:rPr>
                <w:noProof/>
                <w:webHidden/>
              </w:rPr>
              <w:fldChar w:fldCharType="begin"/>
            </w:r>
            <w:r>
              <w:rPr>
                <w:noProof/>
                <w:webHidden/>
              </w:rPr>
              <w:instrText xml:space="preserve"> PAGEREF _Toc214949010 \h </w:instrText>
            </w:r>
            <w:r>
              <w:rPr>
                <w:noProof/>
                <w:webHidden/>
              </w:rPr>
            </w:r>
            <w:r>
              <w:rPr>
                <w:noProof/>
                <w:webHidden/>
              </w:rPr>
              <w:fldChar w:fldCharType="separate"/>
            </w:r>
            <w:r w:rsidR="002E2E0B">
              <w:rPr>
                <w:noProof/>
                <w:webHidden/>
              </w:rPr>
              <w:t>2</w:t>
            </w:r>
            <w:r>
              <w:rPr>
                <w:noProof/>
                <w:webHidden/>
              </w:rPr>
              <w:fldChar w:fldCharType="end"/>
            </w:r>
          </w:hyperlink>
        </w:p>
        <w:p w14:paraId="68FC34C1" w14:textId="77777777" w:rsidR="00EA170B" w:rsidRDefault="00EA170B">
          <w:pPr>
            <w:pStyle w:val="TOC1"/>
            <w:tabs>
              <w:tab w:val="right" w:leader="dot" w:pos="9350"/>
            </w:tabs>
            <w:rPr>
              <w:rFonts w:asciiTheme="minorHAnsi" w:eastAsiaTheme="minorEastAsia" w:hAnsiTheme="minorHAnsi" w:cstheme="minorBidi"/>
              <w:noProof/>
            </w:rPr>
          </w:pPr>
          <w:hyperlink w:anchor="_Toc214949011" w:history="1">
            <w:r w:rsidRPr="00D74A95">
              <w:rPr>
                <w:rStyle w:val="Hyperlink"/>
                <w:rFonts w:ascii="Times New Roman" w:hAnsi="Times New Roman"/>
                <w:noProof/>
              </w:rPr>
              <w:t>1.3 Methodology</w:t>
            </w:r>
            <w:r>
              <w:rPr>
                <w:noProof/>
                <w:webHidden/>
              </w:rPr>
              <w:tab/>
            </w:r>
            <w:r>
              <w:rPr>
                <w:noProof/>
                <w:webHidden/>
              </w:rPr>
              <w:fldChar w:fldCharType="begin"/>
            </w:r>
            <w:r>
              <w:rPr>
                <w:noProof/>
                <w:webHidden/>
              </w:rPr>
              <w:instrText xml:space="preserve"> PAGEREF _Toc214949011 \h </w:instrText>
            </w:r>
            <w:r>
              <w:rPr>
                <w:noProof/>
                <w:webHidden/>
              </w:rPr>
            </w:r>
            <w:r>
              <w:rPr>
                <w:noProof/>
                <w:webHidden/>
              </w:rPr>
              <w:fldChar w:fldCharType="separate"/>
            </w:r>
            <w:r w:rsidR="002E2E0B">
              <w:rPr>
                <w:noProof/>
                <w:webHidden/>
              </w:rPr>
              <w:t>3</w:t>
            </w:r>
            <w:r>
              <w:rPr>
                <w:noProof/>
                <w:webHidden/>
              </w:rPr>
              <w:fldChar w:fldCharType="end"/>
            </w:r>
          </w:hyperlink>
        </w:p>
        <w:p w14:paraId="2E80CBBF" w14:textId="77777777" w:rsidR="00EA170B" w:rsidRDefault="00EA170B">
          <w:pPr>
            <w:pStyle w:val="TOC1"/>
            <w:tabs>
              <w:tab w:val="right" w:leader="dot" w:pos="9350"/>
            </w:tabs>
            <w:rPr>
              <w:rFonts w:asciiTheme="minorHAnsi" w:eastAsiaTheme="minorEastAsia" w:hAnsiTheme="minorHAnsi" w:cstheme="minorBidi"/>
              <w:noProof/>
            </w:rPr>
          </w:pPr>
          <w:hyperlink w:anchor="_Toc214949012" w:history="1">
            <w:r w:rsidRPr="00D74A95">
              <w:rPr>
                <w:rStyle w:val="Hyperlink"/>
                <w:rFonts w:ascii="Times New Roman" w:hAnsi="Times New Roman"/>
                <w:noProof/>
              </w:rPr>
              <w:t>1.4 Rationale of the Report</w:t>
            </w:r>
            <w:r>
              <w:rPr>
                <w:noProof/>
                <w:webHidden/>
              </w:rPr>
              <w:tab/>
            </w:r>
            <w:r>
              <w:rPr>
                <w:noProof/>
                <w:webHidden/>
              </w:rPr>
              <w:fldChar w:fldCharType="begin"/>
            </w:r>
            <w:r>
              <w:rPr>
                <w:noProof/>
                <w:webHidden/>
              </w:rPr>
              <w:instrText xml:space="preserve"> PAGEREF _Toc214949012 \h </w:instrText>
            </w:r>
            <w:r>
              <w:rPr>
                <w:noProof/>
                <w:webHidden/>
              </w:rPr>
            </w:r>
            <w:r>
              <w:rPr>
                <w:noProof/>
                <w:webHidden/>
              </w:rPr>
              <w:fldChar w:fldCharType="separate"/>
            </w:r>
            <w:r w:rsidR="002E2E0B">
              <w:rPr>
                <w:noProof/>
                <w:webHidden/>
              </w:rPr>
              <w:t>4</w:t>
            </w:r>
            <w:r>
              <w:rPr>
                <w:noProof/>
                <w:webHidden/>
              </w:rPr>
              <w:fldChar w:fldCharType="end"/>
            </w:r>
          </w:hyperlink>
        </w:p>
        <w:p w14:paraId="1E152CFD" w14:textId="77777777" w:rsidR="00EA170B" w:rsidRDefault="00EA170B">
          <w:pPr>
            <w:pStyle w:val="TOC1"/>
            <w:tabs>
              <w:tab w:val="right" w:leader="dot" w:pos="9350"/>
            </w:tabs>
            <w:rPr>
              <w:rFonts w:asciiTheme="minorHAnsi" w:eastAsiaTheme="minorEastAsia" w:hAnsiTheme="minorHAnsi" w:cstheme="minorBidi"/>
              <w:noProof/>
            </w:rPr>
          </w:pPr>
          <w:hyperlink w:anchor="_Toc214949013" w:history="1">
            <w:r w:rsidRPr="00D74A95">
              <w:rPr>
                <w:rStyle w:val="Hyperlink"/>
                <w:rFonts w:ascii="Times New Roman" w:hAnsi="Times New Roman"/>
                <w:noProof/>
              </w:rPr>
              <w:t>1.5 Scope and Limitations of the Report</w:t>
            </w:r>
            <w:r>
              <w:rPr>
                <w:noProof/>
                <w:webHidden/>
              </w:rPr>
              <w:tab/>
            </w:r>
            <w:r>
              <w:rPr>
                <w:noProof/>
                <w:webHidden/>
              </w:rPr>
              <w:fldChar w:fldCharType="begin"/>
            </w:r>
            <w:r>
              <w:rPr>
                <w:noProof/>
                <w:webHidden/>
              </w:rPr>
              <w:instrText xml:space="preserve"> PAGEREF _Toc214949013 \h </w:instrText>
            </w:r>
            <w:r>
              <w:rPr>
                <w:noProof/>
                <w:webHidden/>
              </w:rPr>
            </w:r>
            <w:r>
              <w:rPr>
                <w:noProof/>
                <w:webHidden/>
              </w:rPr>
              <w:fldChar w:fldCharType="separate"/>
            </w:r>
            <w:r w:rsidR="002E2E0B">
              <w:rPr>
                <w:noProof/>
                <w:webHidden/>
              </w:rPr>
              <w:t>4</w:t>
            </w:r>
            <w:r>
              <w:rPr>
                <w:noProof/>
                <w:webHidden/>
              </w:rPr>
              <w:fldChar w:fldCharType="end"/>
            </w:r>
          </w:hyperlink>
        </w:p>
        <w:p w14:paraId="2D6BAE24" w14:textId="77777777" w:rsidR="00EA170B" w:rsidRDefault="00EA170B">
          <w:pPr>
            <w:pStyle w:val="TOC1"/>
            <w:tabs>
              <w:tab w:val="right" w:leader="dot" w:pos="9350"/>
            </w:tabs>
            <w:rPr>
              <w:rFonts w:asciiTheme="minorHAnsi" w:eastAsiaTheme="minorEastAsia" w:hAnsiTheme="minorHAnsi" w:cstheme="minorBidi"/>
              <w:noProof/>
            </w:rPr>
          </w:pPr>
          <w:hyperlink w:anchor="_Toc214949014" w:history="1">
            <w:r w:rsidRPr="00D74A95">
              <w:rPr>
                <w:rStyle w:val="Hyperlink"/>
                <w:rFonts w:ascii="Times New Roman" w:hAnsi="Times New Roman"/>
                <w:noProof/>
              </w:rPr>
              <w:t>1.6 Definition of Key Terms</w:t>
            </w:r>
            <w:r>
              <w:rPr>
                <w:noProof/>
                <w:webHidden/>
              </w:rPr>
              <w:tab/>
            </w:r>
            <w:r>
              <w:rPr>
                <w:noProof/>
                <w:webHidden/>
              </w:rPr>
              <w:fldChar w:fldCharType="begin"/>
            </w:r>
            <w:r>
              <w:rPr>
                <w:noProof/>
                <w:webHidden/>
              </w:rPr>
              <w:instrText xml:space="preserve"> PAGEREF _Toc214949014 \h </w:instrText>
            </w:r>
            <w:r>
              <w:rPr>
                <w:noProof/>
                <w:webHidden/>
              </w:rPr>
            </w:r>
            <w:r>
              <w:rPr>
                <w:noProof/>
                <w:webHidden/>
              </w:rPr>
              <w:fldChar w:fldCharType="separate"/>
            </w:r>
            <w:r w:rsidR="002E2E0B">
              <w:rPr>
                <w:noProof/>
                <w:webHidden/>
              </w:rPr>
              <w:t>5</w:t>
            </w:r>
            <w:r>
              <w:rPr>
                <w:noProof/>
                <w:webHidden/>
              </w:rPr>
              <w:fldChar w:fldCharType="end"/>
            </w:r>
          </w:hyperlink>
        </w:p>
        <w:p w14:paraId="170478D1" w14:textId="77777777" w:rsidR="00EA170B" w:rsidRDefault="00EA170B">
          <w:pPr>
            <w:pStyle w:val="TOC1"/>
            <w:tabs>
              <w:tab w:val="right" w:leader="dot" w:pos="9350"/>
            </w:tabs>
            <w:rPr>
              <w:rFonts w:asciiTheme="minorHAnsi" w:eastAsiaTheme="minorEastAsia" w:hAnsiTheme="minorHAnsi" w:cstheme="minorBidi"/>
              <w:noProof/>
            </w:rPr>
          </w:pPr>
          <w:hyperlink w:anchor="_Toc214949015" w:history="1">
            <w:r w:rsidRPr="00D74A95">
              <w:rPr>
                <w:rStyle w:val="Hyperlink"/>
                <w:rFonts w:ascii="Times New Roman" w:hAnsi="Times New Roman"/>
                <w:noProof/>
              </w:rPr>
              <w:t>2.1 Company Analysis</w:t>
            </w:r>
            <w:r>
              <w:rPr>
                <w:noProof/>
                <w:webHidden/>
              </w:rPr>
              <w:tab/>
            </w:r>
            <w:r>
              <w:rPr>
                <w:noProof/>
                <w:webHidden/>
              </w:rPr>
              <w:fldChar w:fldCharType="begin"/>
            </w:r>
            <w:r>
              <w:rPr>
                <w:noProof/>
                <w:webHidden/>
              </w:rPr>
              <w:instrText xml:space="preserve"> PAGEREF _Toc214949015 \h </w:instrText>
            </w:r>
            <w:r>
              <w:rPr>
                <w:noProof/>
                <w:webHidden/>
              </w:rPr>
            </w:r>
            <w:r>
              <w:rPr>
                <w:noProof/>
                <w:webHidden/>
              </w:rPr>
              <w:fldChar w:fldCharType="separate"/>
            </w:r>
            <w:r w:rsidR="002E2E0B">
              <w:rPr>
                <w:noProof/>
                <w:webHidden/>
              </w:rPr>
              <w:t>8</w:t>
            </w:r>
            <w:r>
              <w:rPr>
                <w:noProof/>
                <w:webHidden/>
              </w:rPr>
              <w:fldChar w:fldCharType="end"/>
            </w:r>
          </w:hyperlink>
        </w:p>
        <w:p w14:paraId="219BA652" w14:textId="77777777" w:rsidR="00EA170B" w:rsidRDefault="00EA170B">
          <w:pPr>
            <w:pStyle w:val="TOC2"/>
            <w:tabs>
              <w:tab w:val="right" w:leader="dot" w:pos="9350"/>
            </w:tabs>
            <w:rPr>
              <w:rFonts w:asciiTheme="minorHAnsi" w:eastAsiaTheme="minorEastAsia" w:hAnsiTheme="minorHAnsi" w:cstheme="minorBidi"/>
              <w:noProof/>
            </w:rPr>
          </w:pPr>
          <w:hyperlink w:anchor="_Toc214949016" w:history="1">
            <w:r w:rsidRPr="00D74A95">
              <w:rPr>
                <w:rStyle w:val="Hyperlink"/>
                <w:rFonts w:ascii="Times New Roman" w:hAnsi="Times New Roman"/>
                <w:b/>
                <w:noProof/>
              </w:rPr>
              <w:t>2.1.1 Overview and History</w:t>
            </w:r>
            <w:r>
              <w:rPr>
                <w:noProof/>
                <w:webHidden/>
              </w:rPr>
              <w:tab/>
            </w:r>
            <w:r>
              <w:rPr>
                <w:noProof/>
                <w:webHidden/>
              </w:rPr>
              <w:fldChar w:fldCharType="begin"/>
            </w:r>
            <w:r>
              <w:rPr>
                <w:noProof/>
                <w:webHidden/>
              </w:rPr>
              <w:instrText xml:space="preserve"> PAGEREF _Toc214949016 \h </w:instrText>
            </w:r>
            <w:r>
              <w:rPr>
                <w:noProof/>
                <w:webHidden/>
              </w:rPr>
            </w:r>
            <w:r>
              <w:rPr>
                <w:noProof/>
                <w:webHidden/>
              </w:rPr>
              <w:fldChar w:fldCharType="separate"/>
            </w:r>
            <w:r w:rsidR="002E2E0B">
              <w:rPr>
                <w:noProof/>
                <w:webHidden/>
              </w:rPr>
              <w:t>8</w:t>
            </w:r>
            <w:r>
              <w:rPr>
                <w:noProof/>
                <w:webHidden/>
              </w:rPr>
              <w:fldChar w:fldCharType="end"/>
            </w:r>
          </w:hyperlink>
        </w:p>
        <w:p w14:paraId="6B485AB3" w14:textId="77777777" w:rsidR="00EA170B" w:rsidRDefault="00EA170B">
          <w:pPr>
            <w:pStyle w:val="TOC2"/>
            <w:tabs>
              <w:tab w:val="right" w:leader="dot" w:pos="9350"/>
            </w:tabs>
            <w:rPr>
              <w:rFonts w:asciiTheme="minorHAnsi" w:eastAsiaTheme="minorEastAsia" w:hAnsiTheme="minorHAnsi" w:cstheme="minorBidi"/>
              <w:noProof/>
            </w:rPr>
          </w:pPr>
          <w:hyperlink w:anchor="_Toc214949017" w:history="1">
            <w:r w:rsidRPr="00D74A95">
              <w:rPr>
                <w:rStyle w:val="Hyperlink"/>
                <w:rFonts w:ascii="Times New Roman" w:hAnsi="Times New Roman"/>
                <w:b/>
                <w:noProof/>
              </w:rPr>
              <w:t>2.1.2 Vision, Mission, and Values</w:t>
            </w:r>
            <w:r>
              <w:rPr>
                <w:noProof/>
                <w:webHidden/>
              </w:rPr>
              <w:tab/>
            </w:r>
            <w:r>
              <w:rPr>
                <w:noProof/>
                <w:webHidden/>
              </w:rPr>
              <w:fldChar w:fldCharType="begin"/>
            </w:r>
            <w:r>
              <w:rPr>
                <w:noProof/>
                <w:webHidden/>
              </w:rPr>
              <w:instrText xml:space="preserve"> PAGEREF _Toc214949017 \h </w:instrText>
            </w:r>
            <w:r>
              <w:rPr>
                <w:noProof/>
                <w:webHidden/>
              </w:rPr>
            </w:r>
            <w:r>
              <w:rPr>
                <w:noProof/>
                <w:webHidden/>
              </w:rPr>
              <w:fldChar w:fldCharType="separate"/>
            </w:r>
            <w:r w:rsidR="002E2E0B">
              <w:rPr>
                <w:noProof/>
                <w:webHidden/>
              </w:rPr>
              <w:t>8</w:t>
            </w:r>
            <w:r>
              <w:rPr>
                <w:noProof/>
                <w:webHidden/>
              </w:rPr>
              <w:fldChar w:fldCharType="end"/>
            </w:r>
          </w:hyperlink>
        </w:p>
        <w:p w14:paraId="51CC66BC" w14:textId="77777777" w:rsidR="00EA170B" w:rsidRDefault="00EA170B">
          <w:pPr>
            <w:pStyle w:val="TOC2"/>
            <w:tabs>
              <w:tab w:val="right" w:leader="dot" w:pos="9350"/>
            </w:tabs>
            <w:rPr>
              <w:rFonts w:asciiTheme="minorHAnsi" w:eastAsiaTheme="minorEastAsia" w:hAnsiTheme="minorHAnsi" w:cstheme="minorBidi"/>
              <w:noProof/>
            </w:rPr>
          </w:pPr>
          <w:hyperlink w:anchor="_Toc214949018" w:history="1">
            <w:r w:rsidRPr="00D74A95">
              <w:rPr>
                <w:rStyle w:val="Hyperlink"/>
                <w:rFonts w:ascii="Times New Roman" w:hAnsi="Times New Roman"/>
                <w:b/>
                <w:noProof/>
              </w:rPr>
              <w:t>2.1.3 Trend and Growth</w:t>
            </w:r>
            <w:r>
              <w:rPr>
                <w:noProof/>
                <w:webHidden/>
              </w:rPr>
              <w:tab/>
            </w:r>
            <w:r>
              <w:rPr>
                <w:noProof/>
                <w:webHidden/>
              </w:rPr>
              <w:fldChar w:fldCharType="begin"/>
            </w:r>
            <w:r>
              <w:rPr>
                <w:noProof/>
                <w:webHidden/>
              </w:rPr>
              <w:instrText xml:space="preserve"> PAGEREF _Toc214949018 \h </w:instrText>
            </w:r>
            <w:r>
              <w:rPr>
                <w:noProof/>
                <w:webHidden/>
              </w:rPr>
            </w:r>
            <w:r>
              <w:rPr>
                <w:noProof/>
                <w:webHidden/>
              </w:rPr>
              <w:fldChar w:fldCharType="separate"/>
            </w:r>
            <w:r w:rsidR="002E2E0B">
              <w:rPr>
                <w:noProof/>
                <w:webHidden/>
              </w:rPr>
              <w:t>9</w:t>
            </w:r>
            <w:r>
              <w:rPr>
                <w:noProof/>
                <w:webHidden/>
              </w:rPr>
              <w:fldChar w:fldCharType="end"/>
            </w:r>
          </w:hyperlink>
        </w:p>
        <w:p w14:paraId="298E0EBE" w14:textId="77777777" w:rsidR="00EA170B" w:rsidRDefault="00EA170B">
          <w:pPr>
            <w:pStyle w:val="TOC2"/>
            <w:tabs>
              <w:tab w:val="right" w:leader="dot" w:pos="9350"/>
            </w:tabs>
            <w:rPr>
              <w:rFonts w:asciiTheme="minorHAnsi" w:eastAsiaTheme="minorEastAsia" w:hAnsiTheme="minorHAnsi" w:cstheme="minorBidi"/>
              <w:noProof/>
            </w:rPr>
          </w:pPr>
          <w:hyperlink w:anchor="_Toc214949019" w:history="1">
            <w:r w:rsidRPr="00D74A95">
              <w:rPr>
                <w:rStyle w:val="Hyperlink"/>
                <w:rFonts w:ascii="Times New Roman" w:hAnsi="Times New Roman"/>
                <w:b/>
                <w:noProof/>
              </w:rPr>
              <w:t>2.1.4 Product/Service/Customer Mix</w:t>
            </w:r>
            <w:r>
              <w:rPr>
                <w:noProof/>
                <w:webHidden/>
              </w:rPr>
              <w:tab/>
            </w:r>
            <w:r>
              <w:rPr>
                <w:noProof/>
                <w:webHidden/>
              </w:rPr>
              <w:fldChar w:fldCharType="begin"/>
            </w:r>
            <w:r>
              <w:rPr>
                <w:noProof/>
                <w:webHidden/>
              </w:rPr>
              <w:instrText xml:space="preserve"> PAGEREF _Toc214949019 \h </w:instrText>
            </w:r>
            <w:r>
              <w:rPr>
                <w:noProof/>
                <w:webHidden/>
              </w:rPr>
            </w:r>
            <w:r>
              <w:rPr>
                <w:noProof/>
                <w:webHidden/>
              </w:rPr>
              <w:fldChar w:fldCharType="separate"/>
            </w:r>
            <w:r w:rsidR="002E2E0B">
              <w:rPr>
                <w:noProof/>
                <w:webHidden/>
              </w:rPr>
              <w:t>10</w:t>
            </w:r>
            <w:r>
              <w:rPr>
                <w:noProof/>
                <w:webHidden/>
              </w:rPr>
              <w:fldChar w:fldCharType="end"/>
            </w:r>
          </w:hyperlink>
        </w:p>
        <w:p w14:paraId="49D85DB3" w14:textId="77777777" w:rsidR="00EA170B" w:rsidRDefault="00EA170B">
          <w:pPr>
            <w:pStyle w:val="TOC2"/>
            <w:tabs>
              <w:tab w:val="right" w:leader="dot" w:pos="9350"/>
            </w:tabs>
            <w:rPr>
              <w:rFonts w:asciiTheme="minorHAnsi" w:eastAsiaTheme="minorEastAsia" w:hAnsiTheme="minorHAnsi" w:cstheme="minorBidi"/>
              <w:noProof/>
            </w:rPr>
          </w:pPr>
          <w:hyperlink w:anchor="_Toc214949020" w:history="1">
            <w:r w:rsidRPr="00D74A95">
              <w:rPr>
                <w:rStyle w:val="Hyperlink"/>
                <w:rFonts w:ascii="Times New Roman" w:hAnsi="Times New Roman"/>
                <w:b/>
                <w:noProof/>
              </w:rPr>
              <w:t>2.1.5 Company Operations/Activity</w:t>
            </w:r>
            <w:r>
              <w:rPr>
                <w:noProof/>
                <w:webHidden/>
              </w:rPr>
              <w:tab/>
            </w:r>
            <w:r>
              <w:rPr>
                <w:noProof/>
                <w:webHidden/>
              </w:rPr>
              <w:fldChar w:fldCharType="begin"/>
            </w:r>
            <w:r>
              <w:rPr>
                <w:noProof/>
                <w:webHidden/>
              </w:rPr>
              <w:instrText xml:space="preserve"> PAGEREF _Toc214949020 \h </w:instrText>
            </w:r>
            <w:r>
              <w:rPr>
                <w:noProof/>
                <w:webHidden/>
              </w:rPr>
            </w:r>
            <w:r>
              <w:rPr>
                <w:noProof/>
                <w:webHidden/>
              </w:rPr>
              <w:fldChar w:fldCharType="separate"/>
            </w:r>
            <w:r w:rsidR="002E2E0B">
              <w:rPr>
                <w:noProof/>
                <w:webHidden/>
              </w:rPr>
              <w:t>12</w:t>
            </w:r>
            <w:r>
              <w:rPr>
                <w:noProof/>
                <w:webHidden/>
              </w:rPr>
              <w:fldChar w:fldCharType="end"/>
            </w:r>
          </w:hyperlink>
        </w:p>
        <w:p w14:paraId="0C8F6B3B" w14:textId="77777777" w:rsidR="00EA170B" w:rsidRDefault="00EA170B">
          <w:pPr>
            <w:pStyle w:val="TOC2"/>
            <w:tabs>
              <w:tab w:val="right" w:leader="dot" w:pos="9350"/>
            </w:tabs>
            <w:rPr>
              <w:rFonts w:asciiTheme="minorHAnsi" w:eastAsiaTheme="minorEastAsia" w:hAnsiTheme="minorHAnsi" w:cstheme="minorBidi"/>
              <w:noProof/>
            </w:rPr>
          </w:pPr>
          <w:hyperlink w:anchor="_Toc214949021" w:history="1">
            <w:r w:rsidRPr="00D74A95">
              <w:rPr>
                <w:rStyle w:val="Hyperlink"/>
                <w:rFonts w:ascii="Times New Roman" w:hAnsi="Times New Roman"/>
                <w:b/>
                <w:noProof/>
              </w:rPr>
              <w:t>2.1.6 SWOT Analysis</w:t>
            </w:r>
            <w:r>
              <w:rPr>
                <w:noProof/>
                <w:webHidden/>
              </w:rPr>
              <w:tab/>
            </w:r>
            <w:r>
              <w:rPr>
                <w:noProof/>
                <w:webHidden/>
              </w:rPr>
              <w:fldChar w:fldCharType="begin"/>
            </w:r>
            <w:r>
              <w:rPr>
                <w:noProof/>
                <w:webHidden/>
              </w:rPr>
              <w:instrText xml:space="preserve"> PAGEREF _Toc214949021 \h </w:instrText>
            </w:r>
            <w:r>
              <w:rPr>
                <w:noProof/>
                <w:webHidden/>
              </w:rPr>
            </w:r>
            <w:r>
              <w:rPr>
                <w:noProof/>
                <w:webHidden/>
              </w:rPr>
              <w:fldChar w:fldCharType="separate"/>
            </w:r>
            <w:r w:rsidR="002E2E0B">
              <w:rPr>
                <w:noProof/>
                <w:webHidden/>
              </w:rPr>
              <w:t>15</w:t>
            </w:r>
            <w:r>
              <w:rPr>
                <w:noProof/>
                <w:webHidden/>
              </w:rPr>
              <w:fldChar w:fldCharType="end"/>
            </w:r>
          </w:hyperlink>
        </w:p>
        <w:p w14:paraId="751169AE" w14:textId="77777777" w:rsidR="00EA170B" w:rsidRDefault="00EA170B">
          <w:pPr>
            <w:pStyle w:val="TOC1"/>
            <w:tabs>
              <w:tab w:val="right" w:leader="dot" w:pos="9350"/>
            </w:tabs>
            <w:rPr>
              <w:rFonts w:asciiTheme="minorHAnsi" w:eastAsiaTheme="minorEastAsia" w:hAnsiTheme="minorHAnsi" w:cstheme="minorBidi"/>
              <w:noProof/>
            </w:rPr>
          </w:pPr>
          <w:hyperlink w:anchor="_Toc214949022" w:history="1">
            <w:r w:rsidRPr="00D74A95">
              <w:rPr>
                <w:rStyle w:val="Hyperlink"/>
                <w:rFonts w:ascii="Times New Roman" w:hAnsi="Times New Roman"/>
                <w:noProof/>
              </w:rPr>
              <w:t>2.2 Industry Analysis</w:t>
            </w:r>
            <w:r>
              <w:rPr>
                <w:noProof/>
                <w:webHidden/>
              </w:rPr>
              <w:tab/>
            </w:r>
            <w:r>
              <w:rPr>
                <w:noProof/>
                <w:webHidden/>
              </w:rPr>
              <w:fldChar w:fldCharType="begin"/>
            </w:r>
            <w:r>
              <w:rPr>
                <w:noProof/>
                <w:webHidden/>
              </w:rPr>
              <w:instrText xml:space="preserve"> PAGEREF _Toc214949022 \h </w:instrText>
            </w:r>
            <w:r>
              <w:rPr>
                <w:noProof/>
                <w:webHidden/>
              </w:rPr>
            </w:r>
            <w:r>
              <w:rPr>
                <w:noProof/>
                <w:webHidden/>
              </w:rPr>
              <w:fldChar w:fldCharType="separate"/>
            </w:r>
            <w:r w:rsidR="002E2E0B">
              <w:rPr>
                <w:noProof/>
                <w:webHidden/>
              </w:rPr>
              <w:t>17</w:t>
            </w:r>
            <w:r>
              <w:rPr>
                <w:noProof/>
                <w:webHidden/>
              </w:rPr>
              <w:fldChar w:fldCharType="end"/>
            </w:r>
          </w:hyperlink>
        </w:p>
        <w:p w14:paraId="381041B5" w14:textId="77777777" w:rsidR="00EA170B" w:rsidRDefault="00EA170B">
          <w:pPr>
            <w:pStyle w:val="TOC2"/>
            <w:tabs>
              <w:tab w:val="right" w:leader="dot" w:pos="9350"/>
            </w:tabs>
            <w:rPr>
              <w:rFonts w:asciiTheme="minorHAnsi" w:eastAsiaTheme="minorEastAsia" w:hAnsiTheme="minorHAnsi" w:cstheme="minorBidi"/>
              <w:noProof/>
            </w:rPr>
          </w:pPr>
          <w:hyperlink w:anchor="_Toc214949023" w:history="1">
            <w:r w:rsidRPr="00D74A95">
              <w:rPr>
                <w:rStyle w:val="Hyperlink"/>
                <w:rFonts w:ascii="Times New Roman" w:hAnsi="Times New Roman"/>
                <w:b/>
                <w:noProof/>
              </w:rPr>
              <w:t>2.2.1 Specification of the Industry</w:t>
            </w:r>
            <w:r>
              <w:rPr>
                <w:noProof/>
                <w:webHidden/>
              </w:rPr>
              <w:tab/>
            </w:r>
            <w:r>
              <w:rPr>
                <w:noProof/>
                <w:webHidden/>
              </w:rPr>
              <w:fldChar w:fldCharType="begin"/>
            </w:r>
            <w:r>
              <w:rPr>
                <w:noProof/>
                <w:webHidden/>
              </w:rPr>
              <w:instrText xml:space="preserve"> PAGEREF _Toc214949023 \h </w:instrText>
            </w:r>
            <w:r>
              <w:rPr>
                <w:noProof/>
                <w:webHidden/>
              </w:rPr>
            </w:r>
            <w:r>
              <w:rPr>
                <w:noProof/>
                <w:webHidden/>
              </w:rPr>
              <w:fldChar w:fldCharType="separate"/>
            </w:r>
            <w:r w:rsidR="002E2E0B">
              <w:rPr>
                <w:noProof/>
                <w:webHidden/>
              </w:rPr>
              <w:t>17</w:t>
            </w:r>
            <w:r>
              <w:rPr>
                <w:noProof/>
                <w:webHidden/>
              </w:rPr>
              <w:fldChar w:fldCharType="end"/>
            </w:r>
          </w:hyperlink>
        </w:p>
        <w:p w14:paraId="62B57C37" w14:textId="77777777" w:rsidR="00EA170B" w:rsidRDefault="00EA170B">
          <w:pPr>
            <w:pStyle w:val="TOC2"/>
            <w:tabs>
              <w:tab w:val="right" w:leader="dot" w:pos="9350"/>
            </w:tabs>
            <w:rPr>
              <w:rFonts w:asciiTheme="minorHAnsi" w:eastAsiaTheme="minorEastAsia" w:hAnsiTheme="minorHAnsi" w:cstheme="minorBidi"/>
              <w:noProof/>
            </w:rPr>
          </w:pPr>
          <w:hyperlink w:anchor="_Toc214949024" w:history="1">
            <w:r w:rsidRPr="00D74A95">
              <w:rPr>
                <w:rStyle w:val="Hyperlink"/>
                <w:rFonts w:ascii="Times New Roman" w:hAnsi="Times New Roman"/>
                <w:b/>
                <w:noProof/>
              </w:rPr>
              <w:t>2.2.2 The Size, Trend and Maturity of the Industry</w:t>
            </w:r>
            <w:r>
              <w:rPr>
                <w:noProof/>
                <w:webHidden/>
              </w:rPr>
              <w:tab/>
            </w:r>
            <w:r>
              <w:rPr>
                <w:noProof/>
                <w:webHidden/>
              </w:rPr>
              <w:fldChar w:fldCharType="begin"/>
            </w:r>
            <w:r>
              <w:rPr>
                <w:noProof/>
                <w:webHidden/>
              </w:rPr>
              <w:instrText xml:space="preserve"> PAGEREF _Toc214949024 \h </w:instrText>
            </w:r>
            <w:r>
              <w:rPr>
                <w:noProof/>
                <w:webHidden/>
              </w:rPr>
            </w:r>
            <w:r>
              <w:rPr>
                <w:noProof/>
                <w:webHidden/>
              </w:rPr>
              <w:fldChar w:fldCharType="separate"/>
            </w:r>
            <w:r w:rsidR="002E2E0B">
              <w:rPr>
                <w:noProof/>
                <w:webHidden/>
              </w:rPr>
              <w:t>18</w:t>
            </w:r>
            <w:r>
              <w:rPr>
                <w:noProof/>
                <w:webHidden/>
              </w:rPr>
              <w:fldChar w:fldCharType="end"/>
            </w:r>
          </w:hyperlink>
        </w:p>
        <w:p w14:paraId="676B4469" w14:textId="77777777" w:rsidR="00EA170B" w:rsidRDefault="00EA170B">
          <w:pPr>
            <w:pStyle w:val="TOC2"/>
            <w:tabs>
              <w:tab w:val="right" w:leader="dot" w:pos="9350"/>
            </w:tabs>
            <w:rPr>
              <w:rFonts w:asciiTheme="minorHAnsi" w:eastAsiaTheme="minorEastAsia" w:hAnsiTheme="minorHAnsi" w:cstheme="minorBidi"/>
              <w:noProof/>
            </w:rPr>
          </w:pPr>
          <w:hyperlink w:anchor="_Toc214949025" w:history="1">
            <w:r w:rsidRPr="00D74A95">
              <w:rPr>
                <w:rStyle w:val="Hyperlink"/>
                <w:rFonts w:ascii="Times New Roman" w:hAnsi="Times New Roman"/>
                <w:b/>
                <w:noProof/>
              </w:rPr>
              <w:t>2.2.3 Industry SWOT Analysis</w:t>
            </w:r>
            <w:r>
              <w:rPr>
                <w:noProof/>
                <w:webHidden/>
              </w:rPr>
              <w:tab/>
            </w:r>
            <w:r>
              <w:rPr>
                <w:noProof/>
                <w:webHidden/>
              </w:rPr>
              <w:fldChar w:fldCharType="begin"/>
            </w:r>
            <w:r>
              <w:rPr>
                <w:noProof/>
                <w:webHidden/>
              </w:rPr>
              <w:instrText xml:space="preserve"> PAGEREF _Toc214949025 \h </w:instrText>
            </w:r>
            <w:r>
              <w:rPr>
                <w:noProof/>
                <w:webHidden/>
              </w:rPr>
            </w:r>
            <w:r>
              <w:rPr>
                <w:noProof/>
                <w:webHidden/>
              </w:rPr>
              <w:fldChar w:fldCharType="separate"/>
            </w:r>
            <w:r w:rsidR="002E2E0B">
              <w:rPr>
                <w:noProof/>
                <w:webHidden/>
              </w:rPr>
              <w:t>20</w:t>
            </w:r>
            <w:r>
              <w:rPr>
                <w:noProof/>
                <w:webHidden/>
              </w:rPr>
              <w:fldChar w:fldCharType="end"/>
            </w:r>
          </w:hyperlink>
        </w:p>
        <w:p w14:paraId="192C68B5" w14:textId="77777777" w:rsidR="00EA170B" w:rsidRDefault="00EA170B">
          <w:pPr>
            <w:pStyle w:val="TOC1"/>
            <w:tabs>
              <w:tab w:val="right" w:leader="dot" w:pos="9350"/>
            </w:tabs>
            <w:rPr>
              <w:rFonts w:asciiTheme="minorHAnsi" w:eastAsiaTheme="minorEastAsia" w:hAnsiTheme="minorHAnsi" w:cstheme="minorBidi"/>
              <w:noProof/>
            </w:rPr>
          </w:pPr>
          <w:hyperlink w:anchor="_Toc214949026" w:history="1">
            <w:r w:rsidRPr="00D74A95">
              <w:rPr>
                <w:rStyle w:val="Hyperlink"/>
                <w:rFonts w:ascii="Times New Roman" w:hAnsi="Times New Roman"/>
                <w:noProof/>
              </w:rPr>
              <w:t>3.1 Position, Duties, and Responsibilities</w:t>
            </w:r>
            <w:r>
              <w:rPr>
                <w:noProof/>
                <w:webHidden/>
              </w:rPr>
              <w:tab/>
            </w:r>
            <w:r>
              <w:rPr>
                <w:noProof/>
                <w:webHidden/>
              </w:rPr>
              <w:fldChar w:fldCharType="begin"/>
            </w:r>
            <w:r>
              <w:rPr>
                <w:noProof/>
                <w:webHidden/>
              </w:rPr>
              <w:instrText xml:space="preserve"> PAGEREF _Toc214949026 \h </w:instrText>
            </w:r>
            <w:r>
              <w:rPr>
                <w:noProof/>
                <w:webHidden/>
              </w:rPr>
            </w:r>
            <w:r>
              <w:rPr>
                <w:noProof/>
                <w:webHidden/>
              </w:rPr>
              <w:fldChar w:fldCharType="separate"/>
            </w:r>
            <w:r w:rsidR="002E2E0B">
              <w:rPr>
                <w:noProof/>
                <w:webHidden/>
              </w:rPr>
              <w:t>23</w:t>
            </w:r>
            <w:r>
              <w:rPr>
                <w:noProof/>
                <w:webHidden/>
              </w:rPr>
              <w:fldChar w:fldCharType="end"/>
            </w:r>
          </w:hyperlink>
        </w:p>
        <w:p w14:paraId="57B9A532" w14:textId="77777777" w:rsidR="00EA170B" w:rsidRDefault="00EA170B">
          <w:pPr>
            <w:pStyle w:val="TOC1"/>
            <w:tabs>
              <w:tab w:val="right" w:leader="dot" w:pos="9350"/>
            </w:tabs>
            <w:rPr>
              <w:rFonts w:asciiTheme="minorHAnsi" w:eastAsiaTheme="minorEastAsia" w:hAnsiTheme="minorHAnsi" w:cstheme="minorBidi"/>
              <w:noProof/>
            </w:rPr>
          </w:pPr>
          <w:hyperlink w:anchor="_Toc214949027" w:history="1">
            <w:r w:rsidRPr="00D74A95">
              <w:rPr>
                <w:rStyle w:val="Hyperlink"/>
                <w:rFonts w:ascii="Times New Roman" w:hAnsi="Times New Roman"/>
                <w:noProof/>
              </w:rPr>
              <w:t>3.2 Training &amp; Development</w:t>
            </w:r>
            <w:r>
              <w:rPr>
                <w:noProof/>
                <w:webHidden/>
              </w:rPr>
              <w:tab/>
            </w:r>
            <w:r>
              <w:rPr>
                <w:noProof/>
                <w:webHidden/>
              </w:rPr>
              <w:fldChar w:fldCharType="begin"/>
            </w:r>
            <w:r>
              <w:rPr>
                <w:noProof/>
                <w:webHidden/>
              </w:rPr>
              <w:instrText xml:space="preserve"> PAGEREF _Toc214949027 \h </w:instrText>
            </w:r>
            <w:r>
              <w:rPr>
                <w:noProof/>
                <w:webHidden/>
              </w:rPr>
            </w:r>
            <w:r>
              <w:rPr>
                <w:noProof/>
                <w:webHidden/>
              </w:rPr>
              <w:fldChar w:fldCharType="separate"/>
            </w:r>
            <w:r w:rsidR="002E2E0B">
              <w:rPr>
                <w:noProof/>
                <w:webHidden/>
              </w:rPr>
              <w:t>23</w:t>
            </w:r>
            <w:r>
              <w:rPr>
                <w:noProof/>
                <w:webHidden/>
              </w:rPr>
              <w:fldChar w:fldCharType="end"/>
            </w:r>
          </w:hyperlink>
        </w:p>
        <w:p w14:paraId="080346E9" w14:textId="77777777" w:rsidR="00EA170B" w:rsidRDefault="00EA170B">
          <w:pPr>
            <w:pStyle w:val="TOC1"/>
            <w:tabs>
              <w:tab w:val="right" w:leader="dot" w:pos="9350"/>
            </w:tabs>
            <w:rPr>
              <w:rFonts w:asciiTheme="minorHAnsi" w:eastAsiaTheme="minorEastAsia" w:hAnsiTheme="minorHAnsi" w:cstheme="minorBidi"/>
              <w:noProof/>
            </w:rPr>
          </w:pPr>
          <w:hyperlink w:anchor="_Toc214949028" w:history="1">
            <w:r w:rsidRPr="00D74A95">
              <w:rPr>
                <w:rStyle w:val="Hyperlink"/>
                <w:rFonts w:ascii="Times New Roman" w:hAnsi="Times New Roman"/>
                <w:noProof/>
              </w:rPr>
              <w:t>3.3 Contribution to Organization / Operations</w:t>
            </w:r>
            <w:r>
              <w:rPr>
                <w:noProof/>
                <w:webHidden/>
              </w:rPr>
              <w:tab/>
            </w:r>
            <w:r>
              <w:rPr>
                <w:noProof/>
                <w:webHidden/>
              </w:rPr>
              <w:fldChar w:fldCharType="begin"/>
            </w:r>
            <w:r>
              <w:rPr>
                <w:noProof/>
                <w:webHidden/>
              </w:rPr>
              <w:instrText xml:space="preserve"> PAGEREF _Toc214949028 \h </w:instrText>
            </w:r>
            <w:r>
              <w:rPr>
                <w:noProof/>
                <w:webHidden/>
              </w:rPr>
            </w:r>
            <w:r>
              <w:rPr>
                <w:noProof/>
                <w:webHidden/>
              </w:rPr>
              <w:fldChar w:fldCharType="separate"/>
            </w:r>
            <w:r w:rsidR="002E2E0B">
              <w:rPr>
                <w:noProof/>
                <w:webHidden/>
              </w:rPr>
              <w:t>24</w:t>
            </w:r>
            <w:r>
              <w:rPr>
                <w:noProof/>
                <w:webHidden/>
              </w:rPr>
              <w:fldChar w:fldCharType="end"/>
            </w:r>
          </w:hyperlink>
        </w:p>
        <w:p w14:paraId="00C400A9" w14:textId="77777777" w:rsidR="00EA170B" w:rsidRDefault="00EA170B">
          <w:pPr>
            <w:pStyle w:val="TOC1"/>
            <w:tabs>
              <w:tab w:val="right" w:leader="dot" w:pos="9350"/>
            </w:tabs>
            <w:rPr>
              <w:rFonts w:asciiTheme="minorHAnsi" w:eastAsiaTheme="minorEastAsia" w:hAnsiTheme="minorHAnsi" w:cstheme="minorBidi"/>
              <w:noProof/>
            </w:rPr>
          </w:pPr>
          <w:hyperlink w:anchor="_Toc214949029" w:history="1">
            <w:r w:rsidRPr="00D74A95">
              <w:rPr>
                <w:rStyle w:val="Hyperlink"/>
                <w:rFonts w:ascii="Times New Roman" w:hAnsi="Times New Roman"/>
                <w:noProof/>
              </w:rPr>
              <w:t>3.4 Evaluation</w:t>
            </w:r>
            <w:r>
              <w:rPr>
                <w:noProof/>
                <w:webHidden/>
              </w:rPr>
              <w:tab/>
            </w:r>
            <w:r>
              <w:rPr>
                <w:noProof/>
                <w:webHidden/>
              </w:rPr>
              <w:fldChar w:fldCharType="begin"/>
            </w:r>
            <w:r>
              <w:rPr>
                <w:noProof/>
                <w:webHidden/>
              </w:rPr>
              <w:instrText xml:space="preserve"> PAGEREF _Toc214949029 \h </w:instrText>
            </w:r>
            <w:r>
              <w:rPr>
                <w:noProof/>
                <w:webHidden/>
              </w:rPr>
            </w:r>
            <w:r>
              <w:rPr>
                <w:noProof/>
                <w:webHidden/>
              </w:rPr>
              <w:fldChar w:fldCharType="separate"/>
            </w:r>
            <w:r w:rsidR="002E2E0B">
              <w:rPr>
                <w:noProof/>
                <w:webHidden/>
              </w:rPr>
              <w:t>24</w:t>
            </w:r>
            <w:r>
              <w:rPr>
                <w:noProof/>
                <w:webHidden/>
              </w:rPr>
              <w:fldChar w:fldCharType="end"/>
            </w:r>
          </w:hyperlink>
        </w:p>
        <w:p w14:paraId="7A5A06B8" w14:textId="77777777" w:rsidR="00EA170B" w:rsidRDefault="00EA170B">
          <w:pPr>
            <w:pStyle w:val="TOC1"/>
            <w:tabs>
              <w:tab w:val="right" w:leader="dot" w:pos="9350"/>
            </w:tabs>
            <w:rPr>
              <w:rFonts w:asciiTheme="minorHAnsi" w:eastAsiaTheme="minorEastAsia" w:hAnsiTheme="minorHAnsi" w:cstheme="minorBidi"/>
              <w:noProof/>
            </w:rPr>
          </w:pPr>
          <w:hyperlink w:anchor="_Toc214949030" w:history="1">
            <w:r w:rsidRPr="00D74A95">
              <w:rPr>
                <w:rStyle w:val="Hyperlink"/>
                <w:rFonts w:ascii="Times New Roman" w:hAnsi="Times New Roman"/>
                <w:noProof/>
              </w:rPr>
              <w:t>3.5 Skills Applied</w:t>
            </w:r>
            <w:r>
              <w:rPr>
                <w:noProof/>
                <w:webHidden/>
              </w:rPr>
              <w:tab/>
            </w:r>
            <w:r>
              <w:rPr>
                <w:noProof/>
                <w:webHidden/>
              </w:rPr>
              <w:fldChar w:fldCharType="begin"/>
            </w:r>
            <w:r>
              <w:rPr>
                <w:noProof/>
                <w:webHidden/>
              </w:rPr>
              <w:instrText xml:space="preserve"> PAGEREF _Toc214949030 \h </w:instrText>
            </w:r>
            <w:r>
              <w:rPr>
                <w:noProof/>
                <w:webHidden/>
              </w:rPr>
            </w:r>
            <w:r>
              <w:rPr>
                <w:noProof/>
                <w:webHidden/>
              </w:rPr>
              <w:fldChar w:fldCharType="separate"/>
            </w:r>
            <w:r w:rsidR="002E2E0B">
              <w:rPr>
                <w:noProof/>
                <w:webHidden/>
              </w:rPr>
              <w:t>25</w:t>
            </w:r>
            <w:r>
              <w:rPr>
                <w:noProof/>
                <w:webHidden/>
              </w:rPr>
              <w:fldChar w:fldCharType="end"/>
            </w:r>
          </w:hyperlink>
        </w:p>
        <w:p w14:paraId="6AC0AAF1" w14:textId="77777777" w:rsidR="00EA170B" w:rsidRDefault="00EA170B">
          <w:pPr>
            <w:pStyle w:val="TOC1"/>
            <w:tabs>
              <w:tab w:val="right" w:leader="dot" w:pos="9350"/>
            </w:tabs>
            <w:rPr>
              <w:rFonts w:asciiTheme="minorHAnsi" w:eastAsiaTheme="minorEastAsia" w:hAnsiTheme="minorHAnsi" w:cstheme="minorBidi"/>
              <w:noProof/>
            </w:rPr>
          </w:pPr>
          <w:hyperlink w:anchor="_Toc214949031" w:history="1">
            <w:r w:rsidRPr="00D74A95">
              <w:rPr>
                <w:rStyle w:val="Hyperlink"/>
                <w:rFonts w:ascii="Times New Roman" w:hAnsi="Times New Roman"/>
                <w:noProof/>
              </w:rPr>
              <w:t>4.1 Credit Risk Management</w:t>
            </w:r>
            <w:r>
              <w:rPr>
                <w:noProof/>
                <w:webHidden/>
              </w:rPr>
              <w:tab/>
            </w:r>
            <w:r>
              <w:rPr>
                <w:noProof/>
                <w:webHidden/>
              </w:rPr>
              <w:fldChar w:fldCharType="begin"/>
            </w:r>
            <w:r>
              <w:rPr>
                <w:noProof/>
                <w:webHidden/>
              </w:rPr>
              <w:instrText xml:space="preserve"> PAGEREF _Toc214949031 \h </w:instrText>
            </w:r>
            <w:r>
              <w:rPr>
                <w:noProof/>
                <w:webHidden/>
              </w:rPr>
            </w:r>
            <w:r>
              <w:rPr>
                <w:noProof/>
                <w:webHidden/>
              </w:rPr>
              <w:fldChar w:fldCharType="separate"/>
            </w:r>
            <w:r w:rsidR="002E2E0B">
              <w:rPr>
                <w:noProof/>
                <w:webHidden/>
              </w:rPr>
              <w:t>27</w:t>
            </w:r>
            <w:r>
              <w:rPr>
                <w:noProof/>
                <w:webHidden/>
              </w:rPr>
              <w:fldChar w:fldCharType="end"/>
            </w:r>
          </w:hyperlink>
        </w:p>
        <w:p w14:paraId="7C6ACCB8" w14:textId="77777777" w:rsidR="00EA170B" w:rsidRDefault="00EA170B">
          <w:pPr>
            <w:pStyle w:val="TOC2"/>
            <w:tabs>
              <w:tab w:val="right" w:leader="dot" w:pos="9350"/>
            </w:tabs>
            <w:rPr>
              <w:rFonts w:asciiTheme="minorHAnsi" w:eastAsiaTheme="minorEastAsia" w:hAnsiTheme="minorHAnsi" w:cstheme="minorBidi"/>
              <w:noProof/>
            </w:rPr>
          </w:pPr>
          <w:hyperlink w:anchor="_Toc214949032" w:history="1">
            <w:r w:rsidRPr="00D74A95">
              <w:rPr>
                <w:rStyle w:val="Hyperlink"/>
                <w:rFonts w:ascii="Times New Roman" w:hAnsi="Times New Roman"/>
                <w:b/>
                <w:noProof/>
              </w:rPr>
              <w:t>4.1.1 Loan Approval Process</w:t>
            </w:r>
            <w:r>
              <w:rPr>
                <w:noProof/>
                <w:webHidden/>
              </w:rPr>
              <w:tab/>
            </w:r>
            <w:r>
              <w:rPr>
                <w:noProof/>
                <w:webHidden/>
              </w:rPr>
              <w:fldChar w:fldCharType="begin"/>
            </w:r>
            <w:r>
              <w:rPr>
                <w:noProof/>
                <w:webHidden/>
              </w:rPr>
              <w:instrText xml:space="preserve"> PAGEREF _Toc214949032 \h </w:instrText>
            </w:r>
            <w:r>
              <w:rPr>
                <w:noProof/>
                <w:webHidden/>
              </w:rPr>
            </w:r>
            <w:r>
              <w:rPr>
                <w:noProof/>
                <w:webHidden/>
              </w:rPr>
              <w:fldChar w:fldCharType="separate"/>
            </w:r>
            <w:r w:rsidR="002E2E0B">
              <w:rPr>
                <w:noProof/>
                <w:webHidden/>
              </w:rPr>
              <w:t>27</w:t>
            </w:r>
            <w:r>
              <w:rPr>
                <w:noProof/>
                <w:webHidden/>
              </w:rPr>
              <w:fldChar w:fldCharType="end"/>
            </w:r>
          </w:hyperlink>
        </w:p>
        <w:p w14:paraId="283CA1A3" w14:textId="77777777" w:rsidR="00EA170B" w:rsidRDefault="00EA170B">
          <w:pPr>
            <w:pStyle w:val="TOC2"/>
            <w:tabs>
              <w:tab w:val="right" w:leader="dot" w:pos="9350"/>
            </w:tabs>
            <w:rPr>
              <w:rFonts w:asciiTheme="minorHAnsi" w:eastAsiaTheme="minorEastAsia" w:hAnsiTheme="minorHAnsi" w:cstheme="minorBidi"/>
              <w:noProof/>
            </w:rPr>
          </w:pPr>
          <w:hyperlink w:anchor="_Toc214949033" w:history="1">
            <w:r w:rsidRPr="00D74A95">
              <w:rPr>
                <w:rStyle w:val="Hyperlink"/>
                <w:rFonts w:ascii="Times New Roman" w:hAnsi="Times New Roman"/>
                <w:b/>
                <w:noProof/>
              </w:rPr>
              <w:t>4.1.2 Credit Risk Assessment Tools</w:t>
            </w:r>
            <w:r>
              <w:rPr>
                <w:noProof/>
                <w:webHidden/>
              </w:rPr>
              <w:tab/>
            </w:r>
            <w:r>
              <w:rPr>
                <w:noProof/>
                <w:webHidden/>
              </w:rPr>
              <w:fldChar w:fldCharType="begin"/>
            </w:r>
            <w:r>
              <w:rPr>
                <w:noProof/>
                <w:webHidden/>
              </w:rPr>
              <w:instrText xml:space="preserve"> PAGEREF _Toc214949033 \h </w:instrText>
            </w:r>
            <w:r>
              <w:rPr>
                <w:noProof/>
                <w:webHidden/>
              </w:rPr>
            </w:r>
            <w:r>
              <w:rPr>
                <w:noProof/>
                <w:webHidden/>
              </w:rPr>
              <w:fldChar w:fldCharType="separate"/>
            </w:r>
            <w:r w:rsidR="002E2E0B">
              <w:rPr>
                <w:noProof/>
                <w:webHidden/>
              </w:rPr>
              <w:t>29</w:t>
            </w:r>
            <w:r>
              <w:rPr>
                <w:noProof/>
                <w:webHidden/>
              </w:rPr>
              <w:fldChar w:fldCharType="end"/>
            </w:r>
          </w:hyperlink>
        </w:p>
        <w:p w14:paraId="3911A82E" w14:textId="77777777" w:rsidR="00EA170B" w:rsidRDefault="00EA170B">
          <w:pPr>
            <w:pStyle w:val="TOC2"/>
            <w:tabs>
              <w:tab w:val="right" w:leader="dot" w:pos="9350"/>
            </w:tabs>
            <w:rPr>
              <w:rFonts w:asciiTheme="minorHAnsi" w:eastAsiaTheme="minorEastAsia" w:hAnsiTheme="minorHAnsi" w:cstheme="minorBidi"/>
              <w:noProof/>
            </w:rPr>
          </w:pPr>
          <w:hyperlink w:anchor="_Toc214949034" w:history="1">
            <w:r w:rsidRPr="00D74A95">
              <w:rPr>
                <w:rStyle w:val="Hyperlink"/>
                <w:rFonts w:ascii="Times New Roman" w:hAnsi="Times New Roman"/>
                <w:b/>
                <w:noProof/>
              </w:rPr>
              <w:t>4.1.3 Non-Performing Loan (NPL) Management</w:t>
            </w:r>
            <w:r>
              <w:rPr>
                <w:noProof/>
                <w:webHidden/>
              </w:rPr>
              <w:tab/>
            </w:r>
            <w:r>
              <w:rPr>
                <w:noProof/>
                <w:webHidden/>
              </w:rPr>
              <w:fldChar w:fldCharType="begin"/>
            </w:r>
            <w:r>
              <w:rPr>
                <w:noProof/>
                <w:webHidden/>
              </w:rPr>
              <w:instrText xml:space="preserve"> PAGEREF _Toc214949034 \h </w:instrText>
            </w:r>
            <w:r>
              <w:rPr>
                <w:noProof/>
                <w:webHidden/>
              </w:rPr>
            </w:r>
            <w:r>
              <w:rPr>
                <w:noProof/>
                <w:webHidden/>
              </w:rPr>
              <w:fldChar w:fldCharType="separate"/>
            </w:r>
            <w:r w:rsidR="002E2E0B">
              <w:rPr>
                <w:noProof/>
                <w:webHidden/>
              </w:rPr>
              <w:t>31</w:t>
            </w:r>
            <w:r>
              <w:rPr>
                <w:noProof/>
                <w:webHidden/>
              </w:rPr>
              <w:fldChar w:fldCharType="end"/>
            </w:r>
          </w:hyperlink>
        </w:p>
        <w:p w14:paraId="756DCEDD" w14:textId="77777777" w:rsidR="00EA170B" w:rsidRDefault="00EA170B">
          <w:pPr>
            <w:pStyle w:val="TOC2"/>
            <w:tabs>
              <w:tab w:val="right" w:leader="dot" w:pos="9350"/>
            </w:tabs>
            <w:rPr>
              <w:rFonts w:asciiTheme="minorHAnsi" w:eastAsiaTheme="minorEastAsia" w:hAnsiTheme="minorHAnsi" w:cstheme="minorBidi"/>
              <w:noProof/>
            </w:rPr>
          </w:pPr>
          <w:hyperlink w:anchor="_Toc214949035" w:history="1">
            <w:r w:rsidRPr="00D74A95">
              <w:rPr>
                <w:rStyle w:val="Hyperlink"/>
                <w:rFonts w:ascii="Times New Roman" w:hAnsi="Times New Roman"/>
                <w:b/>
                <w:noProof/>
              </w:rPr>
              <w:t>4.1.4 Loan Portfolio Diversification</w:t>
            </w:r>
            <w:r>
              <w:rPr>
                <w:noProof/>
                <w:webHidden/>
              </w:rPr>
              <w:tab/>
            </w:r>
            <w:r>
              <w:rPr>
                <w:noProof/>
                <w:webHidden/>
              </w:rPr>
              <w:fldChar w:fldCharType="begin"/>
            </w:r>
            <w:r>
              <w:rPr>
                <w:noProof/>
                <w:webHidden/>
              </w:rPr>
              <w:instrText xml:space="preserve"> PAGEREF _Toc214949035 \h </w:instrText>
            </w:r>
            <w:r>
              <w:rPr>
                <w:noProof/>
                <w:webHidden/>
              </w:rPr>
            </w:r>
            <w:r>
              <w:rPr>
                <w:noProof/>
                <w:webHidden/>
              </w:rPr>
              <w:fldChar w:fldCharType="separate"/>
            </w:r>
            <w:r w:rsidR="002E2E0B">
              <w:rPr>
                <w:noProof/>
                <w:webHidden/>
              </w:rPr>
              <w:t>33</w:t>
            </w:r>
            <w:r>
              <w:rPr>
                <w:noProof/>
                <w:webHidden/>
              </w:rPr>
              <w:fldChar w:fldCharType="end"/>
            </w:r>
          </w:hyperlink>
        </w:p>
        <w:p w14:paraId="10A5F28B" w14:textId="77777777" w:rsidR="00EA170B" w:rsidRDefault="00EA170B">
          <w:pPr>
            <w:pStyle w:val="TOC2"/>
            <w:tabs>
              <w:tab w:val="right" w:leader="dot" w:pos="9350"/>
            </w:tabs>
            <w:rPr>
              <w:rFonts w:asciiTheme="minorHAnsi" w:eastAsiaTheme="minorEastAsia" w:hAnsiTheme="minorHAnsi" w:cstheme="minorBidi"/>
              <w:noProof/>
            </w:rPr>
          </w:pPr>
          <w:hyperlink w:anchor="_Toc214949036" w:history="1">
            <w:r w:rsidRPr="00D74A95">
              <w:rPr>
                <w:rStyle w:val="Hyperlink"/>
                <w:rFonts w:ascii="Times New Roman" w:hAnsi="Times New Roman"/>
                <w:b/>
                <w:noProof/>
              </w:rPr>
              <w:t>4.1.5 Provisioning and Write-off Policies</w:t>
            </w:r>
            <w:r>
              <w:rPr>
                <w:noProof/>
                <w:webHidden/>
              </w:rPr>
              <w:tab/>
            </w:r>
            <w:r>
              <w:rPr>
                <w:noProof/>
                <w:webHidden/>
              </w:rPr>
              <w:fldChar w:fldCharType="begin"/>
            </w:r>
            <w:r>
              <w:rPr>
                <w:noProof/>
                <w:webHidden/>
              </w:rPr>
              <w:instrText xml:space="preserve"> PAGEREF _Toc214949036 \h </w:instrText>
            </w:r>
            <w:r>
              <w:rPr>
                <w:noProof/>
                <w:webHidden/>
              </w:rPr>
            </w:r>
            <w:r>
              <w:rPr>
                <w:noProof/>
                <w:webHidden/>
              </w:rPr>
              <w:fldChar w:fldCharType="separate"/>
            </w:r>
            <w:r w:rsidR="002E2E0B">
              <w:rPr>
                <w:noProof/>
                <w:webHidden/>
              </w:rPr>
              <w:t>34</w:t>
            </w:r>
            <w:r>
              <w:rPr>
                <w:noProof/>
                <w:webHidden/>
              </w:rPr>
              <w:fldChar w:fldCharType="end"/>
            </w:r>
          </w:hyperlink>
        </w:p>
        <w:p w14:paraId="49567485" w14:textId="77777777" w:rsidR="00EA170B" w:rsidRDefault="00EA170B">
          <w:pPr>
            <w:pStyle w:val="TOC1"/>
            <w:tabs>
              <w:tab w:val="right" w:leader="dot" w:pos="9350"/>
            </w:tabs>
            <w:rPr>
              <w:rFonts w:asciiTheme="minorHAnsi" w:eastAsiaTheme="minorEastAsia" w:hAnsiTheme="minorHAnsi" w:cstheme="minorBidi"/>
              <w:noProof/>
            </w:rPr>
          </w:pPr>
          <w:hyperlink w:anchor="_Toc214949037" w:history="1">
            <w:r w:rsidRPr="00D74A95">
              <w:rPr>
                <w:rStyle w:val="Hyperlink"/>
                <w:rFonts w:ascii="Times New Roman" w:hAnsi="Times New Roman"/>
                <w:noProof/>
              </w:rPr>
              <w:t>4.2 Liquidity Risk Management</w:t>
            </w:r>
            <w:r>
              <w:rPr>
                <w:noProof/>
                <w:webHidden/>
              </w:rPr>
              <w:tab/>
            </w:r>
            <w:r>
              <w:rPr>
                <w:noProof/>
                <w:webHidden/>
              </w:rPr>
              <w:fldChar w:fldCharType="begin"/>
            </w:r>
            <w:r>
              <w:rPr>
                <w:noProof/>
                <w:webHidden/>
              </w:rPr>
              <w:instrText xml:space="preserve"> PAGEREF _Toc214949037 \h </w:instrText>
            </w:r>
            <w:r>
              <w:rPr>
                <w:noProof/>
                <w:webHidden/>
              </w:rPr>
            </w:r>
            <w:r>
              <w:rPr>
                <w:noProof/>
                <w:webHidden/>
              </w:rPr>
              <w:fldChar w:fldCharType="separate"/>
            </w:r>
            <w:r w:rsidR="002E2E0B">
              <w:rPr>
                <w:noProof/>
                <w:webHidden/>
              </w:rPr>
              <w:t>35</w:t>
            </w:r>
            <w:r>
              <w:rPr>
                <w:noProof/>
                <w:webHidden/>
              </w:rPr>
              <w:fldChar w:fldCharType="end"/>
            </w:r>
          </w:hyperlink>
        </w:p>
        <w:p w14:paraId="14C0EABC" w14:textId="77777777" w:rsidR="00EA170B" w:rsidRDefault="00EA170B">
          <w:pPr>
            <w:pStyle w:val="TOC2"/>
            <w:tabs>
              <w:tab w:val="right" w:leader="dot" w:pos="9350"/>
            </w:tabs>
            <w:rPr>
              <w:rFonts w:asciiTheme="minorHAnsi" w:eastAsiaTheme="minorEastAsia" w:hAnsiTheme="minorHAnsi" w:cstheme="minorBidi"/>
              <w:noProof/>
            </w:rPr>
          </w:pPr>
          <w:hyperlink w:anchor="_Toc214949038" w:history="1">
            <w:r w:rsidRPr="00D74A95">
              <w:rPr>
                <w:rStyle w:val="Hyperlink"/>
                <w:rFonts w:ascii="Times New Roman" w:hAnsi="Times New Roman"/>
                <w:b/>
                <w:noProof/>
              </w:rPr>
              <w:t>4.2.1 Liquidity Ratios and Regulatory Compliance</w:t>
            </w:r>
            <w:r>
              <w:rPr>
                <w:noProof/>
                <w:webHidden/>
              </w:rPr>
              <w:tab/>
            </w:r>
            <w:r>
              <w:rPr>
                <w:noProof/>
                <w:webHidden/>
              </w:rPr>
              <w:fldChar w:fldCharType="begin"/>
            </w:r>
            <w:r>
              <w:rPr>
                <w:noProof/>
                <w:webHidden/>
              </w:rPr>
              <w:instrText xml:space="preserve"> PAGEREF _Toc214949038 \h </w:instrText>
            </w:r>
            <w:r>
              <w:rPr>
                <w:noProof/>
                <w:webHidden/>
              </w:rPr>
            </w:r>
            <w:r>
              <w:rPr>
                <w:noProof/>
                <w:webHidden/>
              </w:rPr>
              <w:fldChar w:fldCharType="separate"/>
            </w:r>
            <w:r w:rsidR="002E2E0B">
              <w:rPr>
                <w:noProof/>
                <w:webHidden/>
              </w:rPr>
              <w:t>35</w:t>
            </w:r>
            <w:r>
              <w:rPr>
                <w:noProof/>
                <w:webHidden/>
              </w:rPr>
              <w:fldChar w:fldCharType="end"/>
            </w:r>
          </w:hyperlink>
        </w:p>
        <w:p w14:paraId="47F9EEA9" w14:textId="77777777" w:rsidR="00EA170B" w:rsidRDefault="00EA170B">
          <w:pPr>
            <w:pStyle w:val="TOC2"/>
            <w:tabs>
              <w:tab w:val="right" w:leader="dot" w:pos="9350"/>
            </w:tabs>
            <w:rPr>
              <w:rFonts w:asciiTheme="minorHAnsi" w:eastAsiaTheme="minorEastAsia" w:hAnsiTheme="minorHAnsi" w:cstheme="minorBidi"/>
              <w:noProof/>
            </w:rPr>
          </w:pPr>
          <w:hyperlink w:anchor="_Toc214949039" w:history="1">
            <w:r w:rsidRPr="00D74A95">
              <w:rPr>
                <w:rStyle w:val="Hyperlink"/>
                <w:rFonts w:ascii="Times New Roman" w:hAnsi="Times New Roman"/>
                <w:b/>
                <w:noProof/>
              </w:rPr>
              <w:t>4.2.2 Cash Flow Management and Maturity Profile</w:t>
            </w:r>
            <w:r>
              <w:rPr>
                <w:noProof/>
                <w:webHidden/>
              </w:rPr>
              <w:tab/>
            </w:r>
            <w:r>
              <w:rPr>
                <w:noProof/>
                <w:webHidden/>
              </w:rPr>
              <w:fldChar w:fldCharType="begin"/>
            </w:r>
            <w:r>
              <w:rPr>
                <w:noProof/>
                <w:webHidden/>
              </w:rPr>
              <w:instrText xml:space="preserve"> PAGEREF _Toc214949039 \h </w:instrText>
            </w:r>
            <w:r>
              <w:rPr>
                <w:noProof/>
                <w:webHidden/>
              </w:rPr>
            </w:r>
            <w:r>
              <w:rPr>
                <w:noProof/>
                <w:webHidden/>
              </w:rPr>
              <w:fldChar w:fldCharType="separate"/>
            </w:r>
            <w:r w:rsidR="002E2E0B">
              <w:rPr>
                <w:noProof/>
                <w:webHidden/>
              </w:rPr>
              <w:t>37</w:t>
            </w:r>
            <w:r>
              <w:rPr>
                <w:noProof/>
                <w:webHidden/>
              </w:rPr>
              <w:fldChar w:fldCharType="end"/>
            </w:r>
          </w:hyperlink>
        </w:p>
        <w:p w14:paraId="5A45A45B" w14:textId="77777777" w:rsidR="00EA170B" w:rsidRDefault="00EA170B">
          <w:pPr>
            <w:pStyle w:val="TOC2"/>
            <w:tabs>
              <w:tab w:val="right" w:leader="dot" w:pos="9350"/>
            </w:tabs>
            <w:rPr>
              <w:rFonts w:asciiTheme="minorHAnsi" w:eastAsiaTheme="minorEastAsia" w:hAnsiTheme="minorHAnsi" w:cstheme="minorBidi"/>
              <w:noProof/>
            </w:rPr>
          </w:pPr>
          <w:hyperlink w:anchor="_Toc214949040" w:history="1">
            <w:r w:rsidRPr="00D74A95">
              <w:rPr>
                <w:rStyle w:val="Hyperlink"/>
                <w:rFonts w:ascii="Times New Roman" w:hAnsi="Times New Roman"/>
                <w:b/>
                <w:noProof/>
              </w:rPr>
              <w:t>4.2.3 Contingency Funding Plan</w:t>
            </w:r>
            <w:r>
              <w:rPr>
                <w:noProof/>
                <w:webHidden/>
              </w:rPr>
              <w:tab/>
            </w:r>
            <w:r>
              <w:rPr>
                <w:noProof/>
                <w:webHidden/>
              </w:rPr>
              <w:fldChar w:fldCharType="begin"/>
            </w:r>
            <w:r>
              <w:rPr>
                <w:noProof/>
                <w:webHidden/>
              </w:rPr>
              <w:instrText xml:space="preserve"> PAGEREF _Toc214949040 \h </w:instrText>
            </w:r>
            <w:r>
              <w:rPr>
                <w:noProof/>
                <w:webHidden/>
              </w:rPr>
            </w:r>
            <w:r>
              <w:rPr>
                <w:noProof/>
                <w:webHidden/>
              </w:rPr>
              <w:fldChar w:fldCharType="separate"/>
            </w:r>
            <w:r w:rsidR="002E2E0B">
              <w:rPr>
                <w:noProof/>
                <w:webHidden/>
              </w:rPr>
              <w:t>38</w:t>
            </w:r>
            <w:r>
              <w:rPr>
                <w:noProof/>
                <w:webHidden/>
              </w:rPr>
              <w:fldChar w:fldCharType="end"/>
            </w:r>
          </w:hyperlink>
        </w:p>
        <w:p w14:paraId="3CBF2488" w14:textId="77777777" w:rsidR="00EA170B" w:rsidRDefault="00EA170B">
          <w:pPr>
            <w:pStyle w:val="TOC1"/>
            <w:tabs>
              <w:tab w:val="right" w:leader="dot" w:pos="9350"/>
            </w:tabs>
            <w:rPr>
              <w:rFonts w:asciiTheme="minorHAnsi" w:eastAsiaTheme="minorEastAsia" w:hAnsiTheme="minorHAnsi" w:cstheme="minorBidi"/>
              <w:noProof/>
            </w:rPr>
          </w:pPr>
          <w:hyperlink w:anchor="_Toc214949041" w:history="1">
            <w:r w:rsidRPr="00D74A95">
              <w:rPr>
                <w:rStyle w:val="Hyperlink"/>
                <w:rFonts w:ascii="Times New Roman" w:hAnsi="Times New Roman"/>
                <w:noProof/>
              </w:rPr>
              <w:t>4.3 Market Risk Management</w:t>
            </w:r>
            <w:r>
              <w:rPr>
                <w:noProof/>
                <w:webHidden/>
              </w:rPr>
              <w:tab/>
            </w:r>
            <w:r>
              <w:rPr>
                <w:noProof/>
                <w:webHidden/>
              </w:rPr>
              <w:fldChar w:fldCharType="begin"/>
            </w:r>
            <w:r>
              <w:rPr>
                <w:noProof/>
                <w:webHidden/>
              </w:rPr>
              <w:instrText xml:space="preserve"> PAGEREF _Toc214949041 \h </w:instrText>
            </w:r>
            <w:r>
              <w:rPr>
                <w:noProof/>
                <w:webHidden/>
              </w:rPr>
            </w:r>
            <w:r>
              <w:rPr>
                <w:noProof/>
                <w:webHidden/>
              </w:rPr>
              <w:fldChar w:fldCharType="separate"/>
            </w:r>
            <w:r w:rsidR="002E2E0B">
              <w:rPr>
                <w:noProof/>
                <w:webHidden/>
              </w:rPr>
              <w:t>39</w:t>
            </w:r>
            <w:r>
              <w:rPr>
                <w:noProof/>
                <w:webHidden/>
              </w:rPr>
              <w:fldChar w:fldCharType="end"/>
            </w:r>
          </w:hyperlink>
        </w:p>
        <w:p w14:paraId="0BE93759" w14:textId="77777777" w:rsidR="00EA170B" w:rsidRDefault="00EA170B">
          <w:pPr>
            <w:pStyle w:val="TOC2"/>
            <w:tabs>
              <w:tab w:val="right" w:leader="dot" w:pos="9350"/>
            </w:tabs>
            <w:rPr>
              <w:rFonts w:asciiTheme="minorHAnsi" w:eastAsiaTheme="minorEastAsia" w:hAnsiTheme="minorHAnsi" w:cstheme="minorBidi"/>
              <w:noProof/>
            </w:rPr>
          </w:pPr>
          <w:hyperlink w:anchor="_Toc214949042" w:history="1">
            <w:r w:rsidRPr="00D74A95">
              <w:rPr>
                <w:rStyle w:val="Hyperlink"/>
                <w:rFonts w:ascii="Times New Roman" w:hAnsi="Times New Roman"/>
                <w:b/>
                <w:noProof/>
              </w:rPr>
              <w:t>4.3.1 Interest Rate Risk Management</w:t>
            </w:r>
            <w:r>
              <w:rPr>
                <w:noProof/>
                <w:webHidden/>
              </w:rPr>
              <w:tab/>
            </w:r>
            <w:r>
              <w:rPr>
                <w:noProof/>
                <w:webHidden/>
              </w:rPr>
              <w:fldChar w:fldCharType="begin"/>
            </w:r>
            <w:r>
              <w:rPr>
                <w:noProof/>
                <w:webHidden/>
              </w:rPr>
              <w:instrText xml:space="preserve"> PAGEREF _Toc214949042 \h </w:instrText>
            </w:r>
            <w:r>
              <w:rPr>
                <w:noProof/>
                <w:webHidden/>
              </w:rPr>
            </w:r>
            <w:r>
              <w:rPr>
                <w:noProof/>
                <w:webHidden/>
              </w:rPr>
              <w:fldChar w:fldCharType="separate"/>
            </w:r>
            <w:r w:rsidR="002E2E0B">
              <w:rPr>
                <w:noProof/>
                <w:webHidden/>
              </w:rPr>
              <w:t>39</w:t>
            </w:r>
            <w:r>
              <w:rPr>
                <w:noProof/>
                <w:webHidden/>
              </w:rPr>
              <w:fldChar w:fldCharType="end"/>
            </w:r>
          </w:hyperlink>
        </w:p>
        <w:p w14:paraId="0CFCFED1" w14:textId="77777777" w:rsidR="00EA170B" w:rsidRDefault="00EA170B">
          <w:pPr>
            <w:pStyle w:val="TOC2"/>
            <w:tabs>
              <w:tab w:val="right" w:leader="dot" w:pos="9350"/>
            </w:tabs>
            <w:rPr>
              <w:rFonts w:asciiTheme="minorHAnsi" w:eastAsiaTheme="minorEastAsia" w:hAnsiTheme="minorHAnsi" w:cstheme="minorBidi"/>
              <w:noProof/>
            </w:rPr>
          </w:pPr>
          <w:hyperlink w:anchor="_Toc214949043" w:history="1">
            <w:r w:rsidRPr="00D74A95">
              <w:rPr>
                <w:rStyle w:val="Hyperlink"/>
                <w:rFonts w:ascii="Times New Roman" w:hAnsi="Times New Roman"/>
                <w:b/>
                <w:noProof/>
              </w:rPr>
              <w:t>4.3.2 Investment Portfolio Management</w:t>
            </w:r>
            <w:r>
              <w:rPr>
                <w:noProof/>
                <w:webHidden/>
              </w:rPr>
              <w:tab/>
            </w:r>
            <w:r>
              <w:rPr>
                <w:noProof/>
                <w:webHidden/>
              </w:rPr>
              <w:fldChar w:fldCharType="begin"/>
            </w:r>
            <w:r>
              <w:rPr>
                <w:noProof/>
                <w:webHidden/>
              </w:rPr>
              <w:instrText xml:space="preserve"> PAGEREF _Toc214949043 \h </w:instrText>
            </w:r>
            <w:r>
              <w:rPr>
                <w:noProof/>
                <w:webHidden/>
              </w:rPr>
            </w:r>
            <w:r>
              <w:rPr>
                <w:noProof/>
                <w:webHidden/>
              </w:rPr>
              <w:fldChar w:fldCharType="separate"/>
            </w:r>
            <w:r w:rsidR="002E2E0B">
              <w:rPr>
                <w:noProof/>
                <w:webHidden/>
              </w:rPr>
              <w:t>40</w:t>
            </w:r>
            <w:r>
              <w:rPr>
                <w:noProof/>
                <w:webHidden/>
              </w:rPr>
              <w:fldChar w:fldCharType="end"/>
            </w:r>
          </w:hyperlink>
        </w:p>
        <w:p w14:paraId="60C85537" w14:textId="77777777" w:rsidR="00EA170B" w:rsidRDefault="00EA170B">
          <w:pPr>
            <w:pStyle w:val="TOC2"/>
            <w:tabs>
              <w:tab w:val="right" w:leader="dot" w:pos="9350"/>
            </w:tabs>
            <w:rPr>
              <w:rFonts w:asciiTheme="minorHAnsi" w:eastAsiaTheme="minorEastAsia" w:hAnsiTheme="minorHAnsi" w:cstheme="minorBidi"/>
              <w:noProof/>
            </w:rPr>
          </w:pPr>
          <w:hyperlink w:anchor="_Toc214949044" w:history="1">
            <w:r w:rsidRPr="00D74A95">
              <w:rPr>
                <w:rStyle w:val="Hyperlink"/>
                <w:rFonts w:ascii="Times New Roman" w:hAnsi="Times New Roman"/>
                <w:b/>
                <w:noProof/>
              </w:rPr>
              <w:t>4.3.3 Treasury Operations</w:t>
            </w:r>
            <w:r>
              <w:rPr>
                <w:noProof/>
                <w:webHidden/>
              </w:rPr>
              <w:tab/>
            </w:r>
            <w:r>
              <w:rPr>
                <w:noProof/>
                <w:webHidden/>
              </w:rPr>
              <w:fldChar w:fldCharType="begin"/>
            </w:r>
            <w:r>
              <w:rPr>
                <w:noProof/>
                <w:webHidden/>
              </w:rPr>
              <w:instrText xml:space="preserve"> PAGEREF _Toc214949044 \h </w:instrText>
            </w:r>
            <w:r>
              <w:rPr>
                <w:noProof/>
                <w:webHidden/>
              </w:rPr>
            </w:r>
            <w:r>
              <w:rPr>
                <w:noProof/>
                <w:webHidden/>
              </w:rPr>
              <w:fldChar w:fldCharType="separate"/>
            </w:r>
            <w:r w:rsidR="002E2E0B">
              <w:rPr>
                <w:noProof/>
                <w:webHidden/>
              </w:rPr>
              <w:t>42</w:t>
            </w:r>
            <w:r>
              <w:rPr>
                <w:noProof/>
                <w:webHidden/>
              </w:rPr>
              <w:fldChar w:fldCharType="end"/>
            </w:r>
          </w:hyperlink>
        </w:p>
        <w:p w14:paraId="007A0F27" w14:textId="77777777" w:rsidR="00EA170B" w:rsidRDefault="00EA170B">
          <w:pPr>
            <w:pStyle w:val="TOC1"/>
            <w:tabs>
              <w:tab w:val="right" w:leader="dot" w:pos="9350"/>
            </w:tabs>
            <w:rPr>
              <w:rFonts w:asciiTheme="minorHAnsi" w:eastAsiaTheme="minorEastAsia" w:hAnsiTheme="minorHAnsi" w:cstheme="minorBidi"/>
              <w:noProof/>
            </w:rPr>
          </w:pPr>
          <w:hyperlink w:anchor="_Toc214949045" w:history="1">
            <w:r w:rsidRPr="00D74A95">
              <w:rPr>
                <w:rStyle w:val="Hyperlink"/>
                <w:rFonts w:ascii="Times New Roman" w:hAnsi="Times New Roman"/>
                <w:noProof/>
              </w:rPr>
              <w:t>4.4 Operational Risk Management</w:t>
            </w:r>
            <w:r>
              <w:rPr>
                <w:noProof/>
                <w:webHidden/>
              </w:rPr>
              <w:tab/>
            </w:r>
            <w:r>
              <w:rPr>
                <w:noProof/>
                <w:webHidden/>
              </w:rPr>
              <w:fldChar w:fldCharType="begin"/>
            </w:r>
            <w:r>
              <w:rPr>
                <w:noProof/>
                <w:webHidden/>
              </w:rPr>
              <w:instrText xml:space="preserve"> PAGEREF _Toc214949045 \h </w:instrText>
            </w:r>
            <w:r>
              <w:rPr>
                <w:noProof/>
                <w:webHidden/>
              </w:rPr>
            </w:r>
            <w:r>
              <w:rPr>
                <w:noProof/>
                <w:webHidden/>
              </w:rPr>
              <w:fldChar w:fldCharType="separate"/>
            </w:r>
            <w:r w:rsidR="002E2E0B">
              <w:rPr>
                <w:noProof/>
                <w:webHidden/>
              </w:rPr>
              <w:t>43</w:t>
            </w:r>
            <w:r>
              <w:rPr>
                <w:noProof/>
                <w:webHidden/>
              </w:rPr>
              <w:fldChar w:fldCharType="end"/>
            </w:r>
          </w:hyperlink>
        </w:p>
        <w:p w14:paraId="65A3FB6B" w14:textId="77777777" w:rsidR="00EA170B" w:rsidRDefault="00EA170B">
          <w:pPr>
            <w:pStyle w:val="TOC2"/>
            <w:tabs>
              <w:tab w:val="right" w:leader="dot" w:pos="9350"/>
            </w:tabs>
            <w:rPr>
              <w:rFonts w:asciiTheme="minorHAnsi" w:eastAsiaTheme="minorEastAsia" w:hAnsiTheme="minorHAnsi" w:cstheme="minorBidi"/>
              <w:noProof/>
            </w:rPr>
          </w:pPr>
          <w:hyperlink w:anchor="_Toc214949046" w:history="1">
            <w:r w:rsidRPr="00D74A95">
              <w:rPr>
                <w:rStyle w:val="Hyperlink"/>
                <w:rFonts w:ascii="Times New Roman" w:hAnsi="Times New Roman"/>
                <w:b/>
                <w:noProof/>
              </w:rPr>
              <w:t>4.4.1 Compliance Framework</w:t>
            </w:r>
            <w:r>
              <w:rPr>
                <w:noProof/>
                <w:webHidden/>
              </w:rPr>
              <w:tab/>
            </w:r>
            <w:r>
              <w:rPr>
                <w:noProof/>
                <w:webHidden/>
              </w:rPr>
              <w:fldChar w:fldCharType="begin"/>
            </w:r>
            <w:r>
              <w:rPr>
                <w:noProof/>
                <w:webHidden/>
              </w:rPr>
              <w:instrText xml:space="preserve"> PAGEREF _Toc214949046 \h </w:instrText>
            </w:r>
            <w:r>
              <w:rPr>
                <w:noProof/>
                <w:webHidden/>
              </w:rPr>
            </w:r>
            <w:r>
              <w:rPr>
                <w:noProof/>
                <w:webHidden/>
              </w:rPr>
              <w:fldChar w:fldCharType="separate"/>
            </w:r>
            <w:r w:rsidR="002E2E0B">
              <w:rPr>
                <w:noProof/>
                <w:webHidden/>
              </w:rPr>
              <w:t>43</w:t>
            </w:r>
            <w:r>
              <w:rPr>
                <w:noProof/>
                <w:webHidden/>
              </w:rPr>
              <w:fldChar w:fldCharType="end"/>
            </w:r>
          </w:hyperlink>
        </w:p>
        <w:p w14:paraId="5EF1372D" w14:textId="77777777" w:rsidR="00EA170B" w:rsidRDefault="00EA170B">
          <w:pPr>
            <w:pStyle w:val="TOC2"/>
            <w:tabs>
              <w:tab w:val="right" w:leader="dot" w:pos="9350"/>
            </w:tabs>
            <w:rPr>
              <w:rFonts w:asciiTheme="minorHAnsi" w:eastAsiaTheme="minorEastAsia" w:hAnsiTheme="minorHAnsi" w:cstheme="minorBidi"/>
              <w:noProof/>
            </w:rPr>
          </w:pPr>
          <w:hyperlink w:anchor="_Toc214949047" w:history="1">
            <w:r w:rsidRPr="00D74A95">
              <w:rPr>
                <w:rStyle w:val="Hyperlink"/>
                <w:rFonts w:ascii="Times New Roman" w:hAnsi="Times New Roman"/>
                <w:b/>
                <w:noProof/>
              </w:rPr>
              <w:t>4.4.2 IT and Cyber Risk Management</w:t>
            </w:r>
            <w:r>
              <w:rPr>
                <w:noProof/>
                <w:webHidden/>
              </w:rPr>
              <w:tab/>
            </w:r>
            <w:r>
              <w:rPr>
                <w:noProof/>
                <w:webHidden/>
              </w:rPr>
              <w:fldChar w:fldCharType="begin"/>
            </w:r>
            <w:r>
              <w:rPr>
                <w:noProof/>
                <w:webHidden/>
              </w:rPr>
              <w:instrText xml:space="preserve"> PAGEREF _Toc214949047 \h </w:instrText>
            </w:r>
            <w:r>
              <w:rPr>
                <w:noProof/>
                <w:webHidden/>
              </w:rPr>
            </w:r>
            <w:r>
              <w:rPr>
                <w:noProof/>
                <w:webHidden/>
              </w:rPr>
              <w:fldChar w:fldCharType="separate"/>
            </w:r>
            <w:r w:rsidR="002E2E0B">
              <w:rPr>
                <w:noProof/>
                <w:webHidden/>
              </w:rPr>
              <w:t>43</w:t>
            </w:r>
            <w:r>
              <w:rPr>
                <w:noProof/>
                <w:webHidden/>
              </w:rPr>
              <w:fldChar w:fldCharType="end"/>
            </w:r>
          </w:hyperlink>
        </w:p>
        <w:p w14:paraId="66DE8F97" w14:textId="77777777" w:rsidR="00EA170B" w:rsidRDefault="00EA170B">
          <w:pPr>
            <w:pStyle w:val="TOC2"/>
            <w:tabs>
              <w:tab w:val="right" w:leader="dot" w:pos="9350"/>
            </w:tabs>
            <w:rPr>
              <w:rFonts w:asciiTheme="minorHAnsi" w:eastAsiaTheme="minorEastAsia" w:hAnsiTheme="minorHAnsi" w:cstheme="minorBidi"/>
              <w:noProof/>
            </w:rPr>
          </w:pPr>
          <w:hyperlink w:anchor="_Toc214949048" w:history="1">
            <w:r w:rsidRPr="00D74A95">
              <w:rPr>
                <w:rStyle w:val="Hyperlink"/>
                <w:rFonts w:ascii="Times New Roman" w:hAnsi="Times New Roman"/>
                <w:b/>
                <w:noProof/>
              </w:rPr>
              <w:t>4.4.3 Staff Training Programs</w:t>
            </w:r>
            <w:r>
              <w:rPr>
                <w:noProof/>
                <w:webHidden/>
              </w:rPr>
              <w:tab/>
            </w:r>
            <w:r>
              <w:rPr>
                <w:noProof/>
                <w:webHidden/>
              </w:rPr>
              <w:fldChar w:fldCharType="begin"/>
            </w:r>
            <w:r>
              <w:rPr>
                <w:noProof/>
                <w:webHidden/>
              </w:rPr>
              <w:instrText xml:space="preserve"> PAGEREF _Toc214949048 \h </w:instrText>
            </w:r>
            <w:r>
              <w:rPr>
                <w:noProof/>
                <w:webHidden/>
              </w:rPr>
            </w:r>
            <w:r>
              <w:rPr>
                <w:noProof/>
                <w:webHidden/>
              </w:rPr>
              <w:fldChar w:fldCharType="separate"/>
            </w:r>
            <w:r w:rsidR="002E2E0B">
              <w:rPr>
                <w:noProof/>
                <w:webHidden/>
              </w:rPr>
              <w:t>44</w:t>
            </w:r>
            <w:r>
              <w:rPr>
                <w:noProof/>
                <w:webHidden/>
              </w:rPr>
              <w:fldChar w:fldCharType="end"/>
            </w:r>
          </w:hyperlink>
        </w:p>
        <w:p w14:paraId="03377052" w14:textId="77777777" w:rsidR="00EA170B" w:rsidRDefault="00EA170B">
          <w:pPr>
            <w:pStyle w:val="TOC1"/>
            <w:tabs>
              <w:tab w:val="right" w:leader="dot" w:pos="9350"/>
            </w:tabs>
            <w:rPr>
              <w:rFonts w:asciiTheme="minorHAnsi" w:eastAsiaTheme="minorEastAsia" w:hAnsiTheme="minorHAnsi" w:cstheme="minorBidi"/>
              <w:noProof/>
            </w:rPr>
          </w:pPr>
          <w:hyperlink w:anchor="_Toc214949049" w:history="1">
            <w:r w:rsidRPr="00D74A95">
              <w:rPr>
                <w:rStyle w:val="Hyperlink"/>
                <w:rFonts w:ascii="Times New Roman" w:hAnsi="Times New Roman"/>
                <w:noProof/>
              </w:rPr>
              <w:t>4.5 Capital Adequacy Analysis</w:t>
            </w:r>
            <w:r>
              <w:rPr>
                <w:noProof/>
                <w:webHidden/>
              </w:rPr>
              <w:tab/>
            </w:r>
            <w:r>
              <w:rPr>
                <w:noProof/>
                <w:webHidden/>
              </w:rPr>
              <w:fldChar w:fldCharType="begin"/>
            </w:r>
            <w:r>
              <w:rPr>
                <w:noProof/>
                <w:webHidden/>
              </w:rPr>
              <w:instrText xml:space="preserve"> PAGEREF _Toc214949049 \h </w:instrText>
            </w:r>
            <w:r>
              <w:rPr>
                <w:noProof/>
                <w:webHidden/>
              </w:rPr>
            </w:r>
            <w:r>
              <w:rPr>
                <w:noProof/>
                <w:webHidden/>
              </w:rPr>
              <w:fldChar w:fldCharType="separate"/>
            </w:r>
            <w:r w:rsidR="002E2E0B">
              <w:rPr>
                <w:noProof/>
                <w:webHidden/>
              </w:rPr>
              <w:t>44</w:t>
            </w:r>
            <w:r>
              <w:rPr>
                <w:noProof/>
                <w:webHidden/>
              </w:rPr>
              <w:fldChar w:fldCharType="end"/>
            </w:r>
          </w:hyperlink>
        </w:p>
        <w:p w14:paraId="00DCB2D0" w14:textId="77777777" w:rsidR="00EA170B" w:rsidRDefault="00EA170B">
          <w:pPr>
            <w:pStyle w:val="TOC1"/>
            <w:tabs>
              <w:tab w:val="right" w:leader="dot" w:pos="9350"/>
            </w:tabs>
            <w:rPr>
              <w:rFonts w:asciiTheme="minorHAnsi" w:eastAsiaTheme="minorEastAsia" w:hAnsiTheme="minorHAnsi" w:cstheme="minorBidi"/>
              <w:noProof/>
            </w:rPr>
          </w:pPr>
          <w:hyperlink w:anchor="_Toc214949050" w:history="1">
            <w:r w:rsidRPr="00D74A95">
              <w:rPr>
                <w:rStyle w:val="Hyperlink"/>
                <w:rFonts w:ascii="Times New Roman" w:hAnsi="Times New Roman"/>
                <w:noProof/>
              </w:rPr>
              <w:t>4.6 Cost of Risk Analysis</w:t>
            </w:r>
            <w:r>
              <w:rPr>
                <w:noProof/>
                <w:webHidden/>
              </w:rPr>
              <w:tab/>
            </w:r>
            <w:r>
              <w:rPr>
                <w:noProof/>
                <w:webHidden/>
              </w:rPr>
              <w:fldChar w:fldCharType="begin"/>
            </w:r>
            <w:r>
              <w:rPr>
                <w:noProof/>
                <w:webHidden/>
              </w:rPr>
              <w:instrText xml:space="preserve"> PAGEREF _Toc214949050 \h </w:instrText>
            </w:r>
            <w:r>
              <w:rPr>
                <w:noProof/>
                <w:webHidden/>
              </w:rPr>
            </w:r>
            <w:r>
              <w:rPr>
                <w:noProof/>
                <w:webHidden/>
              </w:rPr>
              <w:fldChar w:fldCharType="separate"/>
            </w:r>
            <w:r w:rsidR="002E2E0B">
              <w:rPr>
                <w:noProof/>
                <w:webHidden/>
              </w:rPr>
              <w:t>46</w:t>
            </w:r>
            <w:r>
              <w:rPr>
                <w:noProof/>
                <w:webHidden/>
              </w:rPr>
              <w:fldChar w:fldCharType="end"/>
            </w:r>
          </w:hyperlink>
        </w:p>
        <w:p w14:paraId="2DC491CF" w14:textId="77777777" w:rsidR="00EA170B" w:rsidRDefault="00EA170B">
          <w:pPr>
            <w:pStyle w:val="TOC1"/>
            <w:tabs>
              <w:tab w:val="right" w:leader="dot" w:pos="9350"/>
            </w:tabs>
            <w:rPr>
              <w:rFonts w:asciiTheme="minorHAnsi" w:eastAsiaTheme="minorEastAsia" w:hAnsiTheme="minorHAnsi" w:cstheme="minorBidi"/>
              <w:noProof/>
            </w:rPr>
          </w:pPr>
          <w:hyperlink w:anchor="_Toc214949051" w:history="1">
            <w:r w:rsidRPr="00D74A95">
              <w:rPr>
                <w:rStyle w:val="Hyperlink"/>
                <w:rFonts w:ascii="Times New Roman" w:hAnsi="Times New Roman"/>
                <w:noProof/>
              </w:rPr>
              <w:t>4.7 Profitability Analysis</w:t>
            </w:r>
            <w:r>
              <w:rPr>
                <w:noProof/>
                <w:webHidden/>
              </w:rPr>
              <w:tab/>
            </w:r>
            <w:r>
              <w:rPr>
                <w:noProof/>
                <w:webHidden/>
              </w:rPr>
              <w:fldChar w:fldCharType="begin"/>
            </w:r>
            <w:r>
              <w:rPr>
                <w:noProof/>
                <w:webHidden/>
              </w:rPr>
              <w:instrText xml:space="preserve"> PAGEREF _Toc214949051 \h </w:instrText>
            </w:r>
            <w:r>
              <w:rPr>
                <w:noProof/>
                <w:webHidden/>
              </w:rPr>
            </w:r>
            <w:r>
              <w:rPr>
                <w:noProof/>
                <w:webHidden/>
              </w:rPr>
              <w:fldChar w:fldCharType="separate"/>
            </w:r>
            <w:r w:rsidR="002E2E0B">
              <w:rPr>
                <w:noProof/>
                <w:webHidden/>
              </w:rPr>
              <w:t>47</w:t>
            </w:r>
            <w:r>
              <w:rPr>
                <w:noProof/>
                <w:webHidden/>
              </w:rPr>
              <w:fldChar w:fldCharType="end"/>
            </w:r>
          </w:hyperlink>
        </w:p>
        <w:p w14:paraId="691A7E2B" w14:textId="77777777" w:rsidR="00EA170B" w:rsidRDefault="00EA170B">
          <w:pPr>
            <w:pStyle w:val="TOC1"/>
            <w:tabs>
              <w:tab w:val="right" w:leader="dot" w:pos="9350"/>
            </w:tabs>
            <w:rPr>
              <w:rFonts w:asciiTheme="minorHAnsi" w:eastAsiaTheme="minorEastAsia" w:hAnsiTheme="minorHAnsi" w:cstheme="minorBidi"/>
              <w:noProof/>
            </w:rPr>
          </w:pPr>
          <w:hyperlink w:anchor="_Toc214949052" w:history="1">
            <w:r w:rsidRPr="00D74A95">
              <w:rPr>
                <w:rStyle w:val="Hyperlink"/>
                <w:rFonts w:ascii="Times New Roman" w:hAnsi="Times New Roman"/>
                <w:noProof/>
              </w:rPr>
              <w:t>4.8 Comparative Analysis with Peer Banks</w:t>
            </w:r>
            <w:r>
              <w:rPr>
                <w:noProof/>
                <w:webHidden/>
              </w:rPr>
              <w:tab/>
            </w:r>
            <w:r>
              <w:rPr>
                <w:noProof/>
                <w:webHidden/>
              </w:rPr>
              <w:fldChar w:fldCharType="begin"/>
            </w:r>
            <w:r>
              <w:rPr>
                <w:noProof/>
                <w:webHidden/>
              </w:rPr>
              <w:instrText xml:space="preserve"> PAGEREF _Toc214949052 \h </w:instrText>
            </w:r>
            <w:r>
              <w:rPr>
                <w:noProof/>
                <w:webHidden/>
              </w:rPr>
            </w:r>
            <w:r>
              <w:rPr>
                <w:noProof/>
                <w:webHidden/>
              </w:rPr>
              <w:fldChar w:fldCharType="separate"/>
            </w:r>
            <w:r w:rsidR="002E2E0B">
              <w:rPr>
                <w:noProof/>
                <w:webHidden/>
              </w:rPr>
              <w:t>47</w:t>
            </w:r>
            <w:r>
              <w:rPr>
                <w:noProof/>
                <w:webHidden/>
              </w:rPr>
              <w:fldChar w:fldCharType="end"/>
            </w:r>
          </w:hyperlink>
        </w:p>
        <w:p w14:paraId="38672BC3" w14:textId="77777777" w:rsidR="00EA170B" w:rsidRDefault="00EA170B">
          <w:pPr>
            <w:pStyle w:val="TOC1"/>
            <w:tabs>
              <w:tab w:val="right" w:leader="dot" w:pos="9350"/>
            </w:tabs>
            <w:rPr>
              <w:rFonts w:asciiTheme="minorHAnsi" w:eastAsiaTheme="minorEastAsia" w:hAnsiTheme="minorHAnsi" w:cstheme="minorBidi"/>
              <w:noProof/>
            </w:rPr>
          </w:pPr>
          <w:hyperlink w:anchor="_Toc214949053" w:history="1">
            <w:r w:rsidRPr="00D74A95">
              <w:rPr>
                <w:rStyle w:val="Hyperlink"/>
                <w:rFonts w:ascii="Times New Roman" w:hAnsi="Times New Roman"/>
                <w:noProof/>
              </w:rPr>
              <w:t>5.1 Recommendations</w:t>
            </w:r>
            <w:r>
              <w:rPr>
                <w:noProof/>
                <w:webHidden/>
              </w:rPr>
              <w:tab/>
            </w:r>
            <w:r>
              <w:rPr>
                <w:noProof/>
                <w:webHidden/>
              </w:rPr>
              <w:fldChar w:fldCharType="begin"/>
            </w:r>
            <w:r>
              <w:rPr>
                <w:noProof/>
                <w:webHidden/>
              </w:rPr>
              <w:instrText xml:space="preserve"> PAGEREF _Toc214949053 \h </w:instrText>
            </w:r>
            <w:r>
              <w:rPr>
                <w:noProof/>
                <w:webHidden/>
              </w:rPr>
            </w:r>
            <w:r>
              <w:rPr>
                <w:noProof/>
                <w:webHidden/>
              </w:rPr>
              <w:fldChar w:fldCharType="separate"/>
            </w:r>
            <w:r w:rsidR="002E2E0B">
              <w:rPr>
                <w:noProof/>
                <w:webHidden/>
              </w:rPr>
              <w:t>50</w:t>
            </w:r>
            <w:r>
              <w:rPr>
                <w:noProof/>
                <w:webHidden/>
              </w:rPr>
              <w:fldChar w:fldCharType="end"/>
            </w:r>
          </w:hyperlink>
        </w:p>
        <w:p w14:paraId="6906A025" w14:textId="77777777" w:rsidR="00EA170B" w:rsidRDefault="00EA170B">
          <w:pPr>
            <w:pStyle w:val="TOC1"/>
            <w:tabs>
              <w:tab w:val="right" w:leader="dot" w:pos="9350"/>
            </w:tabs>
            <w:rPr>
              <w:rFonts w:asciiTheme="minorHAnsi" w:eastAsiaTheme="minorEastAsia" w:hAnsiTheme="minorHAnsi" w:cstheme="minorBidi"/>
              <w:noProof/>
            </w:rPr>
          </w:pPr>
          <w:hyperlink w:anchor="_Toc214949054" w:history="1">
            <w:r w:rsidRPr="00D74A95">
              <w:rPr>
                <w:rStyle w:val="Hyperlink"/>
                <w:rFonts w:ascii="Times New Roman" w:hAnsi="Times New Roman"/>
                <w:noProof/>
              </w:rPr>
              <w:t>5.2 Key Understanding</w:t>
            </w:r>
            <w:r>
              <w:rPr>
                <w:noProof/>
                <w:webHidden/>
              </w:rPr>
              <w:tab/>
            </w:r>
            <w:r>
              <w:rPr>
                <w:noProof/>
                <w:webHidden/>
              </w:rPr>
              <w:fldChar w:fldCharType="begin"/>
            </w:r>
            <w:r>
              <w:rPr>
                <w:noProof/>
                <w:webHidden/>
              </w:rPr>
              <w:instrText xml:space="preserve"> PAGEREF _Toc214949054 \h </w:instrText>
            </w:r>
            <w:r>
              <w:rPr>
                <w:noProof/>
                <w:webHidden/>
              </w:rPr>
            </w:r>
            <w:r>
              <w:rPr>
                <w:noProof/>
                <w:webHidden/>
              </w:rPr>
              <w:fldChar w:fldCharType="separate"/>
            </w:r>
            <w:r w:rsidR="002E2E0B">
              <w:rPr>
                <w:noProof/>
                <w:webHidden/>
              </w:rPr>
              <w:t>51</w:t>
            </w:r>
            <w:r>
              <w:rPr>
                <w:noProof/>
                <w:webHidden/>
              </w:rPr>
              <w:fldChar w:fldCharType="end"/>
            </w:r>
          </w:hyperlink>
        </w:p>
        <w:p w14:paraId="3E3A9025" w14:textId="77777777" w:rsidR="00EA170B" w:rsidRDefault="00EA170B">
          <w:pPr>
            <w:pStyle w:val="TOC1"/>
            <w:tabs>
              <w:tab w:val="right" w:leader="dot" w:pos="9350"/>
            </w:tabs>
            <w:rPr>
              <w:rFonts w:asciiTheme="minorHAnsi" w:eastAsiaTheme="minorEastAsia" w:hAnsiTheme="minorHAnsi" w:cstheme="minorBidi"/>
              <w:noProof/>
            </w:rPr>
          </w:pPr>
          <w:hyperlink w:anchor="_Toc214949055" w:history="1">
            <w:r w:rsidRPr="00D74A95">
              <w:rPr>
                <w:rStyle w:val="Hyperlink"/>
                <w:rFonts w:ascii="Times New Roman" w:hAnsi="Times New Roman"/>
                <w:noProof/>
              </w:rPr>
              <w:t>5.3 Conclusion</w:t>
            </w:r>
            <w:r>
              <w:rPr>
                <w:noProof/>
                <w:webHidden/>
              </w:rPr>
              <w:tab/>
            </w:r>
            <w:r>
              <w:rPr>
                <w:noProof/>
                <w:webHidden/>
              </w:rPr>
              <w:fldChar w:fldCharType="begin"/>
            </w:r>
            <w:r>
              <w:rPr>
                <w:noProof/>
                <w:webHidden/>
              </w:rPr>
              <w:instrText xml:space="preserve"> PAGEREF _Toc214949055 \h </w:instrText>
            </w:r>
            <w:r>
              <w:rPr>
                <w:noProof/>
                <w:webHidden/>
              </w:rPr>
            </w:r>
            <w:r>
              <w:rPr>
                <w:noProof/>
                <w:webHidden/>
              </w:rPr>
              <w:fldChar w:fldCharType="separate"/>
            </w:r>
            <w:r w:rsidR="002E2E0B">
              <w:rPr>
                <w:noProof/>
                <w:webHidden/>
              </w:rPr>
              <w:t>52</w:t>
            </w:r>
            <w:r>
              <w:rPr>
                <w:noProof/>
                <w:webHidden/>
              </w:rPr>
              <w:fldChar w:fldCharType="end"/>
            </w:r>
          </w:hyperlink>
        </w:p>
        <w:p w14:paraId="67B8BA13" w14:textId="77777777" w:rsidR="00EA170B" w:rsidRDefault="00EA170B">
          <w:pPr>
            <w:pStyle w:val="TOC1"/>
            <w:tabs>
              <w:tab w:val="right" w:leader="dot" w:pos="9350"/>
            </w:tabs>
            <w:rPr>
              <w:rFonts w:asciiTheme="minorHAnsi" w:eastAsiaTheme="minorEastAsia" w:hAnsiTheme="minorHAnsi" w:cstheme="minorBidi"/>
              <w:noProof/>
            </w:rPr>
          </w:pPr>
          <w:hyperlink w:anchor="_Toc214949056" w:history="1">
            <w:r w:rsidRPr="00D74A95">
              <w:rPr>
                <w:rStyle w:val="Hyperlink"/>
                <w:rFonts w:ascii="Times New Roman" w:hAnsi="Times New Roman"/>
                <w:noProof/>
              </w:rPr>
              <w:t>References</w:t>
            </w:r>
            <w:r>
              <w:rPr>
                <w:noProof/>
                <w:webHidden/>
              </w:rPr>
              <w:tab/>
            </w:r>
            <w:r>
              <w:rPr>
                <w:noProof/>
                <w:webHidden/>
              </w:rPr>
              <w:fldChar w:fldCharType="begin"/>
            </w:r>
            <w:r>
              <w:rPr>
                <w:noProof/>
                <w:webHidden/>
              </w:rPr>
              <w:instrText xml:space="preserve"> PAGEREF _Toc214949056 \h </w:instrText>
            </w:r>
            <w:r>
              <w:rPr>
                <w:noProof/>
                <w:webHidden/>
              </w:rPr>
            </w:r>
            <w:r>
              <w:rPr>
                <w:noProof/>
                <w:webHidden/>
              </w:rPr>
              <w:fldChar w:fldCharType="separate"/>
            </w:r>
            <w:r w:rsidR="002E2E0B">
              <w:rPr>
                <w:noProof/>
                <w:webHidden/>
              </w:rPr>
              <w:t>53</w:t>
            </w:r>
            <w:r>
              <w:rPr>
                <w:noProof/>
                <w:webHidden/>
              </w:rPr>
              <w:fldChar w:fldCharType="end"/>
            </w:r>
          </w:hyperlink>
        </w:p>
        <w:p w14:paraId="1517F2AE" w14:textId="77777777" w:rsidR="00BD524F" w:rsidRDefault="00F31C85">
          <w:r>
            <w:rPr>
              <w:b/>
              <w:bCs/>
            </w:rPr>
            <w:fldChar w:fldCharType="end"/>
          </w:r>
          <w:commentRangeEnd w:id="14"/>
          <w:r>
            <w:rPr>
              <w:rStyle w:val="CommentReference"/>
              <w:sz w:val="22"/>
              <w:szCs w:val="22"/>
            </w:rPr>
            <w:commentReference w:id="14"/>
          </w:r>
        </w:p>
      </w:sdtContent>
    </w:sdt>
    <w:p w14:paraId="52C5AE23" w14:textId="77777777" w:rsidR="00CA4120" w:rsidRDefault="00CA4120" w:rsidP="00175455">
      <w:pPr>
        <w:pStyle w:val="Heading1"/>
        <w:rPr>
          <w:rFonts w:ascii="Times New Roman" w:hAnsi="Times New Roman" w:cs="Times New Roman"/>
        </w:rPr>
      </w:pPr>
    </w:p>
    <w:p w14:paraId="04B66603" w14:textId="77777777" w:rsidR="00CA4120" w:rsidRDefault="00CA4120" w:rsidP="00175455">
      <w:pPr>
        <w:pStyle w:val="Heading1"/>
        <w:rPr>
          <w:rFonts w:ascii="Times New Roman" w:hAnsi="Times New Roman" w:cs="Times New Roman"/>
        </w:rPr>
      </w:pPr>
    </w:p>
    <w:p w14:paraId="647426C7" w14:textId="77777777" w:rsidR="00BD524F" w:rsidRPr="00A74FA3" w:rsidRDefault="00F31C85" w:rsidP="00175455">
      <w:pPr>
        <w:pStyle w:val="Heading1"/>
        <w:rPr>
          <w:rFonts w:ascii="Times New Roman" w:hAnsi="Times New Roman" w:cs="Times New Roman"/>
        </w:rPr>
      </w:pPr>
      <w:bookmarkStart w:id="15" w:name="_Toc214949007"/>
      <w:r w:rsidRPr="00A74FA3">
        <w:rPr>
          <w:rFonts w:ascii="Times New Roman" w:hAnsi="Times New Roman" w:cs="Times New Roman"/>
        </w:rPr>
        <w:t>List of Tables</w:t>
      </w:r>
      <w:bookmarkEnd w:id="15"/>
    </w:p>
    <w:p w14:paraId="57008824" w14:textId="77777777" w:rsidR="005623E7" w:rsidRDefault="005623E7" w:rsidP="005623E7"/>
    <w:p w14:paraId="4A73C3D7" w14:textId="77777777" w:rsidR="005623E7" w:rsidRDefault="005623E7" w:rsidP="005623E7"/>
    <w:tbl>
      <w:tblPr>
        <w:tblStyle w:val="TableGrid"/>
        <w:tblW w:w="0" w:type="auto"/>
        <w:jc w:val="center"/>
        <w:tblLook w:val="04A0" w:firstRow="1" w:lastRow="0" w:firstColumn="1" w:lastColumn="0" w:noHBand="0" w:noVBand="1"/>
      </w:tblPr>
      <w:tblGrid>
        <w:gridCol w:w="1900"/>
        <w:gridCol w:w="4980"/>
        <w:gridCol w:w="2200"/>
      </w:tblGrid>
      <w:tr w:rsidR="005623E7" w:rsidRPr="005623E7" w14:paraId="4A4CDDFC" w14:textId="77777777" w:rsidTr="005623E7">
        <w:trPr>
          <w:trHeight w:val="615"/>
          <w:jc w:val="center"/>
        </w:trPr>
        <w:tc>
          <w:tcPr>
            <w:tcW w:w="1900" w:type="dxa"/>
            <w:noWrap/>
            <w:hideMark/>
          </w:tcPr>
          <w:p w14:paraId="562CE51F"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SL. No.</w:t>
            </w:r>
          </w:p>
        </w:tc>
        <w:tc>
          <w:tcPr>
            <w:tcW w:w="4980" w:type="dxa"/>
            <w:noWrap/>
            <w:hideMark/>
          </w:tcPr>
          <w:p w14:paraId="135EC42F"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Topic</w:t>
            </w:r>
          </w:p>
        </w:tc>
        <w:tc>
          <w:tcPr>
            <w:tcW w:w="2200" w:type="dxa"/>
            <w:noWrap/>
            <w:hideMark/>
          </w:tcPr>
          <w:p w14:paraId="35990475"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Page No.</w:t>
            </w:r>
          </w:p>
        </w:tc>
      </w:tr>
      <w:tr w:rsidR="005623E7" w:rsidRPr="005623E7" w14:paraId="0E629B43" w14:textId="77777777" w:rsidTr="005623E7">
        <w:trPr>
          <w:trHeight w:val="615"/>
          <w:jc w:val="center"/>
        </w:trPr>
        <w:tc>
          <w:tcPr>
            <w:tcW w:w="1900" w:type="dxa"/>
            <w:noWrap/>
            <w:hideMark/>
          </w:tcPr>
          <w:p w14:paraId="01ECF274"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1</w:t>
            </w:r>
          </w:p>
        </w:tc>
        <w:tc>
          <w:tcPr>
            <w:tcW w:w="4980" w:type="dxa"/>
            <w:noWrap/>
            <w:hideMark/>
          </w:tcPr>
          <w:p w14:paraId="7A1E00D0"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NPL Trends</w:t>
            </w:r>
          </w:p>
        </w:tc>
        <w:tc>
          <w:tcPr>
            <w:tcW w:w="2200" w:type="dxa"/>
            <w:noWrap/>
            <w:hideMark/>
          </w:tcPr>
          <w:p w14:paraId="6C122000"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33</w:t>
            </w:r>
          </w:p>
        </w:tc>
      </w:tr>
      <w:tr w:rsidR="005623E7" w:rsidRPr="005623E7" w14:paraId="5BA2CF00" w14:textId="77777777" w:rsidTr="005623E7">
        <w:trPr>
          <w:trHeight w:val="615"/>
          <w:jc w:val="center"/>
        </w:trPr>
        <w:tc>
          <w:tcPr>
            <w:tcW w:w="1900" w:type="dxa"/>
            <w:noWrap/>
            <w:hideMark/>
          </w:tcPr>
          <w:p w14:paraId="77EB052B"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2</w:t>
            </w:r>
          </w:p>
        </w:tc>
        <w:tc>
          <w:tcPr>
            <w:tcW w:w="4980" w:type="dxa"/>
            <w:noWrap/>
            <w:hideMark/>
          </w:tcPr>
          <w:p w14:paraId="0E324CCB"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Loan Sectors</w:t>
            </w:r>
          </w:p>
        </w:tc>
        <w:tc>
          <w:tcPr>
            <w:tcW w:w="2200" w:type="dxa"/>
            <w:noWrap/>
            <w:hideMark/>
          </w:tcPr>
          <w:p w14:paraId="3AB8B920"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34</w:t>
            </w:r>
          </w:p>
        </w:tc>
      </w:tr>
      <w:tr w:rsidR="005623E7" w:rsidRPr="005623E7" w14:paraId="326DD378" w14:textId="77777777" w:rsidTr="005623E7">
        <w:trPr>
          <w:trHeight w:val="615"/>
          <w:jc w:val="center"/>
        </w:trPr>
        <w:tc>
          <w:tcPr>
            <w:tcW w:w="1900" w:type="dxa"/>
            <w:noWrap/>
            <w:hideMark/>
          </w:tcPr>
          <w:p w14:paraId="0FEC0CB1"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3</w:t>
            </w:r>
          </w:p>
        </w:tc>
        <w:tc>
          <w:tcPr>
            <w:tcW w:w="4980" w:type="dxa"/>
            <w:noWrap/>
            <w:hideMark/>
          </w:tcPr>
          <w:p w14:paraId="6DAFA609"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Liquid Assets Trend</w:t>
            </w:r>
          </w:p>
        </w:tc>
        <w:tc>
          <w:tcPr>
            <w:tcW w:w="2200" w:type="dxa"/>
            <w:noWrap/>
            <w:hideMark/>
          </w:tcPr>
          <w:p w14:paraId="068188E8"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37</w:t>
            </w:r>
          </w:p>
        </w:tc>
      </w:tr>
      <w:tr w:rsidR="005623E7" w:rsidRPr="005623E7" w14:paraId="4B451191" w14:textId="77777777" w:rsidTr="005623E7">
        <w:trPr>
          <w:trHeight w:val="615"/>
          <w:jc w:val="center"/>
        </w:trPr>
        <w:tc>
          <w:tcPr>
            <w:tcW w:w="1900" w:type="dxa"/>
            <w:noWrap/>
            <w:hideMark/>
          </w:tcPr>
          <w:p w14:paraId="3A567C5C"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4</w:t>
            </w:r>
          </w:p>
        </w:tc>
        <w:tc>
          <w:tcPr>
            <w:tcW w:w="4980" w:type="dxa"/>
            <w:noWrap/>
            <w:hideMark/>
          </w:tcPr>
          <w:p w14:paraId="22EDA021"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LDR Ratio</w:t>
            </w:r>
          </w:p>
        </w:tc>
        <w:tc>
          <w:tcPr>
            <w:tcW w:w="2200" w:type="dxa"/>
            <w:noWrap/>
            <w:hideMark/>
          </w:tcPr>
          <w:p w14:paraId="1124C924"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38</w:t>
            </w:r>
          </w:p>
        </w:tc>
      </w:tr>
      <w:tr w:rsidR="005623E7" w:rsidRPr="005623E7" w14:paraId="06DEF698" w14:textId="77777777" w:rsidTr="005623E7">
        <w:trPr>
          <w:trHeight w:val="615"/>
          <w:jc w:val="center"/>
        </w:trPr>
        <w:tc>
          <w:tcPr>
            <w:tcW w:w="1900" w:type="dxa"/>
            <w:noWrap/>
            <w:hideMark/>
          </w:tcPr>
          <w:p w14:paraId="33BFB6F3"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5</w:t>
            </w:r>
          </w:p>
        </w:tc>
        <w:tc>
          <w:tcPr>
            <w:tcW w:w="4980" w:type="dxa"/>
            <w:noWrap/>
            <w:hideMark/>
          </w:tcPr>
          <w:p w14:paraId="5CDA68DC"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CAR Trend</w:t>
            </w:r>
          </w:p>
        </w:tc>
        <w:tc>
          <w:tcPr>
            <w:tcW w:w="2200" w:type="dxa"/>
            <w:noWrap/>
            <w:hideMark/>
          </w:tcPr>
          <w:p w14:paraId="41F59EEE"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46</w:t>
            </w:r>
          </w:p>
        </w:tc>
      </w:tr>
      <w:tr w:rsidR="005623E7" w:rsidRPr="005623E7" w14:paraId="53C08B13" w14:textId="77777777" w:rsidTr="005623E7">
        <w:trPr>
          <w:trHeight w:val="615"/>
          <w:jc w:val="center"/>
        </w:trPr>
        <w:tc>
          <w:tcPr>
            <w:tcW w:w="1900" w:type="dxa"/>
            <w:noWrap/>
            <w:hideMark/>
          </w:tcPr>
          <w:p w14:paraId="32A6C870"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6</w:t>
            </w:r>
          </w:p>
        </w:tc>
        <w:tc>
          <w:tcPr>
            <w:tcW w:w="4980" w:type="dxa"/>
            <w:noWrap/>
            <w:hideMark/>
          </w:tcPr>
          <w:p w14:paraId="43643266"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Profitability Analysis</w:t>
            </w:r>
          </w:p>
        </w:tc>
        <w:tc>
          <w:tcPr>
            <w:tcW w:w="2200" w:type="dxa"/>
            <w:noWrap/>
            <w:hideMark/>
          </w:tcPr>
          <w:p w14:paraId="75EE585B"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48</w:t>
            </w:r>
          </w:p>
        </w:tc>
      </w:tr>
      <w:tr w:rsidR="005623E7" w:rsidRPr="005623E7" w14:paraId="3C819DE6" w14:textId="77777777" w:rsidTr="005623E7">
        <w:trPr>
          <w:trHeight w:val="615"/>
          <w:jc w:val="center"/>
        </w:trPr>
        <w:tc>
          <w:tcPr>
            <w:tcW w:w="1900" w:type="dxa"/>
            <w:noWrap/>
            <w:hideMark/>
          </w:tcPr>
          <w:p w14:paraId="1CA44706"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7</w:t>
            </w:r>
          </w:p>
        </w:tc>
        <w:tc>
          <w:tcPr>
            <w:tcW w:w="4980" w:type="dxa"/>
            <w:noWrap/>
            <w:hideMark/>
          </w:tcPr>
          <w:p w14:paraId="654572F7"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Comparative Analysis</w:t>
            </w:r>
          </w:p>
        </w:tc>
        <w:tc>
          <w:tcPr>
            <w:tcW w:w="2200" w:type="dxa"/>
            <w:noWrap/>
            <w:hideMark/>
          </w:tcPr>
          <w:p w14:paraId="34585A01" w14:textId="77777777" w:rsidR="005623E7" w:rsidRPr="005623E7" w:rsidRDefault="005623E7" w:rsidP="005623E7">
            <w:pPr>
              <w:spacing w:line="360" w:lineRule="auto"/>
              <w:jc w:val="center"/>
              <w:rPr>
                <w:rFonts w:ascii="Times New Roman" w:hAnsi="Times New Roman"/>
                <w:b/>
                <w:bCs/>
                <w:sz w:val="28"/>
                <w:szCs w:val="28"/>
              </w:rPr>
            </w:pPr>
            <w:r w:rsidRPr="005623E7">
              <w:rPr>
                <w:rFonts w:ascii="Times New Roman" w:hAnsi="Times New Roman"/>
                <w:b/>
                <w:bCs/>
                <w:sz w:val="28"/>
                <w:szCs w:val="28"/>
              </w:rPr>
              <w:t>48</w:t>
            </w:r>
          </w:p>
        </w:tc>
      </w:tr>
    </w:tbl>
    <w:p w14:paraId="5393499C" w14:textId="77777777" w:rsidR="005623E7" w:rsidRPr="005623E7" w:rsidRDefault="005623E7" w:rsidP="005623E7"/>
    <w:p w14:paraId="547BC355" w14:textId="77777777" w:rsidR="00BD524F" w:rsidRDefault="00BD524F"/>
    <w:p w14:paraId="2B016FAB" w14:textId="77777777" w:rsidR="00BD524F" w:rsidRDefault="00BD524F"/>
    <w:p w14:paraId="7125BA27" w14:textId="77777777" w:rsidR="00BD524F" w:rsidRDefault="00BD524F"/>
    <w:p w14:paraId="4F634B80" w14:textId="77777777" w:rsidR="00BD524F" w:rsidRDefault="00BD524F"/>
    <w:p w14:paraId="2F54458B" w14:textId="77777777" w:rsidR="00BD524F" w:rsidRDefault="00BD524F"/>
    <w:p w14:paraId="4EFCA961" w14:textId="77777777" w:rsidR="00BD524F" w:rsidRDefault="00BD524F"/>
    <w:p w14:paraId="4DFADDCE" w14:textId="77777777" w:rsidR="00BD524F" w:rsidRPr="00A74FA3" w:rsidRDefault="00F31C85" w:rsidP="00225191">
      <w:pPr>
        <w:pStyle w:val="Heading1"/>
        <w:rPr>
          <w:rFonts w:ascii="Times New Roman" w:hAnsi="Times New Roman" w:cs="Times New Roman"/>
        </w:rPr>
      </w:pPr>
      <w:bookmarkStart w:id="16" w:name="_Toc214949008"/>
      <w:r w:rsidRPr="00A74FA3">
        <w:rPr>
          <w:rFonts w:ascii="Times New Roman" w:hAnsi="Times New Roman" w:cs="Times New Roman"/>
        </w:rPr>
        <w:lastRenderedPageBreak/>
        <w:t>List of Acronyms</w:t>
      </w:r>
      <w:bookmarkEnd w:id="16"/>
    </w:p>
    <w:p w14:paraId="2C1C136F" w14:textId="77777777" w:rsidR="00542AA0" w:rsidRDefault="00542AA0" w:rsidP="00542AA0"/>
    <w:p w14:paraId="4C225CDE" w14:textId="77777777" w:rsidR="00542AA0" w:rsidRDefault="00542AA0" w:rsidP="00542AA0">
      <w:pPr>
        <w:spacing w:after="0" w:line="360" w:lineRule="auto"/>
        <w:jc w:val="both"/>
        <w:rPr>
          <w:rFonts w:ascii="Times New Roman" w:eastAsia="Times New Roman" w:hAnsi="Times New Roman"/>
          <w:sz w:val="24"/>
          <w:szCs w:val="24"/>
        </w:rPr>
      </w:pPr>
    </w:p>
    <w:p w14:paraId="5D519ECB"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BCBS- Basel Committee on Banking Supervision</w:t>
      </w:r>
    </w:p>
    <w:p w14:paraId="1F45AC09"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BEFTN- Bangladesh Electronic Fund Transfer Network</w:t>
      </w:r>
    </w:p>
    <w:p w14:paraId="4EE5AA63"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CIB- Credit Information Bureau</w:t>
      </w:r>
    </w:p>
    <w:p w14:paraId="5BC67EFD"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CRAR- Capital to Risk-Weighted Assets Ratio</w:t>
      </w:r>
    </w:p>
    <w:p w14:paraId="6902A6BF"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ICAAP- Internal Capital Adequacy Assessment Process</w:t>
      </w:r>
    </w:p>
    <w:p w14:paraId="25C3CA60"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IFRS- International Financial Reporting Standards</w:t>
      </w:r>
    </w:p>
    <w:p w14:paraId="6337884F"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LCR- Liquidity Coverage Ratio</w:t>
      </w:r>
    </w:p>
    <w:p w14:paraId="64752AD2"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NPL- Non-Performing Loans</w:t>
      </w:r>
    </w:p>
    <w:p w14:paraId="7DF8983F"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NSFR- Net Stable Funding Ratio</w:t>
      </w:r>
    </w:p>
    <w:p w14:paraId="44F5A08C"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OCAS- Online Credit Approval System</w:t>
      </w:r>
    </w:p>
    <w:p w14:paraId="1E1CF7D9"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RWA- Risk-Weighted Assets</w:t>
      </w:r>
    </w:p>
    <w:p w14:paraId="585D0344"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SME- Small and Medium Enterprises</w:t>
      </w:r>
    </w:p>
    <w:p w14:paraId="035333D4"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SWIFT-Society for Worldwide Interbank Financial Telecommunication</w:t>
      </w:r>
    </w:p>
    <w:p w14:paraId="29F8039D" w14:textId="77777777" w:rsidR="00542AA0" w:rsidRPr="00542AA0" w:rsidRDefault="00542AA0" w:rsidP="00542AA0">
      <w:pPr>
        <w:spacing w:after="0" w:line="480" w:lineRule="auto"/>
        <w:jc w:val="both"/>
        <w:rPr>
          <w:rFonts w:ascii="Times New Roman" w:eastAsia="Times New Roman" w:hAnsi="Times New Roman"/>
          <w:sz w:val="24"/>
          <w:szCs w:val="24"/>
        </w:rPr>
      </w:pPr>
      <w:r w:rsidRPr="00542AA0">
        <w:rPr>
          <w:rFonts w:ascii="Times New Roman" w:eastAsia="Times New Roman" w:hAnsi="Times New Roman"/>
          <w:sz w:val="24"/>
          <w:szCs w:val="24"/>
        </w:rPr>
        <w:t>VaR- Value at Risk</w:t>
      </w:r>
    </w:p>
    <w:p w14:paraId="2AAF6F56" w14:textId="77777777" w:rsidR="00542AA0" w:rsidRPr="00542AA0" w:rsidRDefault="00542AA0" w:rsidP="00542AA0"/>
    <w:p w14:paraId="274F03CB" w14:textId="77777777" w:rsidR="00BD524F" w:rsidRDefault="00BD524F">
      <w:pPr>
        <w:jc w:val="center"/>
        <w:rPr>
          <w:rFonts w:ascii="Arial" w:hAnsi="Arial" w:cs="Arial"/>
          <w:sz w:val="24"/>
          <w:szCs w:val="24"/>
        </w:rPr>
      </w:pPr>
    </w:p>
    <w:p w14:paraId="1D515C83" w14:textId="77777777" w:rsidR="00BD524F" w:rsidRDefault="00BD524F">
      <w:pPr>
        <w:jc w:val="center"/>
        <w:rPr>
          <w:rFonts w:ascii="Arial" w:hAnsi="Arial" w:cs="Arial"/>
          <w:sz w:val="24"/>
          <w:szCs w:val="24"/>
        </w:rPr>
      </w:pPr>
    </w:p>
    <w:p w14:paraId="5556D84B" w14:textId="77777777" w:rsidR="00BD524F" w:rsidRDefault="00BD524F">
      <w:pPr>
        <w:jc w:val="center"/>
        <w:rPr>
          <w:rFonts w:ascii="Arial" w:hAnsi="Arial" w:cs="Arial"/>
          <w:sz w:val="24"/>
          <w:szCs w:val="24"/>
        </w:rPr>
      </w:pPr>
    </w:p>
    <w:p w14:paraId="7FB492C1" w14:textId="77777777" w:rsidR="00BD524F" w:rsidRDefault="00BD524F">
      <w:pPr>
        <w:jc w:val="center"/>
        <w:rPr>
          <w:rFonts w:ascii="Arial" w:hAnsi="Arial" w:cs="Arial"/>
          <w:sz w:val="24"/>
          <w:szCs w:val="24"/>
        </w:rPr>
      </w:pPr>
    </w:p>
    <w:p w14:paraId="4D6EEA54" w14:textId="77777777" w:rsidR="00BD524F" w:rsidRDefault="00BD524F">
      <w:pPr>
        <w:jc w:val="center"/>
        <w:rPr>
          <w:rFonts w:ascii="Arial" w:hAnsi="Arial" w:cs="Arial"/>
          <w:sz w:val="24"/>
          <w:szCs w:val="24"/>
        </w:rPr>
      </w:pPr>
    </w:p>
    <w:p w14:paraId="332067DE" w14:textId="77777777" w:rsidR="009F64F4" w:rsidRDefault="009F64F4" w:rsidP="009648A0">
      <w:pPr>
        <w:pStyle w:val="Title"/>
        <w:rPr>
          <w:color w:val="000000" w:themeColor="text1"/>
        </w:rPr>
        <w:sectPr w:rsidR="009F64F4" w:rsidSect="009F64F4">
          <w:footerReference w:type="default" r:id="rId14"/>
          <w:pgSz w:w="12240" w:h="15840"/>
          <w:pgMar w:top="1440" w:right="1440" w:bottom="1440" w:left="1440" w:header="720" w:footer="720" w:gutter="0"/>
          <w:pgNumType w:fmt="lowerRoman" w:start="1"/>
          <w:cols w:space="720"/>
          <w:titlePg/>
          <w:docGrid w:linePitch="360"/>
        </w:sectPr>
      </w:pPr>
    </w:p>
    <w:p w14:paraId="7D3D70D5" w14:textId="77777777" w:rsidR="009648A0" w:rsidRDefault="009648A0" w:rsidP="009648A0">
      <w:pPr>
        <w:pStyle w:val="Title"/>
        <w:rPr>
          <w:color w:val="000000" w:themeColor="text1"/>
        </w:rPr>
      </w:pPr>
    </w:p>
    <w:p w14:paraId="391E9CA2" w14:textId="77777777" w:rsidR="009F64F4" w:rsidRDefault="009F64F4" w:rsidP="009648A0">
      <w:pPr>
        <w:pStyle w:val="Title"/>
        <w:rPr>
          <w:color w:val="000000" w:themeColor="text1"/>
        </w:rPr>
        <w:sectPr w:rsidR="009F64F4" w:rsidSect="009F64F4">
          <w:type w:val="continuous"/>
          <w:pgSz w:w="12240" w:h="15840"/>
          <w:pgMar w:top="1440" w:right="1440" w:bottom="1440" w:left="1440" w:header="720" w:footer="720" w:gutter="0"/>
          <w:pgNumType w:start="1"/>
          <w:cols w:space="720"/>
          <w:docGrid w:linePitch="360"/>
        </w:sectPr>
      </w:pPr>
    </w:p>
    <w:p w14:paraId="666BB310" w14:textId="77777777" w:rsidR="009648A0" w:rsidRDefault="009648A0" w:rsidP="009648A0">
      <w:pPr>
        <w:pStyle w:val="Title"/>
        <w:rPr>
          <w:color w:val="000000" w:themeColor="text1"/>
        </w:rPr>
      </w:pPr>
    </w:p>
    <w:p w14:paraId="4CC16034" w14:textId="77777777" w:rsidR="009648A0" w:rsidRDefault="009648A0" w:rsidP="009648A0">
      <w:pPr>
        <w:pStyle w:val="Title"/>
        <w:rPr>
          <w:color w:val="000000" w:themeColor="text1"/>
        </w:rPr>
      </w:pPr>
    </w:p>
    <w:p w14:paraId="31947A3E" w14:textId="77777777" w:rsidR="009648A0" w:rsidRDefault="009648A0" w:rsidP="009648A0">
      <w:pPr>
        <w:pStyle w:val="Title"/>
        <w:rPr>
          <w:color w:val="000000" w:themeColor="text1"/>
        </w:rPr>
      </w:pPr>
    </w:p>
    <w:p w14:paraId="28225DB6" w14:textId="77777777" w:rsidR="009648A0" w:rsidRDefault="009648A0" w:rsidP="009648A0">
      <w:pPr>
        <w:pStyle w:val="Title"/>
        <w:rPr>
          <w:color w:val="000000" w:themeColor="text1"/>
        </w:rPr>
      </w:pPr>
    </w:p>
    <w:p w14:paraId="4971EA01" w14:textId="77777777" w:rsidR="00AD33D1" w:rsidRDefault="00AD33D1" w:rsidP="009648A0">
      <w:pPr>
        <w:pStyle w:val="Title"/>
        <w:rPr>
          <w:color w:val="000000" w:themeColor="text1"/>
        </w:rPr>
      </w:pPr>
    </w:p>
    <w:p w14:paraId="322B0EDE" w14:textId="77777777" w:rsidR="009648A0" w:rsidRPr="009648A0" w:rsidRDefault="00F31C85" w:rsidP="009648A0">
      <w:pPr>
        <w:pStyle w:val="Title"/>
        <w:rPr>
          <w:color w:val="000000" w:themeColor="text1"/>
        </w:rPr>
      </w:pPr>
      <w:r w:rsidRPr="009648A0">
        <w:rPr>
          <w:color w:val="000000" w:themeColor="text1"/>
        </w:rPr>
        <w:t>CHAPTER</w:t>
      </w:r>
      <w:r w:rsidR="009648A0" w:rsidRPr="009648A0">
        <w:rPr>
          <w:color w:val="000000" w:themeColor="text1"/>
        </w:rPr>
        <w:t>: 1</w:t>
      </w:r>
    </w:p>
    <w:p w14:paraId="38E620B5" w14:textId="77777777" w:rsidR="00BD524F" w:rsidRPr="009648A0" w:rsidRDefault="00F31C85" w:rsidP="009648A0">
      <w:pPr>
        <w:pStyle w:val="Title"/>
        <w:rPr>
          <w:rFonts w:ascii="Arial" w:hAnsi="Arial"/>
          <w:color w:val="0070C0"/>
          <w:sz w:val="32"/>
          <w:szCs w:val="28"/>
        </w:rPr>
      </w:pPr>
      <w:r w:rsidRPr="009648A0">
        <w:rPr>
          <w:color w:val="0070C0"/>
        </w:rPr>
        <w:t>INTRODUCTION</w:t>
      </w:r>
    </w:p>
    <w:p w14:paraId="6F819339" w14:textId="77777777" w:rsidR="00BD524F" w:rsidRDefault="00BD524F">
      <w:pPr>
        <w:jc w:val="center"/>
        <w:rPr>
          <w:rFonts w:ascii="Arial" w:hAnsi="Arial" w:cs="Arial"/>
          <w:sz w:val="24"/>
          <w:szCs w:val="24"/>
        </w:rPr>
      </w:pPr>
    </w:p>
    <w:p w14:paraId="58F9D8E2" w14:textId="77777777" w:rsidR="00BD524F" w:rsidRDefault="00BD524F">
      <w:pPr>
        <w:jc w:val="center"/>
        <w:rPr>
          <w:rFonts w:ascii="Arial" w:hAnsi="Arial" w:cs="Arial"/>
          <w:sz w:val="24"/>
          <w:szCs w:val="24"/>
        </w:rPr>
      </w:pPr>
    </w:p>
    <w:p w14:paraId="04023497" w14:textId="77777777" w:rsidR="00BD524F" w:rsidRDefault="00BD524F">
      <w:pPr>
        <w:jc w:val="center"/>
        <w:rPr>
          <w:rFonts w:ascii="Arial" w:hAnsi="Arial" w:cs="Arial"/>
          <w:sz w:val="24"/>
          <w:szCs w:val="24"/>
        </w:rPr>
      </w:pPr>
    </w:p>
    <w:p w14:paraId="63A83A34" w14:textId="77777777" w:rsidR="00BD524F" w:rsidRDefault="00BD524F">
      <w:pPr>
        <w:jc w:val="center"/>
        <w:rPr>
          <w:rFonts w:ascii="Arial" w:hAnsi="Arial" w:cs="Arial"/>
          <w:sz w:val="24"/>
          <w:szCs w:val="24"/>
        </w:rPr>
      </w:pPr>
    </w:p>
    <w:p w14:paraId="47CDC351" w14:textId="77777777" w:rsidR="00BD524F" w:rsidRDefault="00BD524F">
      <w:pPr>
        <w:jc w:val="center"/>
        <w:rPr>
          <w:rFonts w:ascii="Arial" w:hAnsi="Arial" w:cs="Arial"/>
          <w:sz w:val="24"/>
          <w:szCs w:val="24"/>
        </w:rPr>
      </w:pPr>
    </w:p>
    <w:p w14:paraId="3BCADFE1" w14:textId="77777777" w:rsidR="00BD524F" w:rsidRDefault="00BD524F">
      <w:pPr>
        <w:jc w:val="center"/>
        <w:rPr>
          <w:rFonts w:ascii="Arial" w:hAnsi="Arial" w:cs="Arial"/>
          <w:sz w:val="24"/>
          <w:szCs w:val="24"/>
        </w:rPr>
      </w:pPr>
    </w:p>
    <w:p w14:paraId="70FB9254" w14:textId="77777777" w:rsidR="00BD524F" w:rsidRDefault="00BD524F">
      <w:pPr>
        <w:jc w:val="center"/>
        <w:rPr>
          <w:rFonts w:ascii="Arial" w:hAnsi="Arial" w:cs="Arial"/>
          <w:sz w:val="24"/>
          <w:szCs w:val="24"/>
        </w:rPr>
      </w:pPr>
    </w:p>
    <w:p w14:paraId="7E298750" w14:textId="77777777" w:rsidR="00BD524F" w:rsidRDefault="00BD524F">
      <w:pPr>
        <w:jc w:val="center"/>
        <w:rPr>
          <w:rFonts w:ascii="Arial" w:hAnsi="Arial" w:cs="Arial"/>
          <w:sz w:val="24"/>
          <w:szCs w:val="24"/>
        </w:rPr>
      </w:pPr>
    </w:p>
    <w:p w14:paraId="1A39105C" w14:textId="77777777" w:rsidR="00BD524F" w:rsidRDefault="00BD524F">
      <w:pPr>
        <w:jc w:val="center"/>
        <w:rPr>
          <w:rFonts w:ascii="Arial" w:hAnsi="Arial" w:cs="Arial"/>
          <w:sz w:val="24"/>
          <w:szCs w:val="24"/>
        </w:rPr>
      </w:pPr>
    </w:p>
    <w:p w14:paraId="1A355C7C" w14:textId="77777777" w:rsidR="00BD524F" w:rsidRDefault="00BD524F">
      <w:pPr>
        <w:jc w:val="center"/>
        <w:rPr>
          <w:rFonts w:ascii="Arial" w:hAnsi="Arial" w:cs="Arial"/>
          <w:sz w:val="24"/>
          <w:szCs w:val="24"/>
        </w:rPr>
      </w:pPr>
    </w:p>
    <w:p w14:paraId="0C29CA55" w14:textId="77777777" w:rsidR="00BD524F" w:rsidRDefault="00BD524F">
      <w:pPr>
        <w:jc w:val="center"/>
        <w:rPr>
          <w:rFonts w:ascii="Arial" w:hAnsi="Arial" w:cs="Arial"/>
          <w:sz w:val="24"/>
          <w:szCs w:val="24"/>
        </w:rPr>
      </w:pPr>
    </w:p>
    <w:p w14:paraId="3A43C4B8" w14:textId="77777777" w:rsidR="00BD524F" w:rsidRDefault="00BD524F">
      <w:pPr>
        <w:jc w:val="center"/>
        <w:rPr>
          <w:rFonts w:ascii="Arial" w:hAnsi="Arial" w:cs="Arial"/>
          <w:sz w:val="24"/>
          <w:szCs w:val="24"/>
        </w:rPr>
      </w:pPr>
    </w:p>
    <w:p w14:paraId="54DE9644" w14:textId="77777777" w:rsidR="00BD524F" w:rsidRDefault="00BD524F">
      <w:pPr>
        <w:jc w:val="center"/>
        <w:rPr>
          <w:rFonts w:ascii="Arial" w:hAnsi="Arial" w:cs="Arial"/>
          <w:sz w:val="24"/>
          <w:szCs w:val="24"/>
        </w:rPr>
      </w:pPr>
    </w:p>
    <w:p w14:paraId="7A379D38" w14:textId="77777777" w:rsidR="00BD524F" w:rsidRDefault="00BD524F">
      <w:pPr>
        <w:jc w:val="center"/>
        <w:rPr>
          <w:rFonts w:ascii="Arial" w:hAnsi="Arial" w:cs="Arial"/>
          <w:sz w:val="24"/>
          <w:szCs w:val="24"/>
        </w:rPr>
      </w:pPr>
    </w:p>
    <w:p w14:paraId="42976A79" w14:textId="77777777" w:rsidR="00CA4120" w:rsidRDefault="00CA4120">
      <w:pPr>
        <w:jc w:val="center"/>
        <w:rPr>
          <w:rFonts w:ascii="Arial" w:hAnsi="Arial" w:cs="Arial"/>
          <w:sz w:val="24"/>
          <w:szCs w:val="24"/>
        </w:rPr>
      </w:pPr>
    </w:p>
    <w:p w14:paraId="45DC8AFC" w14:textId="77777777" w:rsidR="00CA4120" w:rsidRDefault="00CA4120">
      <w:pPr>
        <w:jc w:val="center"/>
        <w:rPr>
          <w:rFonts w:ascii="Arial" w:hAnsi="Arial" w:cs="Arial"/>
          <w:sz w:val="24"/>
          <w:szCs w:val="24"/>
        </w:rPr>
      </w:pPr>
    </w:p>
    <w:p w14:paraId="38CCB605" w14:textId="77777777" w:rsidR="007F5BD3" w:rsidRPr="00616E8A" w:rsidRDefault="00C74D2F" w:rsidP="00DA1DC8">
      <w:pPr>
        <w:pStyle w:val="Heading1"/>
        <w:numPr>
          <w:ilvl w:val="1"/>
          <w:numId w:val="16"/>
        </w:numPr>
        <w:jc w:val="left"/>
        <w:rPr>
          <w:rFonts w:ascii="Times New Roman" w:hAnsi="Times New Roman" w:cs="Times New Roman"/>
          <w:sz w:val="28"/>
        </w:rPr>
      </w:pPr>
      <w:bookmarkStart w:id="17" w:name="_Toc214949009"/>
      <w:r w:rsidRPr="00616E8A">
        <w:rPr>
          <w:rFonts w:ascii="Times New Roman" w:hAnsi="Times New Roman" w:cs="Times New Roman"/>
          <w:sz w:val="28"/>
        </w:rPr>
        <w:lastRenderedPageBreak/>
        <w:t>Background of the Report</w:t>
      </w:r>
      <w:bookmarkEnd w:id="17"/>
    </w:p>
    <w:p w14:paraId="206FBACE" w14:textId="77777777" w:rsidR="007F5BD3" w:rsidRDefault="007F5BD3" w:rsidP="00C74D2F">
      <w:pPr>
        <w:spacing w:line="360" w:lineRule="auto"/>
        <w:jc w:val="both"/>
      </w:pPr>
    </w:p>
    <w:p w14:paraId="795E3445" w14:textId="77777777" w:rsidR="008F17C2" w:rsidRPr="008F17C2" w:rsidRDefault="008F17C2" w:rsidP="008F17C2">
      <w:pPr>
        <w:spacing w:line="360" w:lineRule="auto"/>
        <w:jc w:val="both"/>
        <w:rPr>
          <w:rFonts w:ascii="Times New Roman" w:hAnsi="Times New Roman"/>
          <w:sz w:val="24"/>
          <w:szCs w:val="24"/>
        </w:rPr>
      </w:pPr>
      <w:r w:rsidRPr="008F17C2">
        <w:rPr>
          <w:rFonts w:ascii="Times New Roman" w:hAnsi="Times New Roman"/>
          <w:sz w:val="24"/>
          <w:szCs w:val="24"/>
        </w:rPr>
        <w:t>Banking is the lifeblood of an economy, moving money from savers to</w:t>
      </w:r>
      <w:r w:rsidRPr="008F17C2">
        <w:rPr>
          <w:rFonts w:ascii="Times New Roman" w:hAnsi="Times New Roman"/>
          <w:sz w:val="24"/>
          <w:szCs w:val="24"/>
        </w:rPr>
        <w:t> </w:t>
      </w:r>
      <w:r w:rsidRPr="008F17C2">
        <w:rPr>
          <w:rFonts w:ascii="Times New Roman" w:hAnsi="Times New Roman"/>
          <w:sz w:val="24"/>
          <w:szCs w:val="24"/>
        </w:rPr>
        <w:t>borrowers and spurring growth. Banks, however,</w:t>
      </w:r>
      <w:r w:rsidRPr="008F17C2">
        <w:rPr>
          <w:rFonts w:ascii="Times New Roman" w:hAnsi="Times New Roman"/>
          <w:sz w:val="24"/>
          <w:szCs w:val="24"/>
        </w:rPr>
        <w:t> </w:t>
      </w:r>
      <w:r w:rsidRPr="008F17C2">
        <w:rPr>
          <w:rFonts w:ascii="Times New Roman" w:hAnsi="Times New Roman"/>
          <w:sz w:val="24"/>
          <w:szCs w:val="24"/>
        </w:rPr>
        <w:t>conduct their business in a natural climate of risk shaped by information asymmetry, economic instability, regulatory adaptations and technology innovations. The 2008 worldwide</w:t>
      </w:r>
      <w:r w:rsidRPr="008F17C2">
        <w:rPr>
          <w:rFonts w:ascii="Times New Roman" w:hAnsi="Times New Roman"/>
          <w:sz w:val="24"/>
          <w:szCs w:val="24"/>
        </w:rPr>
        <w:t> </w:t>
      </w:r>
      <w:r w:rsidRPr="008F17C2">
        <w:rPr>
          <w:rFonts w:ascii="Times New Roman" w:hAnsi="Times New Roman"/>
          <w:sz w:val="24"/>
          <w:szCs w:val="24"/>
        </w:rPr>
        <w:t>financial crisis showed that flawed risk management can lead to systemic failures that have catastrophic economic consequences. As a consequence, risk control has moved from being just the compliance</w:t>
      </w:r>
      <w:r w:rsidRPr="008F17C2">
        <w:rPr>
          <w:rFonts w:ascii="Times New Roman" w:hAnsi="Times New Roman"/>
          <w:sz w:val="24"/>
          <w:szCs w:val="24"/>
        </w:rPr>
        <w:t> </w:t>
      </w:r>
      <w:r w:rsidRPr="008F17C2">
        <w:rPr>
          <w:rFonts w:ascii="Times New Roman" w:hAnsi="Times New Roman"/>
          <w:sz w:val="24"/>
          <w:szCs w:val="24"/>
        </w:rPr>
        <w:t>function to an imperative need in today's interconnected world for commercial banks.</w:t>
      </w:r>
    </w:p>
    <w:p w14:paraId="2E082730" w14:textId="77777777" w:rsidR="00C74D2F" w:rsidRPr="008F17C2" w:rsidRDefault="008F17C2" w:rsidP="00C74D2F">
      <w:pPr>
        <w:spacing w:line="360" w:lineRule="auto"/>
        <w:jc w:val="both"/>
        <w:rPr>
          <w:rFonts w:ascii="Times New Roman" w:hAnsi="Times New Roman"/>
          <w:sz w:val="24"/>
          <w:szCs w:val="24"/>
        </w:rPr>
      </w:pPr>
      <w:r w:rsidRPr="008F17C2">
        <w:rPr>
          <w:rFonts w:ascii="Times New Roman" w:hAnsi="Times New Roman"/>
          <w:sz w:val="24"/>
          <w:szCs w:val="24"/>
        </w:rPr>
        <w:t>Established</w:t>
      </w:r>
      <w:r w:rsidRPr="008F17C2">
        <w:rPr>
          <w:rFonts w:ascii="Times New Roman" w:hAnsi="Times New Roman"/>
          <w:sz w:val="24"/>
          <w:szCs w:val="24"/>
        </w:rPr>
        <w:t> </w:t>
      </w:r>
      <w:r w:rsidRPr="008F17C2">
        <w:rPr>
          <w:rFonts w:ascii="Times New Roman" w:hAnsi="Times New Roman"/>
          <w:sz w:val="24"/>
          <w:szCs w:val="24"/>
        </w:rPr>
        <w:t>in 1995, Dhaka Bank PLC has grown substantially over the years and is now one of Bangladesh's largest private commercial banks with branches across the nation and a comprehensive range of retail, corporate and SME banking services. As the bank expanded its activities during almost</w:t>
      </w:r>
      <w:r w:rsidRPr="008F17C2">
        <w:rPr>
          <w:rFonts w:ascii="Times New Roman" w:hAnsi="Times New Roman"/>
          <w:sz w:val="24"/>
          <w:szCs w:val="24"/>
        </w:rPr>
        <w:t> </w:t>
      </w:r>
      <w:r w:rsidRPr="008F17C2">
        <w:rPr>
          <w:rFonts w:ascii="Times New Roman" w:hAnsi="Times New Roman"/>
          <w:sz w:val="24"/>
          <w:szCs w:val="24"/>
        </w:rPr>
        <w:t>30 years, it was faced with risk exposures that become more complicated to handle. The way in which Dhaka Bank handles these issues</w:t>
      </w:r>
      <w:r w:rsidRPr="008F17C2">
        <w:rPr>
          <w:rFonts w:ascii="Times New Roman" w:hAnsi="Times New Roman"/>
          <w:sz w:val="24"/>
          <w:szCs w:val="24"/>
        </w:rPr>
        <w:t> </w:t>
      </w:r>
      <w:r w:rsidRPr="008F17C2">
        <w:rPr>
          <w:rFonts w:ascii="Times New Roman" w:hAnsi="Times New Roman"/>
          <w:sz w:val="24"/>
          <w:szCs w:val="24"/>
        </w:rPr>
        <w:t>is of particular interest, as it highlights risk-management practices among banks operating in a developing-country environment.</w:t>
      </w:r>
    </w:p>
    <w:p w14:paraId="09D43A7A" w14:textId="77777777" w:rsidR="007F5BD3" w:rsidRPr="00616E8A" w:rsidRDefault="00C74D2F" w:rsidP="00DA1DC8">
      <w:pPr>
        <w:pStyle w:val="Heading1"/>
        <w:numPr>
          <w:ilvl w:val="1"/>
          <w:numId w:val="16"/>
        </w:numPr>
        <w:jc w:val="left"/>
        <w:rPr>
          <w:rFonts w:ascii="Times New Roman" w:hAnsi="Times New Roman" w:cs="Times New Roman"/>
          <w:sz w:val="28"/>
        </w:rPr>
      </w:pPr>
      <w:bookmarkStart w:id="18" w:name="_Toc214949010"/>
      <w:r w:rsidRPr="00616E8A">
        <w:rPr>
          <w:rFonts w:ascii="Times New Roman" w:hAnsi="Times New Roman" w:cs="Times New Roman"/>
          <w:sz w:val="28"/>
        </w:rPr>
        <w:t>Objectives of the Report</w:t>
      </w:r>
      <w:bookmarkEnd w:id="18"/>
    </w:p>
    <w:p w14:paraId="2DD40C39" w14:textId="77777777" w:rsidR="007F5BD3" w:rsidRDefault="007F5BD3" w:rsidP="00C74D2F">
      <w:pPr>
        <w:spacing w:line="360" w:lineRule="auto"/>
        <w:jc w:val="both"/>
      </w:pPr>
    </w:p>
    <w:p w14:paraId="3AE5BF7F" w14:textId="77777777" w:rsidR="00B14382" w:rsidRPr="00FC7D51" w:rsidRDefault="00B14382" w:rsidP="00B14382">
      <w:pPr>
        <w:pStyle w:val="NormalWeb"/>
        <w:spacing w:line="360" w:lineRule="auto"/>
        <w:jc w:val="both"/>
        <w:rPr>
          <w:color w:val="000000" w:themeColor="text1"/>
        </w:rPr>
      </w:pPr>
      <w:r w:rsidRPr="00FC7D51">
        <w:rPr>
          <w:color w:val="000000" w:themeColor="text1"/>
        </w:rPr>
        <w:t>The following objectives are sought</w:t>
      </w:r>
      <w:r w:rsidRPr="00FC7D51">
        <w:rPr>
          <w:color w:val="000000" w:themeColor="text1"/>
        </w:rPr>
        <w:t> </w:t>
      </w:r>
      <w:r w:rsidRPr="00FC7D51">
        <w:rPr>
          <w:color w:val="000000" w:themeColor="text1"/>
        </w:rPr>
        <w:t>from this study:</w:t>
      </w:r>
    </w:p>
    <w:p w14:paraId="1AF04E58" w14:textId="77777777" w:rsidR="00B14382" w:rsidRPr="00B14382" w:rsidRDefault="00B14382" w:rsidP="00DA1DC8">
      <w:pPr>
        <w:numPr>
          <w:ilvl w:val="0"/>
          <w:numId w:val="2"/>
        </w:numPr>
        <w:spacing w:line="360" w:lineRule="auto"/>
        <w:jc w:val="both"/>
        <w:rPr>
          <w:rFonts w:ascii="Times New Roman" w:hAnsi="Times New Roman"/>
          <w:sz w:val="24"/>
          <w:szCs w:val="24"/>
        </w:rPr>
      </w:pPr>
      <w:r w:rsidRPr="00B14382">
        <w:rPr>
          <w:rFonts w:ascii="Times New Roman" w:hAnsi="Times New Roman"/>
          <w:sz w:val="24"/>
          <w:szCs w:val="24"/>
        </w:rPr>
        <w:t>To clearly understand how Dhaka Bank PLC recognizes, measures, monitors and manages different financial &amp; non-financial risks.</w:t>
      </w:r>
    </w:p>
    <w:p w14:paraId="0FFA4C54" w14:textId="77777777" w:rsidR="00B14382" w:rsidRPr="00B14382" w:rsidRDefault="00B14382" w:rsidP="00DA1DC8">
      <w:pPr>
        <w:numPr>
          <w:ilvl w:val="0"/>
          <w:numId w:val="2"/>
        </w:numPr>
        <w:spacing w:line="360" w:lineRule="auto"/>
        <w:jc w:val="both"/>
        <w:rPr>
          <w:rFonts w:ascii="Times New Roman" w:hAnsi="Times New Roman"/>
          <w:sz w:val="24"/>
          <w:szCs w:val="24"/>
        </w:rPr>
      </w:pPr>
      <w:r w:rsidRPr="00B14382">
        <w:rPr>
          <w:rFonts w:ascii="Times New Roman" w:hAnsi="Times New Roman"/>
          <w:sz w:val="24"/>
          <w:szCs w:val="24"/>
        </w:rPr>
        <w:t>To evaluate the efficiency of risk management practices undertaken by Dhaka Bank through quantitative and qualitative examination.</w:t>
      </w:r>
    </w:p>
    <w:p w14:paraId="104EFB80" w14:textId="77777777" w:rsidR="00B14382" w:rsidRPr="00B14382" w:rsidRDefault="00B14382" w:rsidP="00DA1DC8">
      <w:pPr>
        <w:numPr>
          <w:ilvl w:val="0"/>
          <w:numId w:val="2"/>
        </w:numPr>
        <w:spacing w:line="360" w:lineRule="auto"/>
        <w:jc w:val="both"/>
        <w:rPr>
          <w:rFonts w:ascii="Times New Roman" w:hAnsi="Times New Roman"/>
          <w:sz w:val="24"/>
          <w:szCs w:val="24"/>
        </w:rPr>
      </w:pPr>
      <w:r w:rsidRPr="00B14382">
        <w:rPr>
          <w:rFonts w:ascii="Times New Roman" w:hAnsi="Times New Roman"/>
          <w:sz w:val="24"/>
          <w:szCs w:val="24"/>
        </w:rPr>
        <w:t>To access the position of the bank in relation to national and international basques instructions by Basel Accords and BB rules.</w:t>
      </w:r>
    </w:p>
    <w:p w14:paraId="41130DD4" w14:textId="77777777" w:rsidR="00B14382" w:rsidRPr="00B14382" w:rsidRDefault="00B14382" w:rsidP="00DA1DC8">
      <w:pPr>
        <w:numPr>
          <w:ilvl w:val="0"/>
          <w:numId w:val="2"/>
        </w:numPr>
        <w:spacing w:line="360" w:lineRule="auto"/>
        <w:jc w:val="both"/>
        <w:rPr>
          <w:rFonts w:ascii="Times New Roman" w:hAnsi="Times New Roman"/>
          <w:sz w:val="24"/>
          <w:szCs w:val="24"/>
        </w:rPr>
      </w:pPr>
      <w:r w:rsidRPr="00B14382">
        <w:rPr>
          <w:rFonts w:ascii="Times New Roman" w:hAnsi="Times New Roman"/>
          <w:sz w:val="24"/>
          <w:szCs w:val="24"/>
        </w:rPr>
        <w:t>To explore weaknesses and strengths of the current approaches to managing risk</w:t>
      </w:r>
      <w:r>
        <w:rPr>
          <w:rFonts w:ascii="Times New Roman" w:hAnsi="Times New Roman"/>
          <w:sz w:val="24"/>
          <w:szCs w:val="24"/>
        </w:rPr>
        <w:t>.</w:t>
      </w:r>
    </w:p>
    <w:p w14:paraId="13065DED" w14:textId="77777777" w:rsidR="00B14382" w:rsidRPr="00B14382" w:rsidRDefault="00B14382" w:rsidP="00DA1DC8">
      <w:pPr>
        <w:numPr>
          <w:ilvl w:val="0"/>
          <w:numId w:val="2"/>
        </w:numPr>
        <w:spacing w:line="360" w:lineRule="auto"/>
        <w:jc w:val="both"/>
        <w:rPr>
          <w:rFonts w:ascii="Times New Roman" w:hAnsi="Times New Roman"/>
          <w:sz w:val="24"/>
          <w:szCs w:val="24"/>
        </w:rPr>
      </w:pPr>
      <w:r w:rsidRPr="00B14382">
        <w:rPr>
          <w:rFonts w:ascii="Times New Roman" w:hAnsi="Times New Roman"/>
          <w:sz w:val="24"/>
          <w:szCs w:val="24"/>
        </w:rPr>
        <w:lastRenderedPageBreak/>
        <w:t>To identify strengths, weaknesses and shortcoming of established risk management procedures.</w:t>
      </w:r>
    </w:p>
    <w:p w14:paraId="764E13C1" w14:textId="77777777" w:rsidR="00C74D2F" w:rsidRPr="00C74D2F" w:rsidRDefault="00B14382" w:rsidP="00DA1DC8">
      <w:pPr>
        <w:numPr>
          <w:ilvl w:val="0"/>
          <w:numId w:val="2"/>
        </w:numPr>
        <w:spacing w:line="360" w:lineRule="auto"/>
        <w:jc w:val="both"/>
        <w:rPr>
          <w:rFonts w:ascii="Times New Roman" w:hAnsi="Times New Roman"/>
          <w:sz w:val="24"/>
          <w:szCs w:val="24"/>
        </w:rPr>
      </w:pPr>
      <w:r w:rsidRPr="00B14382">
        <w:rPr>
          <w:rFonts w:ascii="Times New Roman" w:hAnsi="Times New Roman"/>
          <w:sz w:val="24"/>
          <w:szCs w:val="24"/>
        </w:rPr>
        <w:t>To investigate the link between soundness of risk management and performance measures of banks</w:t>
      </w:r>
      <w:r>
        <w:rPr>
          <w:rFonts w:ascii="Times New Roman" w:hAnsi="Times New Roman"/>
          <w:sz w:val="24"/>
          <w:szCs w:val="24"/>
        </w:rPr>
        <w:t>.</w:t>
      </w:r>
    </w:p>
    <w:p w14:paraId="2C58B7F8" w14:textId="77777777" w:rsidR="00C74D2F" w:rsidRPr="00616E8A" w:rsidRDefault="00C74D2F" w:rsidP="007F5BD3">
      <w:pPr>
        <w:pStyle w:val="Heading1"/>
        <w:jc w:val="left"/>
        <w:rPr>
          <w:rFonts w:ascii="Times New Roman" w:hAnsi="Times New Roman" w:cs="Times New Roman"/>
          <w:sz w:val="28"/>
        </w:rPr>
      </w:pPr>
      <w:bookmarkStart w:id="19" w:name="_Toc214949011"/>
      <w:r w:rsidRPr="00616E8A">
        <w:rPr>
          <w:rFonts w:ascii="Times New Roman" w:hAnsi="Times New Roman" w:cs="Times New Roman"/>
          <w:sz w:val="28"/>
        </w:rPr>
        <w:t>1.3 Methodology</w:t>
      </w:r>
      <w:bookmarkEnd w:id="19"/>
    </w:p>
    <w:p w14:paraId="62966B73" w14:textId="77777777" w:rsidR="007F5BD3" w:rsidRDefault="007F5BD3" w:rsidP="00C74D2F">
      <w:pPr>
        <w:spacing w:line="360" w:lineRule="auto"/>
        <w:jc w:val="both"/>
        <w:rPr>
          <w:rFonts w:ascii="Times New Roman" w:hAnsi="Times New Roman"/>
          <w:sz w:val="24"/>
          <w:szCs w:val="24"/>
        </w:rPr>
      </w:pPr>
    </w:p>
    <w:p w14:paraId="3FA50A1F" w14:textId="77777777" w:rsidR="00410263" w:rsidRPr="00410263" w:rsidRDefault="00410263" w:rsidP="00410263">
      <w:pPr>
        <w:spacing w:line="360" w:lineRule="auto"/>
        <w:jc w:val="both"/>
        <w:rPr>
          <w:rFonts w:ascii="Times New Roman" w:hAnsi="Times New Roman"/>
          <w:sz w:val="24"/>
          <w:szCs w:val="24"/>
        </w:rPr>
      </w:pPr>
      <w:r w:rsidRPr="00410263">
        <w:rPr>
          <w:rFonts w:ascii="Times New Roman" w:hAnsi="Times New Roman"/>
          <w:sz w:val="24"/>
          <w:szCs w:val="24"/>
        </w:rPr>
        <w:t>This research features mixed methodology using qualitative and quantitative methodologies:</w:t>
      </w:r>
    </w:p>
    <w:p w14:paraId="39821DF4" w14:textId="77777777" w:rsidR="00410263" w:rsidRPr="00410263" w:rsidRDefault="00410263" w:rsidP="00410263">
      <w:pPr>
        <w:spacing w:line="360" w:lineRule="auto"/>
        <w:jc w:val="both"/>
        <w:rPr>
          <w:rFonts w:ascii="Times New Roman" w:hAnsi="Times New Roman"/>
          <w:b/>
          <w:sz w:val="24"/>
          <w:szCs w:val="24"/>
        </w:rPr>
      </w:pPr>
      <w:r w:rsidRPr="00410263">
        <w:rPr>
          <w:rFonts w:ascii="Times New Roman" w:hAnsi="Times New Roman"/>
          <w:b/>
          <w:sz w:val="24"/>
          <w:szCs w:val="24"/>
        </w:rPr>
        <w:t>Primary Data Sources:</w:t>
      </w:r>
    </w:p>
    <w:p w14:paraId="4FC3F98C"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Semi-structured interviews of Avp Operar at Dhaka Bank limited: (Credit Risk Manager, Head of Internal Audit, In-Charge Officer)</w:t>
      </w:r>
    </w:p>
    <w:p w14:paraId="2C495CE2"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The observation of risk assessment processes during your internship</w:t>
      </w:r>
    </w:p>
    <w:p w14:paraId="157D0898"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Questionnaires sent to the branch managers and credit officers</w:t>
      </w:r>
    </w:p>
    <w:p w14:paraId="78BF756C" w14:textId="77777777" w:rsidR="00410263" w:rsidRPr="00410263" w:rsidRDefault="00410263" w:rsidP="00410263">
      <w:pPr>
        <w:spacing w:line="360" w:lineRule="auto"/>
        <w:jc w:val="both"/>
        <w:rPr>
          <w:rFonts w:ascii="Times New Roman" w:hAnsi="Times New Roman"/>
          <w:b/>
          <w:sz w:val="24"/>
          <w:szCs w:val="24"/>
        </w:rPr>
      </w:pPr>
      <w:r w:rsidRPr="00410263">
        <w:rPr>
          <w:rFonts w:ascii="Times New Roman" w:hAnsi="Times New Roman"/>
          <w:b/>
          <w:sz w:val="24"/>
          <w:szCs w:val="24"/>
        </w:rPr>
        <w:t>Secondary Data Sources:</w:t>
      </w:r>
    </w:p>
    <w:p w14:paraId="6408B801"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Dhaka Bank PLC annual reports (2019-2023)</w:t>
      </w:r>
    </w:p>
    <w:p w14:paraId="3D87DD4C"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Circulars and directives by Bangladesh Bank</w:t>
      </w:r>
    </w:p>
    <w:p w14:paraId="20418BC5"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Basel Committee publications</w:t>
      </w:r>
    </w:p>
    <w:p w14:paraId="0D9BD245"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Journals and textbooks on banking risk management</w:t>
      </w:r>
    </w:p>
    <w:p w14:paraId="2DDE6268"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Trade journal and comparative banking information</w:t>
      </w:r>
    </w:p>
    <w:p w14:paraId="4771F23E" w14:textId="77777777" w:rsidR="00410263" w:rsidRPr="00410263" w:rsidRDefault="00410263" w:rsidP="00410263">
      <w:pPr>
        <w:spacing w:line="360" w:lineRule="auto"/>
        <w:jc w:val="both"/>
        <w:rPr>
          <w:rFonts w:ascii="Times New Roman" w:hAnsi="Times New Roman"/>
          <w:b/>
          <w:sz w:val="24"/>
          <w:szCs w:val="24"/>
        </w:rPr>
      </w:pPr>
      <w:r w:rsidRPr="00410263">
        <w:rPr>
          <w:rFonts w:ascii="Times New Roman" w:hAnsi="Times New Roman"/>
          <w:b/>
          <w:sz w:val="24"/>
          <w:szCs w:val="24"/>
        </w:rPr>
        <w:t>Analytical Techniques:</w:t>
      </w:r>
    </w:p>
    <w:p w14:paraId="796712C8"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Five years of KRI historic trends</w:t>
      </w:r>
    </w:p>
    <w:p w14:paraId="02486FD5"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Ratio Analysis to benchmark Dhaka Bank against defensive facilities in the industry</w:t>
      </w:r>
    </w:p>
    <w:p w14:paraId="2FF6E485"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Comparison with other than selected peer bank (</w:t>
      </w:r>
      <w:r>
        <w:rPr>
          <w:rFonts w:ascii="Times New Roman" w:hAnsi="Times New Roman"/>
          <w:sz w:val="24"/>
          <w:szCs w:val="24"/>
        </w:rPr>
        <w:t>BRAC Bank, Eastern Bank limited)</w:t>
      </w:r>
    </w:p>
    <w:p w14:paraId="2DA98741" w14:textId="77777777" w:rsidR="00410263" w:rsidRPr="00410263"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lastRenderedPageBreak/>
        <w:t>Relationship between risk factors and performance indicators</w:t>
      </w:r>
    </w:p>
    <w:p w14:paraId="5BB69749" w14:textId="77777777" w:rsidR="00C74D2F" w:rsidRPr="00C74D2F" w:rsidRDefault="00410263" w:rsidP="00DA1DC8">
      <w:pPr>
        <w:numPr>
          <w:ilvl w:val="0"/>
          <w:numId w:val="1"/>
        </w:numPr>
        <w:spacing w:line="360" w:lineRule="auto"/>
        <w:jc w:val="both"/>
        <w:rPr>
          <w:rFonts w:ascii="Times New Roman" w:hAnsi="Times New Roman"/>
          <w:sz w:val="24"/>
          <w:szCs w:val="24"/>
        </w:rPr>
      </w:pPr>
      <w:r w:rsidRPr="00410263">
        <w:rPr>
          <w:rFonts w:ascii="Times New Roman" w:hAnsi="Times New Roman"/>
          <w:sz w:val="24"/>
          <w:szCs w:val="24"/>
        </w:rPr>
        <w:t>Policy documents and interview transcripts were analyzed using qualitative content analysis</w:t>
      </w:r>
    </w:p>
    <w:p w14:paraId="06D6C116" w14:textId="77777777" w:rsidR="007F5BD3" w:rsidRPr="00616E8A" w:rsidRDefault="007F5BD3" w:rsidP="007F5BD3">
      <w:pPr>
        <w:pStyle w:val="Heading1"/>
        <w:jc w:val="left"/>
        <w:rPr>
          <w:rFonts w:ascii="Times New Roman" w:hAnsi="Times New Roman" w:cs="Times New Roman"/>
          <w:sz w:val="28"/>
        </w:rPr>
      </w:pPr>
      <w:bookmarkStart w:id="20" w:name="_Toc214949012"/>
      <w:r w:rsidRPr="00616E8A">
        <w:rPr>
          <w:rFonts w:ascii="Times New Roman" w:hAnsi="Times New Roman" w:cs="Times New Roman"/>
          <w:sz w:val="28"/>
        </w:rPr>
        <w:t xml:space="preserve">1.4 </w:t>
      </w:r>
      <w:r w:rsidR="00C74D2F" w:rsidRPr="00616E8A">
        <w:rPr>
          <w:rFonts w:ascii="Times New Roman" w:hAnsi="Times New Roman" w:cs="Times New Roman"/>
          <w:sz w:val="28"/>
        </w:rPr>
        <w:t>Rationale of the Report</w:t>
      </w:r>
      <w:bookmarkEnd w:id="20"/>
    </w:p>
    <w:p w14:paraId="77BA1C3D" w14:textId="77777777" w:rsidR="007F5BD3" w:rsidRPr="007F5BD3" w:rsidRDefault="007F5BD3" w:rsidP="007F5BD3"/>
    <w:p w14:paraId="39DA59A7" w14:textId="77777777" w:rsidR="00D002F2" w:rsidRPr="00D002F2" w:rsidRDefault="00D002F2" w:rsidP="00D002F2">
      <w:pPr>
        <w:spacing w:line="360" w:lineRule="auto"/>
        <w:jc w:val="both"/>
        <w:rPr>
          <w:rFonts w:ascii="Times New Roman" w:hAnsi="Times New Roman"/>
          <w:sz w:val="24"/>
          <w:szCs w:val="24"/>
        </w:rPr>
      </w:pPr>
      <w:r w:rsidRPr="00D002F2">
        <w:rPr>
          <w:rFonts w:ascii="Times New Roman" w:hAnsi="Times New Roman"/>
          <w:sz w:val="24"/>
          <w:szCs w:val="24"/>
        </w:rPr>
        <w:t>Risk management is indispensable in banking for several substantive reasons. Banks engage in extremely leveraged operations, using depositors’ cash to make loans and thus multiplying possible gains or losses. Second, banks face a separate liquidity problem when transforming short-term deposits into long-term loans. The interconnected nature of banks reveals how the failure of one can lead to system-wide crises. Fourth, banks are subject to very strict regulatory requirements that have been put in place to protect depositors and prevent volatility.</w:t>
      </w:r>
    </w:p>
    <w:p w14:paraId="08AE4180" w14:textId="77777777" w:rsidR="00C74D2F" w:rsidRPr="00C74D2F" w:rsidRDefault="00D002F2" w:rsidP="00D002F2">
      <w:pPr>
        <w:spacing w:line="360" w:lineRule="auto"/>
        <w:jc w:val="both"/>
        <w:rPr>
          <w:rFonts w:ascii="Times New Roman" w:hAnsi="Times New Roman"/>
          <w:sz w:val="24"/>
          <w:szCs w:val="24"/>
        </w:rPr>
      </w:pPr>
      <w:r w:rsidRPr="00D002F2">
        <w:rPr>
          <w:rFonts w:ascii="Times New Roman" w:hAnsi="Times New Roman"/>
          <w:sz w:val="24"/>
          <w:szCs w:val="24"/>
        </w:rPr>
        <w:t>Dhaka Bank requires effective risk management in order to maintain depositor’s confident, abide by regulatory minimum capital requirement and remain profitable as well as contribute toward economic development of Bangladesh through lending decisions. With the growth of Bangladesh economy and development of financial market, understanding and managing risks will become more crucial for the banks’ continuing existence.</w:t>
      </w:r>
    </w:p>
    <w:p w14:paraId="20137935" w14:textId="77777777" w:rsidR="00C74D2F" w:rsidRPr="00616E8A" w:rsidRDefault="00C74D2F" w:rsidP="007F5BD3">
      <w:pPr>
        <w:pStyle w:val="Heading1"/>
        <w:jc w:val="left"/>
        <w:rPr>
          <w:rFonts w:ascii="Times New Roman" w:hAnsi="Times New Roman" w:cs="Times New Roman"/>
          <w:sz w:val="28"/>
        </w:rPr>
      </w:pPr>
      <w:bookmarkStart w:id="21" w:name="_Toc214949013"/>
      <w:r w:rsidRPr="00616E8A">
        <w:rPr>
          <w:rFonts w:ascii="Times New Roman" w:hAnsi="Times New Roman" w:cs="Times New Roman"/>
          <w:sz w:val="28"/>
        </w:rPr>
        <w:t>1.5 Scope and Limitations of the Report</w:t>
      </w:r>
      <w:bookmarkEnd w:id="21"/>
    </w:p>
    <w:p w14:paraId="261DB874" w14:textId="77777777" w:rsidR="007F5BD3" w:rsidRPr="007F5BD3" w:rsidRDefault="007F5BD3" w:rsidP="007F5BD3"/>
    <w:p w14:paraId="5D39F795" w14:textId="77777777" w:rsidR="006A6A9E" w:rsidRPr="00FC7D51" w:rsidRDefault="006A6A9E" w:rsidP="006A6A9E">
      <w:pPr>
        <w:pStyle w:val="NormalWeb"/>
        <w:spacing w:line="360" w:lineRule="auto"/>
        <w:jc w:val="both"/>
        <w:rPr>
          <w:color w:val="000000" w:themeColor="text1"/>
        </w:rPr>
      </w:pPr>
      <w:r w:rsidRPr="006A6A9E">
        <w:rPr>
          <w:b/>
          <w:color w:val="000000" w:themeColor="text1"/>
        </w:rPr>
        <w:t>Scope:</w:t>
      </w:r>
      <w:r w:rsidRPr="00FC7D51">
        <w:rPr>
          <w:color w:val="000000" w:themeColor="text1"/>
        </w:rPr>
        <w:t xml:space="preserve"> This report analyses risk management strategies at Dhaka Bank PLC over a</w:t>
      </w:r>
      <w:r w:rsidRPr="00FC7D51">
        <w:rPr>
          <w:color w:val="000000" w:themeColor="text1"/>
        </w:rPr>
        <w:t> </w:t>
      </w:r>
      <w:r w:rsidRPr="00FC7D51">
        <w:rPr>
          <w:color w:val="000000" w:themeColor="text1"/>
        </w:rPr>
        <w:t>5 year horizon from 2019 to 2023 including an analysis of credit, market, liquidity, operational; interest rate and foreign exchange risks as well as regulatory compliance. The research is based on strategic as well</w:t>
      </w:r>
      <w:r w:rsidRPr="00FC7D51">
        <w:rPr>
          <w:color w:val="000000" w:themeColor="text1"/>
        </w:rPr>
        <w:t> </w:t>
      </w:r>
      <w:r w:rsidRPr="00FC7D51">
        <w:rPr>
          <w:color w:val="000000" w:themeColor="text1"/>
        </w:rPr>
        <w:t>as tactical aspects of risk management.</w:t>
      </w:r>
    </w:p>
    <w:p w14:paraId="13DBE6DF" w14:textId="77777777" w:rsidR="006A6A9E" w:rsidRPr="006A6A9E" w:rsidRDefault="006A6A9E" w:rsidP="006A6A9E">
      <w:pPr>
        <w:pStyle w:val="NormalWeb"/>
        <w:spacing w:line="360" w:lineRule="auto"/>
        <w:jc w:val="both"/>
        <w:rPr>
          <w:b/>
          <w:color w:val="000000" w:themeColor="text1"/>
        </w:rPr>
      </w:pPr>
      <w:r w:rsidRPr="006A6A9E">
        <w:rPr>
          <w:b/>
          <w:color w:val="000000" w:themeColor="text1"/>
        </w:rPr>
        <w:t>Limitations:</w:t>
      </w:r>
    </w:p>
    <w:p w14:paraId="7634C762" w14:textId="77777777" w:rsidR="006A6A9E" w:rsidRPr="00FC7D51" w:rsidRDefault="006A6A9E" w:rsidP="00DA1DC8">
      <w:pPr>
        <w:pStyle w:val="NormalWeb"/>
        <w:numPr>
          <w:ilvl w:val="0"/>
          <w:numId w:val="3"/>
        </w:numPr>
        <w:spacing w:line="360" w:lineRule="auto"/>
        <w:jc w:val="both"/>
        <w:rPr>
          <w:color w:val="000000" w:themeColor="text1"/>
        </w:rPr>
      </w:pPr>
      <w:r w:rsidRPr="00FC7D51">
        <w:rPr>
          <w:color w:val="000000" w:themeColor="text1"/>
        </w:rPr>
        <w:t>Access to proprietary models of risk and detailed internal data were limited by</w:t>
      </w:r>
      <w:r w:rsidRPr="00FC7D51">
        <w:rPr>
          <w:color w:val="000000" w:themeColor="text1"/>
        </w:rPr>
        <w:t> </w:t>
      </w:r>
      <w:r w:rsidRPr="00FC7D51">
        <w:rPr>
          <w:color w:val="000000" w:themeColor="text1"/>
        </w:rPr>
        <w:t>confidentiality concerns.</w:t>
      </w:r>
    </w:p>
    <w:p w14:paraId="61D1FAA7" w14:textId="77777777" w:rsidR="006A6A9E" w:rsidRPr="00FC7D51" w:rsidRDefault="006A6A9E" w:rsidP="00DA1DC8">
      <w:pPr>
        <w:pStyle w:val="NormalWeb"/>
        <w:numPr>
          <w:ilvl w:val="0"/>
          <w:numId w:val="3"/>
        </w:numPr>
        <w:spacing w:line="360" w:lineRule="auto"/>
        <w:jc w:val="both"/>
        <w:rPr>
          <w:color w:val="000000" w:themeColor="text1"/>
        </w:rPr>
      </w:pPr>
      <w:r w:rsidRPr="00FC7D51">
        <w:rPr>
          <w:color w:val="000000" w:themeColor="text1"/>
        </w:rPr>
        <w:lastRenderedPageBreak/>
        <w:t>The analysis relies in part on publicly available data, which may not fully capture the nuances of those</w:t>
      </w:r>
      <w:r w:rsidRPr="00FC7D51">
        <w:rPr>
          <w:color w:val="000000" w:themeColor="text1"/>
        </w:rPr>
        <w:t> </w:t>
      </w:r>
      <w:r w:rsidRPr="00FC7D51">
        <w:rPr>
          <w:color w:val="000000" w:themeColor="text1"/>
        </w:rPr>
        <w:t>internal workings.</w:t>
      </w:r>
    </w:p>
    <w:p w14:paraId="4F89C2D7" w14:textId="77777777" w:rsidR="006A6A9E" w:rsidRPr="00FC7D51" w:rsidRDefault="006A6A9E" w:rsidP="00DA1DC8">
      <w:pPr>
        <w:pStyle w:val="NormalWeb"/>
        <w:numPr>
          <w:ilvl w:val="0"/>
          <w:numId w:val="3"/>
        </w:numPr>
        <w:spacing w:line="360" w:lineRule="auto"/>
        <w:jc w:val="both"/>
        <w:rPr>
          <w:color w:val="000000" w:themeColor="text1"/>
        </w:rPr>
      </w:pPr>
      <w:r w:rsidRPr="00FC7D51">
        <w:rPr>
          <w:color w:val="000000" w:themeColor="text1"/>
        </w:rPr>
        <w:t>Time</w:t>
      </w:r>
      <w:r w:rsidRPr="00FC7D51">
        <w:rPr>
          <w:color w:val="000000" w:themeColor="text1"/>
        </w:rPr>
        <w:t> </w:t>
      </w:r>
      <w:r w:rsidRPr="00FC7D51">
        <w:rPr>
          <w:color w:val="000000" w:themeColor="text1"/>
        </w:rPr>
        <w:t>pressure limited the number of interviews and depth of original reporting.</w:t>
      </w:r>
    </w:p>
    <w:p w14:paraId="73049AB4" w14:textId="77777777" w:rsidR="006A6A9E" w:rsidRPr="00FC7D51" w:rsidRDefault="006A6A9E" w:rsidP="00DA1DC8">
      <w:pPr>
        <w:pStyle w:val="NormalWeb"/>
        <w:numPr>
          <w:ilvl w:val="0"/>
          <w:numId w:val="3"/>
        </w:numPr>
        <w:spacing w:line="360" w:lineRule="auto"/>
        <w:jc w:val="both"/>
        <w:rPr>
          <w:color w:val="000000" w:themeColor="text1"/>
        </w:rPr>
      </w:pPr>
      <w:r w:rsidRPr="00FC7D51">
        <w:rPr>
          <w:color w:val="000000" w:themeColor="text1"/>
        </w:rPr>
        <w:t>Fast-moving world</w:t>
      </w:r>
      <w:r w:rsidRPr="00FC7D51">
        <w:rPr>
          <w:color w:val="000000" w:themeColor="text1"/>
        </w:rPr>
        <w:t> </w:t>
      </w:r>
      <w:r w:rsidRPr="00FC7D51">
        <w:rPr>
          <w:color w:val="000000" w:themeColor="text1"/>
        </w:rPr>
        <w:t>of banking risks means some assumptions may have to be reconsidered.</w:t>
      </w:r>
    </w:p>
    <w:p w14:paraId="12AFDB1D" w14:textId="77777777" w:rsidR="00C74D2F" w:rsidRPr="006A6A9E" w:rsidRDefault="006A6A9E" w:rsidP="00DA1DC8">
      <w:pPr>
        <w:pStyle w:val="NormalWeb"/>
        <w:numPr>
          <w:ilvl w:val="0"/>
          <w:numId w:val="3"/>
        </w:numPr>
        <w:spacing w:line="360" w:lineRule="auto"/>
        <w:jc w:val="both"/>
        <w:rPr>
          <w:color w:val="000000" w:themeColor="text1"/>
        </w:rPr>
      </w:pPr>
      <w:r w:rsidRPr="00FC7D51">
        <w:rPr>
          <w:color w:val="000000" w:themeColor="text1"/>
        </w:rPr>
        <w:t>The comparison is limited to publicly available data from</w:t>
      </w:r>
      <w:r w:rsidRPr="00FC7D51">
        <w:rPr>
          <w:color w:val="000000" w:themeColor="text1"/>
        </w:rPr>
        <w:t> </w:t>
      </w:r>
      <w:r w:rsidRPr="00FC7D51">
        <w:rPr>
          <w:color w:val="000000" w:themeColor="text1"/>
        </w:rPr>
        <w:t>sister institutions.</w:t>
      </w:r>
    </w:p>
    <w:p w14:paraId="7F75946A" w14:textId="77777777" w:rsidR="00616E8A" w:rsidRDefault="00616E8A" w:rsidP="007F5BD3">
      <w:pPr>
        <w:pStyle w:val="Heading1"/>
        <w:jc w:val="left"/>
        <w:rPr>
          <w:rFonts w:ascii="Times New Roman" w:eastAsia="Calibri" w:hAnsi="Times New Roman" w:cs="Times New Roman"/>
          <w:color w:val="auto"/>
          <w:sz w:val="24"/>
          <w:szCs w:val="24"/>
        </w:rPr>
      </w:pPr>
    </w:p>
    <w:p w14:paraId="5CCB9F24" w14:textId="77777777" w:rsidR="00C74D2F" w:rsidRPr="00616E8A" w:rsidRDefault="00C74D2F" w:rsidP="007F5BD3">
      <w:pPr>
        <w:pStyle w:val="Heading1"/>
        <w:jc w:val="left"/>
        <w:rPr>
          <w:rFonts w:ascii="Times New Roman" w:hAnsi="Times New Roman" w:cs="Times New Roman"/>
          <w:sz w:val="28"/>
        </w:rPr>
      </w:pPr>
      <w:bookmarkStart w:id="22" w:name="_Toc214949014"/>
      <w:r w:rsidRPr="00616E8A">
        <w:rPr>
          <w:rFonts w:ascii="Times New Roman" w:hAnsi="Times New Roman" w:cs="Times New Roman"/>
          <w:sz w:val="28"/>
        </w:rPr>
        <w:t>1.6 Definition of Key Terms</w:t>
      </w:r>
      <w:bookmarkEnd w:id="22"/>
    </w:p>
    <w:p w14:paraId="0AA51301" w14:textId="77777777" w:rsidR="007F5BD3" w:rsidRPr="007F5BD3" w:rsidRDefault="007F5BD3" w:rsidP="007F5BD3"/>
    <w:p w14:paraId="79D6C88E" w14:textId="77777777" w:rsidR="00E07D66" w:rsidRPr="00FC7D51" w:rsidRDefault="00E07D66" w:rsidP="00E07D66">
      <w:pPr>
        <w:pStyle w:val="NormalWeb"/>
        <w:spacing w:line="360" w:lineRule="auto"/>
        <w:jc w:val="both"/>
        <w:rPr>
          <w:color w:val="000000" w:themeColor="text1"/>
        </w:rPr>
      </w:pPr>
      <w:r w:rsidRPr="00FC7D51">
        <w:rPr>
          <w:color w:val="000000" w:themeColor="text1"/>
        </w:rPr>
        <w:t>To ensure clarity and shared understanding within this study, the following</w:t>
      </w:r>
      <w:r w:rsidRPr="00FC7D51">
        <w:rPr>
          <w:color w:val="000000" w:themeColor="text1"/>
        </w:rPr>
        <w:t> </w:t>
      </w:r>
      <w:r w:rsidRPr="00FC7D51">
        <w:rPr>
          <w:color w:val="000000" w:themeColor="text1"/>
        </w:rPr>
        <w:t>basic terms are clarified:</w:t>
      </w:r>
    </w:p>
    <w:p w14:paraId="3FD8DC75"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Risk Management:</w:t>
      </w:r>
      <w:r w:rsidRPr="00FC7D51">
        <w:rPr>
          <w:color w:val="000000" w:themeColor="text1"/>
        </w:rPr>
        <w:t xml:space="preserve"> The systematic identification and assessment of risk, the shaping</w:t>
      </w:r>
      <w:r w:rsidRPr="00FC7D51">
        <w:rPr>
          <w:color w:val="000000" w:themeColor="text1"/>
        </w:rPr>
        <w:t> </w:t>
      </w:r>
      <w:r w:rsidRPr="00FC7D51">
        <w:rPr>
          <w:color w:val="000000" w:themeColor="text1"/>
        </w:rPr>
        <w:t>of an appropriate response to that risk and the implementation of a management strategy to minimize exposure.</w:t>
      </w:r>
    </w:p>
    <w:p w14:paraId="7D8E4B7E"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Credit Risk:</w:t>
      </w:r>
      <w:r w:rsidRPr="00FC7D51">
        <w:rPr>
          <w:color w:val="000000" w:themeColor="text1"/>
        </w:rPr>
        <w:t xml:space="preserve"> The risk that financial loss will be incurred due</w:t>
      </w:r>
      <w:r w:rsidRPr="00FC7D51">
        <w:rPr>
          <w:color w:val="000000" w:themeColor="text1"/>
        </w:rPr>
        <w:t> </w:t>
      </w:r>
      <w:r w:rsidRPr="00FC7D51">
        <w:rPr>
          <w:color w:val="000000" w:themeColor="text1"/>
        </w:rPr>
        <w:t>to a borrower's failure to meet his or contracts obligations, namely return borrowed funds as agreed according to the terms and conditions on which the funds were lent.</w:t>
      </w:r>
    </w:p>
    <w:p w14:paraId="56F31C8E"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Non-Performing Loan (NPL):</w:t>
      </w:r>
      <w:r w:rsidRPr="00FC7D51">
        <w:rPr>
          <w:color w:val="000000" w:themeColor="text1"/>
        </w:rPr>
        <w:t xml:space="preserve"> A loan in</w:t>
      </w:r>
      <w:r w:rsidRPr="00FC7D51">
        <w:rPr>
          <w:color w:val="000000" w:themeColor="text1"/>
        </w:rPr>
        <w:t> </w:t>
      </w:r>
      <w:r w:rsidRPr="00FC7D51">
        <w:rPr>
          <w:color w:val="000000" w:themeColor="text1"/>
        </w:rPr>
        <w:t>which the borrower is over 90 days behind on contract payments, indicating potential default.</w:t>
      </w:r>
    </w:p>
    <w:p w14:paraId="479B501F"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Liquidity Risk:</w:t>
      </w:r>
      <w:r w:rsidRPr="00FC7D51">
        <w:rPr>
          <w:color w:val="000000" w:themeColor="text1"/>
        </w:rPr>
        <w:t xml:space="preserve"> The risk of a bank unable to settle its obligations as they fall due, either not settling</w:t>
      </w:r>
      <w:r w:rsidRPr="00FC7D51">
        <w:rPr>
          <w:color w:val="000000" w:themeColor="text1"/>
        </w:rPr>
        <w:t> </w:t>
      </w:r>
      <w:r w:rsidRPr="00FC7D51">
        <w:rPr>
          <w:color w:val="000000" w:themeColor="text1"/>
        </w:rPr>
        <w:t>its payments obligations is itself or by having to do so at relatively unfavourable prices.</w:t>
      </w:r>
    </w:p>
    <w:p w14:paraId="2C5D9B9E"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Market Risk:</w:t>
      </w:r>
      <w:r w:rsidRPr="00FC7D51">
        <w:rPr>
          <w:color w:val="000000" w:themeColor="text1"/>
        </w:rPr>
        <w:t xml:space="preserve"> The risk of loss in the on- and off-balance sheet positions arising from movements in market prices, which include interest rates, foreign exchanges rates and</w:t>
      </w:r>
      <w:r w:rsidRPr="00FC7D51">
        <w:rPr>
          <w:color w:val="000000" w:themeColor="text1"/>
        </w:rPr>
        <w:t> </w:t>
      </w:r>
      <w:r w:rsidRPr="00FC7D51">
        <w:rPr>
          <w:color w:val="000000" w:themeColor="text1"/>
        </w:rPr>
        <w:t>equity and commodity prices.</w:t>
      </w:r>
    </w:p>
    <w:p w14:paraId="1E27B486" w14:textId="77777777" w:rsidR="00E07D66" w:rsidRPr="00FC7D51" w:rsidRDefault="00E07D66" w:rsidP="00E07D66">
      <w:pPr>
        <w:pStyle w:val="NormalWeb"/>
        <w:spacing w:line="360" w:lineRule="auto"/>
        <w:jc w:val="both"/>
        <w:rPr>
          <w:color w:val="000000" w:themeColor="text1"/>
        </w:rPr>
      </w:pPr>
      <w:r w:rsidRPr="00E07D66">
        <w:rPr>
          <w:b/>
          <w:color w:val="000000" w:themeColor="text1"/>
        </w:rPr>
        <w:lastRenderedPageBreak/>
        <w:t>Operational Risk:</w:t>
      </w:r>
      <w:r w:rsidRPr="00FC7D51">
        <w:rPr>
          <w:color w:val="000000" w:themeColor="text1"/>
        </w:rPr>
        <w:t xml:space="preserve"> The risk of</w:t>
      </w:r>
      <w:r w:rsidRPr="00FC7D51">
        <w:rPr>
          <w:color w:val="000000" w:themeColor="text1"/>
        </w:rPr>
        <w:t> </w:t>
      </w:r>
      <w:r w:rsidRPr="00FC7D51">
        <w:rPr>
          <w:color w:val="000000" w:themeColor="text1"/>
        </w:rPr>
        <w:t>loss resulting from inadequate or failed internal processes, people and systems, or from external events (e.g., court judgments), including the legal risk but excluding strategic and reputational risk.</w:t>
      </w:r>
    </w:p>
    <w:p w14:paraId="74452E07"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CAR (Capital Adequacy Ratio):</w:t>
      </w:r>
      <w:r w:rsidRPr="00FC7D51">
        <w:rPr>
          <w:color w:val="000000" w:themeColor="text1"/>
        </w:rPr>
        <w:t xml:space="preserve"> The ratio of a bank's available capital (i.e., equity plus liabilities) to its risk weighted credit exposures, or the bank’s</w:t>
      </w:r>
      <w:r w:rsidRPr="00FC7D51">
        <w:rPr>
          <w:color w:val="000000" w:themeColor="text1"/>
        </w:rPr>
        <w:t> </w:t>
      </w:r>
      <w:r w:rsidRPr="00FC7D51">
        <w:rPr>
          <w:color w:val="000000" w:themeColor="text1"/>
        </w:rPr>
        <w:t>capability to absorb potential losses.</w:t>
      </w:r>
    </w:p>
    <w:p w14:paraId="1D03A8F9" w14:textId="77777777" w:rsidR="00E07D66" w:rsidRPr="00FC7D51" w:rsidRDefault="00E07D66" w:rsidP="00E07D66">
      <w:pPr>
        <w:pStyle w:val="NormalWeb"/>
        <w:spacing w:line="360" w:lineRule="auto"/>
        <w:jc w:val="both"/>
        <w:rPr>
          <w:color w:val="000000" w:themeColor="text1"/>
        </w:rPr>
      </w:pPr>
      <w:r w:rsidRPr="00E07D66">
        <w:rPr>
          <w:b/>
          <w:color w:val="000000" w:themeColor="text1"/>
        </w:rPr>
        <w:t>Risk Assessment:</w:t>
      </w:r>
      <w:r w:rsidRPr="00FC7D51">
        <w:rPr>
          <w:color w:val="000000" w:themeColor="text1"/>
        </w:rPr>
        <w:t xml:space="preserve"> The systematic examination of the likelihood and consequences of identified risks, including the comparison with predetermined</w:t>
      </w:r>
      <w:r w:rsidRPr="00FC7D51">
        <w:rPr>
          <w:color w:val="000000" w:themeColor="text1"/>
        </w:rPr>
        <w:t> </w:t>
      </w:r>
      <w:r w:rsidRPr="00FC7D51">
        <w:rPr>
          <w:color w:val="000000" w:themeColor="text1"/>
        </w:rPr>
        <w:t>risk criteria so as to determine how significant they are; and the determination of whether or not the risk is acceptable.</w:t>
      </w:r>
    </w:p>
    <w:p w14:paraId="3076179F" w14:textId="77777777" w:rsidR="007F5BD3" w:rsidRPr="007F5BD3" w:rsidRDefault="007F5BD3" w:rsidP="007F5BD3"/>
    <w:p w14:paraId="3D750D52" w14:textId="77777777" w:rsidR="007F5BD3" w:rsidRDefault="007F5BD3" w:rsidP="007F5BD3">
      <w:pPr>
        <w:rPr>
          <w:rFonts w:asciiTheme="majorHAnsi" w:eastAsiaTheme="majorEastAsia" w:hAnsiTheme="majorHAnsi" w:cstheme="majorBidi"/>
          <w:color w:val="000000" w:themeColor="text1"/>
          <w:spacing w:val="5"/>
          <w:kern w:val="28"/>
          <w:sz w:val="52"/>
          <w:szCs w:val="52"/>
        </w:rPr>
      </w:pPr>
    </w:p>
    <w:p w14:paraId="4E8CE578" w14:textId="77777777" w:rsidR="007F5BD3" w:rsidRPr="007F5BD3" w:rsidRDefault="007F5BD3" w:rsidP="007F5BD3"/>
    <w:p w14:paraId="0E4C0EE7" w14:textId="77777777" w:rsidR="007F5BD3" w:rsidRPr="007F5BD3" w:rsidRDefault="007F5BD3" w:rsidP="007F5BD3"/>
    <w:p w14:paraId="16E47363" w14:textId="77777777" w:rsidR="007F5BD3" w:rsidRDefault="007F5BD3" w:rsidP="007F5BD3"/>
    <w:p w14:paraId="552B4AAC" w14:textId="77777777" w:rsidR="007F5BD3" w:rsidRDefault="007F5BD3" w:rsidP="007F5BD3"/>
    <w:p w14:paraId="78DC7AAD" w14:textId="77777777" w:rsidR="007F5BD3" w:rsidRDefault="007F5BD3" w:rsidP="007F5BD3"/>
    <w:p w14:paraId="3D5B4904" w14:textId="77777777" w:rsidR="007F5BD3" w:rsidRDefault="007F5BD3" w:rsidP="007F5BD3"/>
    <w:p w14:paraId="720CF631" w14:textId="77777777" w:rsidR="007F5BD3" w:rsidRDefault="007F5BD3" w:rsidP="007F5BD3"/>
    <w:p w14:paraId="764DAA89" w14:textId="77777777" w:rsidR="007F5BD3" w:rsidRDefault="007F5BD3" w:rsidP="007F5BD3"/>
    <w:p w14:paraId="1C9449F9" w14:textId="77777777" w:rsidR="007F5BD3" w:rsidRDefault="007F5BD3" w:rsidP="007F5BD3"/>
    <w:p w14:paraId="7FE6A733" w14:textId="77777777" w:rsidR="007F5BD3" w:rsidRDefault="007F5BD3" w:rsidP="007F5BD3"/>
    <w:p w14:paraId="4EA9563F" w14:textId="77777777" w:rsidR="007F5BD3" w:rsidRDefault="007F5BD3" w:rsidP="007F5BD3"/>
    <w:p w14:paraId="515E9F81" w14:textId="77777777" w:rsidR="007F5BD3" w:rsidRDefault="007F5BD3" w:rsidP="007F5BD3"/>
    <w:p w14:paraId="3619F1EE" w14:textId="77777777" w:rsidR="007F5BD3" w:rsidRDefault="007F5BD3" w:rsidP="007F5BD3"/>
    <w:p w14:paraId="1C62F7AD" w14:textId="77777777" w:rsidR="007F5BD3" w:rsidRDefault="007F5BD3" w:rsidP="007F5BD3"/>
    <w:p w14:paraId="1BC474E0" w14:textId="77777777" w:rsidR="007F5BD3" w:rsidRDefault="007F5BD3" w:rsidP="007F5BD3"/>
    <w:p w14:paraId="5AC484B9" w14:textId="77777777" w:rsidR="007F5BD3" w:rsidRDefault="007F5BD3" w:rsidP="007F5BD3"/>
    <w:p w14:paraId="402494C2" w14:textId="77777777" w:rsidR="007F5BD3" w:rsidRPr="007F5BD3" w:rsidRDefault="007F5BD3" w:rsidP="007F5BD3"/>
    <w:p w14:paraId="566BB15D" w14:textId="77777777" w:rsidR="00682D0F" w:rsidRDefault="00682D0F" w:rsidP="00957D20">
      <w:pPr>
        <w:pStyle w:val="Title"/>
        <w:rPr>
          <w:color w:val="000000" w:themeColor="text1"/>
        </w:rPr>
      </w:pPr>
    </w:p>
    <w:p w14:paraId="7C802349" w14:textId="77777777" w:rsidR="00682D0F" w:rsidRDefault="00682D0F" w:rsidP="00957D20">
      <w:pPr>
        <w:pStyle w:val="Title"/>
        <w:rPr>
          <w:color w:val="000000" w:themeColor="text1"/>
        </w:rPr>
      </w:pPr>
    </w:p>
    <w:p w14:paraId="5AD693F1" w14:textId="77777777" w:rsidR="00957D20" w:rsidRPr="00957D20" w:rsidRDefault="00E6771E" w:rsidP="00957D20">
      <w:pPr>
        <w:pStyle w:val="Title"/>
        <w:rPr>
          <w:color w:val="000000" w:themeColor="text1"/>
        </w:rPr>
      </w:pPr>
      <w:r w:rsidRPr="00957D20">
        <w:rPr>
          <w:color w:val="000000" w:themeColor="text1"/>
        </w:rPr>
        <w:t xml:space="preserve">CHAPTER: 2 </w:t>
      </w:r>
    </w:p>
    <w:p w14:paraId="74F65818" w14:textId="77777777" w:rsidR="00E6771E" w:rsidRPr="00957D20" w:rsidRDefault="00E6771E" w:rsidP="00957D20">
      <w:pPr>
        <w:pStyle w:val="Title"/>
        <w:rPr>
          <w:color w:val="0070C0"/>
        </w:rPr>
      </w:pPr>
      <w:r w:rsidRPr="00957D20">
        <w:rPr>
          <w:color w:val="0070C0"/>
        </w:rPr>
        <w:t>COMPANY AND INDUSTRY PROFILE</w:t>
      </w:r>
    </w:p>
    <w:p w14:paraId="299E7EDD" w14:textId="77777777" w:rsidR="00BD524F" w:rsidRDefault="00BD524F">
      <w:pPr>
        <w:jc w:val="center"/>
        <w:rPr>
          <w:rFonts w:ascii="Arial" w:hAnsi="Arial" w:cs="Arial"/>
          <w:sz w:val="24"/>
          <w:szCs w:val="24"/>
        </w:rPr>
      </w:pPr>
    </w:p>
    <w:p w14:paraId="4075BEB9" w14:textId="77777777" w:rsidR="00BD524F" w:rsidRDefault="00BD524F">
      <w:pPr>
        <w:jc w:val="center"/>
        <w:rPr>
          <w:rFonts w:ascii="Arial" w:hAnsi="Arial" w:cs="Arial"/>
          <w:sz w:val="24"/>
          <w:szCs w:val="24"/>
        </w:rPr>
      </w:pPr>
    </w:p>
    <w:p w14:paraId="0022A244" w14:textId="77777777" w:rsidR="009648A0" w:rsidRDefault="009648A0" w:rsidP="00530F11"/>
    <w:p w14:paraId="4BB7C320" w14:textId="77777777" w:rsidR="00530F11" w:rsidRDefault="00530F11" w:rsidP="00530F11"/>
    <w:p w14:paraId="63C573D9" w14:textId="77777777" w:rsidR="00530F11" w:rsidRDefault="00530F11" w:rsidP="00530F11"/>
    <w:p w14:paraId="28FA302A" w14:textId="77777777" w:rsidR="00530F11" w:rsidRDefault="00530F11" w:rsidP="00530F11"/>
    <w:p w14:paraId="2116770E" w14:textId="77777777" w:rsidR="00530F11" w:rsidRDefault="00530F11" w:rsidP="00530F11"/>
    <w:p w14:paraId="75E2059C" w14:textId="77777777" w:rsidR="00530F11" w:rsidRDefault="00530F11" w:rsidP="00530F11"/>
    <w:p w14:paraId="7AFE3458" w14:textId="77777777" w:rsidR="00530F11" w:rsidRDefault="00530F11" w:rsidP="00530F11"/>
    <w:p w14:paraId="052B0BC8" w14:textId="77777777" w:rsidR="00530F11" w:rsidRDefault="00530F11" w:rsidP="00530F11"/>
    <w:p w14:paraId="5F6FBC37" w14:textId="77777777" w:rsidR="00530F11" w:rsidRDefault="00530F11" w:rsidP="00530F11"/>
    <w:p w14:paraId="5C946B89" w14:textId="77777777" w:rsidR="00530F11" w:rsidRDefault="00530F11" w:rsidP="00530F11"/>
    <w:p w14:paraId="44EE53A4" w14:textId="77777777" w:rsidR="00530F11" w:rsidRDefault="00530F11" w:rsidP="00530F11"/>
    <w:p w14:paraId="060B9180" w14:textId="77777777" w:rsidR="00530F11" w:rsidRDefault="00530F11" w:rsidP="00530F11"/>
    <w:p w14:paraId="04D98397" w14:textId="77777777" w:rsidR="00530F11" w:rsidRDefault="00530F11" w:rsidP="00530F11"/>
    <w:p w14:paraId="2799F227" w14:textId="77777777" w:rsidR="00682D0F" w:rsidRDefault="00682D0F" w:rsidP="00530F11">
      <w:pPr>
        <w:spacing w:after="0" w:line="360" w:lineRule="auto"/>
        <w:jc w:val="both"/>
        <w:rPr>
          <w:rFonts w:ascii="Times New Roman" w:eastAsia="Times New Roman" w:hAnsi="Times New Roman"/>
          <w:b/>
          <w:sz w:val="26"/>
          <w:szCs w:val="26"/>
        </w:rPr>
      </w:pPr>
    </w:p>
    <w:p w14:paraId="57EB81C8" w14:textId="77777777" w:rsidR="00682D0F" w:rsidRDefault="00682D0F" w:rsidP="00530F11">
      <w:pPr>
        <w:spacing w:after="0" w:line="360" w:lineRule="auto"/>
        <w:jc w:val="both"/>
        <w:rPr>
          <w:rFonts w:ascii="Times New Roman" w:eastAsia="Times New Roman" w:hAnsi="Times New Roman"/>
          <w:b/>
          <w:sz w:val="26"/>
          <w:szCs w:val="26"/>
        </w:rPr>
      </w:pPr>
    </w:p>
    <w:p w14:paraId="00DEB7AB" w14:textId="77777777" w:rsidR="00530F11" w:rsidRPr="000661A4" w:rsidRDefault="00530F11" w:rsidP="00A42593">
      <w:pPr>
        <w:pStyle w:val="Heading1"/>
        <w:jc w:val="left"/>
        <w:rPr>
          <w:rFonts w:ascii="Times New Roman" w:hAnsi="Times New Roman" w:cs="Times New Roman"/>
          <w:sz w:val="28"/>
        </w:rPr>
      </w:pPr>
      <w:bookmarkStart w:id="23" w:name="_Toc214949015"/>
      <w:r w:rsidRPr="000661A4">
        <w:rPr>
          <w:rFonts w:ascii="Times New Roman" w:hAnsi="Times New Roman" w:cs="Times New Roman"/>
          <w:sz w:val="28"/>
        </w:rPr>
        <w:lastRenderedPageBreak/>
        <w:t>2.1 Company Analysis</w:t>
      </w:r>
      <w:bookmarkEnd w:id="23"/>
    </w:p>
    <w:p w14:paraId="7B38BEB5" w14:textId="77777777" w:rsidR="00530F11" w:rsidRPr="00530F11" w:rsidRDefault="00530F11" w:rsidP="00530F11">
      <w:pPr>
        <w:spacing w:after="0" w:line="360" w:lineRule="auto"/>
        <w:jc w:val="both"/>
        <w:rPr>
          <w:rFonts w:ascii="Times New Roman" w:eastAsia="Times New Roman" w:hAnsi="Times New Roman"/>
          <w:sz w:val="24"/>
          <w:szCs w:val="24"/>
        </w:rPr>
      </w:pPr>
    </w:p>
    <w:p w14:paraId="4AF930AC" w14:textId="77777777" w:rsidR="00530F11" w:rsidRPr="000661A4" w:rsidRDefault="00530F11" w:rsidP="00A42593">
      <w:pPr>
        <w:pStyle w:val="Heading2"/>
        <w:rPr>
          <w:rFonts w:ascii="Times New Roman" w:hAnsi="Times New Roman" w:cs="Times New Roman"/>
          <w:b/>
          <w:sz w:val="24"/>
          <w:szCs w:val="24"/>
        </w:rPr>
      </w:pPr>
      <w:bookmarkStart w:id="24" w:name="_Toc214949016"/>
      <w:r w:rsidRPr="000661A4">
        <w:rPr>
          <w:rFonts w:ascii="Times New Roman" w:hAnsi="Times New Roman" w:cs="Times New Roman"/>
          <w:b/>
          <w:sz w:val="24"/>
          <w:szCs w:val="24"/>
        </w:rPr>
        <w:t>2.1.1 Overview and History</w:t>
      </w:r>
      <w:bookmarkEnd w:id="24"/>
    </w:p>
    <w:p w14:paraId="54CD12B8" w14:textId="77777777" w:rsidR="00530F11" w:rsidRPr="00530F11" w:rsidRDefault="00530F11" w:rsidP="00530F11">
      <w:pPr>
        <w:spacing w:after="0" w:line="360" w:lineRule="auto"/>
        <w:jc w:val="both"/>
        <w:rPr>
          <w:rFonts w:ascii="Times New Roman" w:eastAsia="Times New Roman" w:hAnsi="Times New Roman"/>
          <w:sz w:val="24"/>
          <w:szCs w:val="24"/>
        </w:rPr>
      </w:pPr>
    </w:p>
    <w:p w14:paraId="5A540DAF" w14:textId="77777777" w:rsidR="000661A4" w:rsidRDefault="000661A4" w:rsidP="000661A4">
      <w:pPr>
        <w:spacing w:after="0" w:line="360" w:lineRule="auto"/>
        <w:jc w:val="both"/>
        <w:rPr>
          <w:rFonts w:ascii="Times New Roman" w:eastAsia="Times New Roman" w:hAnsi="Times New Roman"/>
          <w:sz w:val="24"/>
          <w:szCs w:val="24"/>
        </w:rPr>
      </w:pPr>
      <w:r w:rsidRPr="000661A4">
        <w:rPr>
          <w:rFonts w:ascii="Times New Roman" w:eastAsia="Times New Roman" w:hAnsi="Times New Roman"/>
          <w:sz w:val="24"/>
          <w:szCs w:val="24"/>
        </w:rPr>
        <w:t>Dhaka Bank PLC is a leading second generation private commercial bank which commenced operations on July 5, 1995</w:t>
      </w:r>
      <w:r w:rsidRPr="000661A4">
        <w:rPr>
          <w:rFonts w:ascii="Times New Roman" w:eastAsia="Times New Roman" w:hAnsi="Times New Roman"/>
          <w:sz w:val="24"/>
          <w:szCs w:val="24"/>
        </w:rPr>
        <w:t> </w:t>
      </w:r>
      <w:r w:rsidRPr="000661A4">
        <w:rPr>
          <w:rFonts w:ascii="Times New Roman" w:eastAsia="Times New Roman" w:hAnsi="Times New Roman"/>
          <w:sz w:val="24"/>
          <w:szCs w:val="24"/>
        </w:rPr>
        <w:t>and was incorporated in Bangladesh on April 6, 1995. A group of creative entrepreneurs, led by Mirza Abbas, established</w:t>
      </w:r>
      <w:r w:rsidRPr="000661A4">
        <w:rPr>
          <w:rFonts w:ascii="Times New Roman" w:eastAsia="Times New Roman" w:hAnsi="Times New Roman"/>
          <w:sz w:val="24"/>
          <w:szCs w:val="24"/>
        </w:rPr>
        <w:t> </w:t>
      </w:r>
      <w:r w:rsidRPr="000661A4">
        <w:rPr>
          <w:rFonts w:ascii="Times New Roman" w:eastAsia="Times New Roman" w:hAnsi="Times New Roman"/>
          <w:sz w:val="24"/>
          <w:szCs w:val="24"/>
        </w:rPr>
        <w:t>with the goal of combining modern banking technology with deep local culture to create and sustain financial inclusion in Bangladesh. The bank went public on 1999 and listed shares in</w:t>
      </w:r>
      <w:r w:rsidRPr="000661A4">
        <w:rPr>
          <w:rFonts w:ascii="Times New Roman" w:eastAsia="Times New Roman" w:hAnsi="Times New Roman"/>
          <w:sz w:val="24"/>
          <w:szCs w:val="24"/>
        </w:rPr>
        <w:t> </w:t>
      </w:r>
      <w:r w:rsidRPr="000661A4">
        <w:rPr>
          <w:rFonts w:ascii="Times New Roman" w:eastAsia="Times New Roman" w:hAnsi="Times New Roman"/>
          <w:sz w:val="24"/>
          <w:szCs w:val="24"/>
        </w:rPr>
        <w:t>the Dhaka Stock Exchange and Chittagong Stock Exchange in 2000.</w:t>
      </w:r>
    </w:p>
    <w:p w14:paraId="659DE18B" w14:textId="77777777" w:rsidR="000661A4" w:rsidRPr="000661A4" w:rsidRDefault="000661A4" w:rsidP="000661A4">
      <w:pPr>
        <w:spacing w:after="0" w:line="360" w:lineRule="auto"/>
        <w:jc w:val="both"/>
        <w:rPr>
          <w:rFonts w:ascii="Times New Roman" w:eastAsia="Times New Roman" w:hAnsi="Times New Roman"/>
          <w:sz w:val="24"/>
          <w:szCs w:val="24"/>
        </w:rPr>
      </w:pPr>
    </w:p>
    <w:p w14:paraId="74E26BB5" w14:textId="77777777" w:rsidR="00530F11" w:rsidRPr="00530F11" w:rsidRDefault="000661A4" w:rsidP="000661A4">
      <w:pPr>
        <w:spacing w:after="0" w:line="360" w:lineRule="auto"/>
        <w:jc w:val="both"/>
        <w:rPr>
          <w:rFonts w:ascii="Times New Roman" w:eastAsia="Times New Roman" w:hAnsi="Times New Roman"/>
          <w:sz w:val="24"/>
          <w:szCs w:val="24"/>
        </w:rPr>
      </w:pPr>
      <w:r w:rsidRPr="000661A4">
        <w:rPr>
          <w:rFonts w:ascii="Times New Roman" w:eastAsia="Times New Roman" w:hAnsi="Times New Roman"/>
          <w:sz w:val="24"/>
          <w:szCs w:val="24"/>
        </w:rPr>
        <w:t>Dhaka Bank Over the last 30 years, Dhaka Bank is growing</w:t>
      </w:r>
      <w:r w:rsidRPr="000661A4">
        <w:rPr>
          <w:rFonts w:ascii="Times New Roman" w:eastAsia="Times New Roman" w:hAnsi="Times New Roman"/>
          <w:sz w:val="24"/>
          <w:szCs w:val="24"/>
        </w:rPr>
        <w:t> </w:t>
      </w:r>
      <w:r w:rsidRPr="000661A4">
        <w:rPr>
          <w:rFonts w:ascii="Times New Roman" w:eastAsia="Times New Roman" w:hAnsi="Times New Roman"/>
          <w:sz w:val="24"/>
          <w:szCs w:val="24"/>
        </w:rPr>
        <w:t>rapidly with focus on providing high quality services to its corporate and institutional customers with state of the art technology. As of December 2023, the bank operates 114 branc</w:t>
      </w:r>
      <w:r>
        <w:rPr>
          <w:rFonts w:ascii="Times New Roman" w:eastAsia="Times New Roman" w:hAnsi="Times New Roman"/>
          <w:sz w:val="24"/>
          <w:szCs w:val="24"/>
        </w:rPr>
        <w:t xml:space="preserve">hes, including in it there are </w:t>
      </w:r>
      <w:r w:rsidRPr="000661A4">
        <w:rPr>
          <w:rFonts w:ascii="Times New Roman" w:eastAsia="Times New Roman" w:hAnsi="Times New Roman"/>
          <w:sz w:val="24"/>
          <w:szCs w:val="24"/>
        </w:rPr>
        <w:t>2</w:t>
      </w:r>
      <w:r w:rsidRPr="000661A4">
        <w:rPr>
          <w:rFonts w:ascii="Times New Roman" w:eastAsia="Times New Roman" w:hAnsi="Times New Roman"/>
          <w:sz w:val="24"/>
          <w:szCs w:val="24"/>
        </w:rPr>
        <w:t> </w:t>
      </w:r>
      <w:r w:rsidRPr="000661A4">
        <w:rPr>
          <w:rFonts w:ascii="Times New Roman" w:eastAsia="Times New Roman" w:hAnsi="Times New Roman"/>
          <w:sz w:val="24"/>
          <w:szCs w:val="24"/>
        </w:rPr>
        <w:t>Islamic Banking branch and offers services such as SME banking, ATMs service, offshore banking. It has two subsidiaries:</w:t>
      </w:r>
      <w:r w:rsidRPr="000661A4">
        <w:rPr>
          <w:rFonts w:ascii="Times New Roman" w:eastAsia="Times New Roman" w:hAnsi="Times New Roman"/>
          <w:sz w:val="24"/>
          <w:szCs w:val="24"/>
        </w:rPr>
        <w:t> </w:t>
      </w:r>
      <w:r w:rsidRPr="000661A4">
        <w:rPr>
          <w:rFonts w:ascii="Times New Roman" w:eastAsia="Times New Roman" w:hAnsi="Times New Roman"/>
          <w:sz w:val="24"/>
          <w:szCs w:val="24"/>
        </w:rPr>
        <w:t>Dhaka Bank Securities Limited and Dhaka Bank Investment Limited (the latter yet to become operational). The bank has always maintained a strong connection to the country’s cultural heritage in its branding and communication</w:t>
      </w:r>
      <w:r w:rsidRPr="000661A4">
        <w:rPr>
          <w:rFonts w:ascii="Times New Roman" w:eastAsia="Times New Roman" w:hAnsi="Times New Roman"/>
          <w:sz w:val="24"/>
          <w:szCs w:val="24"/>
        </w:rPr>
        <w:t> </w:t>
      </w:r>
      <w:r w:rsidRPr="000661A4">
        <w:rPr>
          <w:rFonts w:ascii="Times New Roman" w:eastAsia="Times New Roman" w:hAnsi="Times New Roman"/>
          <w:sz w:val="24"/>
          <w:szCs w:val="24"/>
        </w:rPr>
        <w:t>activities.</w:t>
      </w:r>
    </w:p>
    <w:p w14:paraId="2D4AF345"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sz w:val="24"/>
          <w:szCs w:val="24"/>
        </w:rPr>
      </w:pPr>
    </w:p>
    <w:p w14:paraId="2F6362ED" w14:textId="77777777" w:rsidR="00530F11" w:rsidRPr="00623D5A" w:rsidRDefault="00530F11" w:rsidP="00A42593">
      <w:pPr>
        <w:pStyle w:val="Heading2"/>
        <w:rPr>
          <w:rFonts w:ascii="Times New Roman" w:hAnsi="Times New Roman" w:cs="Times New Roman"/>
          <w:b/>
          <w:sz w:val="24"/>
          <w:szCs w:val="24"/>
        </w:rPr>
      </w:pPr>
      <w:bookmarkStart w:id="25" w:name="_Toc214949017"/>
      <w:r w:rsidRPr="00623D5A">
        <w:rPr>
          <w:rFonts w:ascii="Times New Roman" w:hAnsi="Times New Roman" w:cs="Times New Roman"/>
          <w:b/>
          <w:sz w:val="24"/>
          <w:szCs w:val="24"/>
        </w:rPr>
        <w:t>2.1.2 Vision, Mission, and Values</w:t>
      </w:r>
      <w:bookmarkEnd w:id="25"/>
    </w:p>
    <w:p w14:paraId="12D6F52B"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sz w:val="24"/>
          <w:szCs w:val="24"/>
        </w:rPr>
      </w:pPr>
      <w:r w:rsidRPr="00530F11">
        <w:rPr>
          <w:rFonts w:ascii="Times New Roman" w:eastAsia="Times New Roman" w:hAnsi="Times New Roman"/>
          <w:b/>
          <w:bCs/>
          <w:sz w:val="24"/>
          <w:szCs w:val="24"/>
        </w:rPr>
        <w:t>Vision:</w:t>
      </w:r>
      <w:r w:rsidR="00623D5A">
        <w:rPr>
          <w:rFonts w:ascii="Times New Roman" w:eastAsia="Times New Roman" w:hAnsi="Times New Roman"/>
          <w:sz w:val="24"/>
          <w:szCs w:val="24"/>
        </w:rPr>
        <w:t xml:space="preserve"> “</w:t>
      </w:r>
      <w:r w:rsidR="00623D5A" w:rsidRPr="00623D5A">
        <w:rPr>
          <w:rFonts w:ascii="Times New Roman" w:eastAsia="Times New Roman" w:hAnsi="Times New Roman"/>
          <w:sz w:val="24"/>
          <w:szCs w:val="24"/>
        </w:rPr>
        <w:t>To be the leading bank in Bangladesh and to make our position in forefront of country's banking sector as well as creating a career-oriented working environment and passionate workforce to provide an utmost</w:t>
      </w:r>
      <w:r w:rsidR="00623D5A" w:rsidRPr="00623D5A">
        <w:rPr>
          <w:rFonts w:ascii="Times New Roman" w:eastAsia="Times New Roman" w:hAnsi="Times New Roman"/>
          <w:sz w:val="24"/>
          <w:szCs w:val="24"/>
        </w:rPr>
        <w:t> </w:t>
      </w:r>
      <w:r w:rsidR="00623D5A" w:rsidRPr="00623D5A">
        <w:rPr>
          <w:rFonts w:ascii="Times New Roman" w:eastAsia="Times New Roman" w:hAnsi="Times New Roman"/>
          <w:sz w:val="24"/>
          <w:szCs w:val="24"/>
        </w:rPr>
        <w:t>level of financial benefits to the clients whilst contributing a significant portion of the growth society</w:t>
      </w:r>
      <w:r w:rsidR="00623D5A">
        <w:rPr>
          <w:rFonts w:ascii="Times New Roman" w:eastAsia="Times New Roman" w:hAnsi="Times New Roman"/>
          <w:sz w:val="24"/>
          <w:szCs w:val="24"/>
        </w:rPr>
        <w:t>.”</w:t>
      </w:r>
    </w:p>
    <w:p w14:paraId="5B8828A5"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sz w:val="24"/>
          <w:szCs w:val="24"/>
        </w:rPr>
      </w:pPr>
      <w:r w:rsidRPr="00530F11">
        <w:rPr>
          <w:rFonts w:ascii="Times New Roman" w:eastAsia="Times New Roman" w:hAnsi="Times New Roman"/>
          <w:b/>
          <w:bCs/>
          <w:sz w:val="24"/>
          <w:szCs w:val="24"/>
        </w:rPr>
        <w:t>Mission:</w:t>
      </w:r>
    </w:p>
    <w:p w14:paraId="118C1A5C" w14:textId="77777777" w:rsidR="00623D5A" w:rsidRDefault="00623D5A" w:rsidP="00DA1DC8">
      <w:pPr>
        <w:numPr>
          <w:ilvl w:val="0"/>
          <w:numId w:val="4"/>
        </w:numPr>
        <w:spacing w:before="100" w:beforeAutospacing="1" w:after="100" w:afterAutospacing="1" w:line="360" w:lineRule="auto"/>
        <w:jc w:val="both"/>
        <w:rPr>
          <w:rFonts w:ascii="Times New Roman" w:eastAsia="Times New Roman" w:hAnsi="Times New Roman"/>
          <w:sz w:val="24"/>
          <w:szCs w:val="24"/>
        </w:rPr>
      </w:pPr>
      <w:r w:rsidRPr="00623D5A">
        <w:rPr>
          <w:rFonts w:ascii="Times New Roman" w:eastAsia="Times New Roman" w:hAnsi="Times New Roman"/>
          <w:sz w:val="24"/>
          <w:szCs w:val="24"/>
        </w:rPr>
        <w:t>To be a contemporary, forward-looking and customers' centric</w:t>
      </w:r>
      <w:r w:rsidRPr="00623D5A">
        <w:rPr>
          <w:rFonts w:ascii="Times New Roman" w:eastAsia="Times New Roman" w:hAnsi="Times New Roman"/>
          <w:sz w:val="24"/>
          <w:szCs w:val="24"/>
        </w:rPr>
        <w:t> </w:t>
      </w:r>
      <w:r w:rsidRPr="00623D5A">
        <w:rPr>
          <w:rFonts w:ascii="Times New Roman" w:eastAsia="Times New Roman" w:hAnsi="Times New Roman"/>
          <w:sz w:val="24"/>
          <w:szCs w:val="24"/>
        </w:rPr>
        <w:t xml:space="preserve">commercial bank </w:t>
      </w:r>
    </w:p>
    <w:p w14:paraId="46DBFBC9" w14:textId="77777777" w:rsidR="00623D5A" w:rsidRPr="000A061F" w:rsidRDefault="00623D5A" w:rsidP="00DA1DC8">
      <w:pPr>
        <w:pStyle w:val="NormalWeb"/>
        <w:numPr>
          <w:ilvl w:val="0"/>
          <w:numId w:val="4"/>
        </w:numPr>
        <w:spacing w:line="360" w:lineRule="auto"/>
        <w:jc w:val="both"/>
      </w:pPr>
      <w:r w:rsidRPr="000A061F">
        <w:t>Offer wide range</w:t>
      </w:r>
      <w:r w:rsidRPr="000A061F">
        <w:t> </w:t>
      </w:r>
      <w:r w:rsidRPr="000A061F">
        <w:t>of banking products and services to satisfy varied customer needs</w:t>
      </w:r>
    </w:p>
    <w:p w14:paraId="005728FD" w14:textId="77777777" w:rsidR="00623D5A" w:rsidRPr="000A061F" w:rsidRDefault="00623D5A" w:rsidP="00DA1DC8">
      <w:pPr>
        <w:pStyle w:val="NormalWeb"/>
        <w:numPr>
          <w:ilvl w:val="0"/>
          <w:numId w:val="4"/>
        </w:numPr>
        <w:spacing w:line="360" w:lineRule="auto"/>
        <w:jc w:val="both"/>
      </w:pPr>
      <w:r w:rsidRPr="000A061F">
        <w:t>For upholding the principles of corporate governance and</w:t>
      </w:r>
      <w:r w:rsidRPr="000A061F">
        <w:t> </w:t>
      </w:r>
      <w:r w:rsidRPr="000A061F">
        <w:t>professional ethics</w:t>
      </w:r>
    </w:p>
    <w:p w14:paraId="2ACC12A8" w14:textId="77777777" w:rsidR="00623D5A" w:rsidRPr="000A061F" w:rsidRDefault="00623D5A" w:rsidP="00DA1DC8">
      <w:pPr>
        <w:pStyle w:val="NormalWeb"/>
        <w:numPr>
          <w:ilvl w:val="0"/>
          <w:numId w:val="4"/>
        </w:numPr>
        <w:spacing w:line="360" w:lineRule="auto"/>
        <w:jc w:val="both"/>
      </w:pPr>
      <w:r w:rsidRPr="000A061F">
        <w:lastRenderedPageBreak/>
        <w:t>Support economic growth and sustainability through social enterprise</w:t>
      </w:r>
      <w:r w:rsidRPr="000A061F">
        <w:t> </w:t>
      </w:r>
      <w:r w:rsidRPr="000A061F">
        <w:t>in Bangladesh</w:t>
      </w:r>
    </w:p>
    <w:p w14:paraId="71F478F8" w14:textId="77777777" w:rsidR="00623D5A" w:rsidRPr="00623D5A" w:rsidRDefault="00623D5A" w:rsidP="00DA1DC8">
      <w:pPr>
        <w:pStyle w:val="ListParagraph"/>
        <w:numPr>
          <w:ilvl w:val="0"/>
          <w:numId w:val="4"/>
        </w:numPr>
        <w:spacing w:before="100" w:beforeAutospacing="1" w:after="100" w:afterAutospacing="1" w:line="360" w:lineRule="auto"/>
        <w:jc w:val="both"/>
        <w:rPr>
          <w:rFonts w:ascii="Times New Roman" w:eastAsia="Times New Roman" w:hAnsi="Times New Roman"/>
          <w:sz w:val="24"/>
          <w:szCs w:val="24"/>
        </w:rPr>
      </w:pPr>
      <w:r w:rsidRPr="00623D5A">
        <w:rPr>
          <w:rFonts w:ascii="Times New Roman" w:hAnsi="Times New Roman"/>
          <w:sz w:val="24"/>
          <w:szCs w:val="24"/>
        </w:rPr>
        <w:t>To enrich all our</w:t>
      </w:r>
      <w:r w:rsidRPr="000A061F">
        <w:t> </w:t>
      </w:r>
      <w:r w:rsidRPr="00623D5A">
        <w:rPr>
          <w:rFonts w:ascii="Times New Roman" w:hAnsi="Times New Roman"/>
          <w:sz w:val="24"/>
          <w:szCs w:val="24"/>
        </w:rPr>
        <w:t>stakeholders (Shareholders, Customers, Employees and the society)</w:t>
      </w:r>
    </w:p>
    <w:p w14:paraId="4AD1A453" w14:textId="77777777" w:rsidR="00530F11" w:rsidRPr="00623D5A" w:rsidRDefault="00530F11" w:rsidP="00623D5A">
      <w:pPr>
        <w:spacing w:before="100" w:beforeAutospacing="1" w:after="100" w:afterAutospacing="1" w:line="360" w:lineRule="auto"/>
        <w:jc w:val="both"/>
        <w:rPr>
          <w:rFonts w:ascii="Times New Roman" w:eastAsia="Times New Roman" w:hAnsi="Times New Roman"/>
          <w:sz w:val="24"/>
          <w:szCs w:val="24"/>
        </w:rPr>
      </w:pPr>
      <w:r w:rsidRPr="00623D5A">
        <w:rPr>
          <w:rFonts w:ascii="Times New Roman" w:eastAsia="Times New Roman" w:hAnsi="Times New Roman"/>
          <w:b/>
          <w:bCs/>
          <w:sz w:val="24"/>
          <w:szCs w:val="24"/>
        </w:rPr>
        <w:t>Core Values:</w:t>
      </w:r>
    </w:p>
    <w:p w14:paraId="6799E316" w14:textId="77777777" w:rsidR="006176B3" w:rsidRPr="006176B3" w:rsidRDefault="006176B3" w:rsidP="00DA1DC8">
      <w:pPr>
        <w:numPr>
          <w:ilvl w:val="0"/>
          <w:numId w:val="5"/>
        </w:numPr>
        <w:spacing w:before="100" w:beforeAutospacing="1" w:after="100" w:afterAutospacing="1" w:line="360" w:lineRule="auto"/>
        <w:jc w:val="both"/>
        <w:rPr>
          <w:rFonts w:ascii="Times New Roman" w:eastAsia="Times New Roman" w:hAnsi="Times New Roman"/>
          <w:bCs/>
          <w:sz w:val="24"/>
          <w:szCs w:val="24"/>
        </w:rPr>
      </w:pPr>
      <w:r w:rsidRPr="006176B3">
        <w:rPr>
          <w:rFonts w:ascii="Times New Roman" w:eastAsia="Times New Roman" w:hAnsi="Times New Roman"/>
          <w:b/>
          <w:bCs/>
          <w:sz w:val="24"/>
          <w:szCs w:val="24"/>
        </w:rPr>
        <w:t xml:space="preserve">Honesty: </w:t>
      </w:r>
      <w:r w:rsidRPr="006176B3">
        <w:rPr>
          <w:rFonts w:ascii="Times New Roman" w:eastAsia="Times New Roman" w:hAnsi="Times New Roman"/>
          <w:bCs/>
          <w:sz w:val="24"/>
          <w:szCs w:val="24"/>
        </w:rPr>
        <w:t>Dealing with integrity,</w:t>
      </w:r>
      <w:r>
        <w:rPr>
          <w:rFonts w:ascii="Times New Roman" w:eastAsia="Times New Roman" w:hAnsi="Times New Roman"/>
          <w:bCs/>
          <w:sz w:val="24"/>
          <w:szCs w:val="24"/>
        </w:rPr>
        <w:t xml:space="preserve"> </w:t>
      </w:r>
      <w:r w:rsidRPr="006176B3">
        <w:rPr>
          <w:rFonts w:ascii="Times New Roman" w:eastAsia="Times New Roman" w:hAnsi="Times New Roman"/>
          <w:bCs/>
          <w:sz w:val="24"/>
          <w:szCs w:val="24"/>
        </w:rPr>
        <w:t>honesty a</w:t>
      </w:r>
      <w:r>
        <w:rPr>
          <w:rFonts w:ascii="Times New Roman" w:eastAsia="Times New Roman" w:hAnsi="Times New Roman"/>
          <w:bCs/>
          <w:sz w:val="24"/>
          <w:szCs w:val="24"/>
        </w:rPr>
        <w:t>nd ethics our business approach</w:t>
      </w:r>
    </w:p>
    <w:p w14:paraId="15A9A227" w14:textId="77777777" w:rsidR="006176B3" w:rsidRPr="006176B3" w:rsidRDefault="006176B3" w:rsidP="00DA1DC8">
      <w:pPr>
        <w:numPr>
          <w:ilvl w:val="0"/>
          <w:numId w:val="5"/>
        </w:numPr>
        <w:spacing w:before="100" w:beforeAutospacing="1" w:after="100" w:afterAutospacing="1" w:line="360" w:lineRule="auto"/>
        <w:jc w:val="both"/>
        <w:rPr>
          <w:rFonts w:ascii="Times New Roman" w:eastAsia="Times New Roman" w:hAnsi="Times New Roman"/>
          <w:b/>
          <w:bCs/>
          <w:sz w:val="24"/>
          <w:szCs w:val="24"/>
        </w:rPr>
      </w:pPr>
      <w:r w:rsidRPr="006176B3">
        <w:rPr>
          <w:rFonts w:ascii="Times New Roman" w:eastAsia="Times New Roman" w:hAnsi="Times New Roman"/>
          <w:b/>
          <w:bCs/>
          <w:sz w:val="24"/>
          <w:szCs w:val="24"/>
        </w:rPr>
        <w:t>Customer Focus: </w:t>
      </w:r>
      <w:r w:rsidRPr="006176B3">
        <w:rPr>
          <w:rFonts w:ascii="Times New Roman" w:eastAsia="Times New Roman" w:hAnsi="Times New Roman"/>
          <w:bCs/>
          <w:sz w:val="24"/>
          <w:szCs w:val="24"/>
        </w:rPr>
        <w:t>Making the majority of decisions based on what is best for our customers</w:t>
      </w:r>
    </w:p>
    <w:p w14:paraId="27BE7FDF" w14:textId="77777777" w:rsidR="006176B3" w:rsidRPr="006176B3" w:rsidRDefault="006176B3" w:rsidP="00DA1DC8">
      <w:pPr>
        <w:numPr>
          <w:ilvl w:val="0"/>
          <w:numId w:val="5"/>
        </w:numPr>
        <w:spacing w:before="100" w:beforeAutospacing="1" w:after="100" w:afterAutospacing="1" w:line="360" w:lineRule="auto"/>
        <w:jc w:val="both"/>
        <w:rPr>
          <w:rFonts w:ascii="Times New Roman" w:eastAsia="Times New Roman" w:hAnsi="Times New Roman"/>
          <w:b/>
          <w:bCs/>
          <w:sz w:val="24"/>
          <w:szCs w:val="24"/>
        </w:rPr>
      </w:pPr>
      <w:r w:rsidRPr="006176B3">
        <w:rPr>
          <w:rFonts w:ascii="Times New Roman" w:eastAsia="Times New Roman" w:hAnsi="Times New Roman"/>
          <w:b/>
          <w:bCs/>
          <w:sz w:val="24"/>
          <w:szCs w:val="24"/>
        </w:rPr>
        <w:t xml:space="preserve">Quality: </w:t>
      </w:r>
      <w:r w:rsidRPr="006176B3">
        <w:rPr>
          <w:rFonts w:ascii="Times New Roman" w:eastAsia="Times New Roman" w:hAnsi="Times New Roman"/>
          <w:bCs/>
          <w:sz w:val="24"/>
          <w:szCs w:val="24"/>
        </w:rPr>
        <w:t>A focus on high performance and continuous improvement</w:t>
      </w:r>
    </w:p>
    <w:p w14:paraId="523C4F59" w14:textId="77777777" w:rsidR="006176B3" w:rsidRPr="006176B3" w:rsidRDefault="006176B3" w:rsidP="00DA1DC8">
      <w:pPr>
        <w:numPr>
          <w:ilvl w:val="0"/>
          <w:numId w:val="5"/>
        </w:numPr>
        <w:spacing w:before="100" w:beforeAutospacing="1" w:after="100" w:afterAutospacing="1" w:line="360" w:lineRule="auto"/>
        <w:jc w:val="both"/>
        <w:rPr>
          <w:rFonts w:ascii="Times New Roman" w:eastAsia="Times New Roman" w:hAnsi="Times New Roman"/>
          <w:bCs/>
          <w:sz w:val="24"/>
          <w:szCs w:val="24"/>
        </w:rPr>
      </w:pPr>
      <w:r w:rsidRPr="006176B3">
        <w:rPr>
          <w:rFonts w:ascii="Times New Roman" w:eastAsia="Times New Roman" w:hAnsi="Times New Roman"/>
          <w:b/>
          <w:bCs/>
          <w:sz w:val="24"/>
          <w:szCs w:val="24"/>
        </w:rPr>
        <w:t xml:space="preserve">Innovation: </w:t>
      </w:r>
      <w:r w:rsidRPr="006176B3">
        <w:rPr>
          <w:rFonts w:ascii="Times New Roman" w:eastAsia="Times New Roman" w:hAnsi="Times New Roman"/>
          <w:bCs/>
          <w:sz w:val="24"/>
          <w:szCs w:val="24"/>
        </w:rPr>
        <w:t>Adopting technology and out-of-the-box solutions for excellence</w:t>
      </w:r>
    </w:p>
    <w:p w14:paraId="6EBCF227" w14:textId="77777777" w:rsidR="006176B3" w:rsidRPr="006176B3" w:rsidRDefault="006176B3" w:rsidP="00DA1DC8">
      <w:pPr>
        <w:numPr>
          <w:ilvl w:val="0"/>
          <w:numId w:val="5"/>
        </w:numPr>
        <w:spacing w:before="100" w:beforeAutospacing="1" w:after="100" w:afterAutospacing="1" w:line="360" w:lineRule="auto"/>
        <w:jc w:val="both"/>
        <w:rPr>
          <w:rFonts w:ascii="Times New Roman" w:eastAsia="Times New Roman" w:hAnsi="Times New Roman"/>
          <w:b/>
          <w:bCs/>
          <w:sz w:val="24"/>
          <w:szCs w:val="24"/>
        </w:rPr>
      </w:pPr>
      <w:r w:rsidRPr="006176B3">
        <w:rPr>
          <w:rFonts w:ascii="Times New Roman" w:eastAsia="Times New Roman" w:hAnsi="Times New Roman"/>
          <w:b/>
          <w:bCs/>
          <w:sz w:val="24"/>
          <w:szCs w:val="24"/>
        </w:rPr>
        <w:t xml:space="preserve">Collaboration: </w:t>
      </w:r>
      <w:r w:rsidRPr="006176B3">
        <w:rPr>
          <w:rFonts w:ascii="Times New Roman" w:eastAsia="Times New Roman" w:hAnsi="Times New Roman"/>
          <w:bCs/>
          <w:sz w:val="24"/>
          <w:szCs w:val="24"/>
        </w:rPr>
        <w:t>Building relationships and respect among peers</w:t>
      </w:r>
    </w:p>
    <w:p w14:paraId="61A2C6CA" w14:textId="77777777" w:rsidR="00530F11" w:rsidRPr="00530F11" w:rsidRDefault="006176B3" w:rsidP="00DA1DC8">
      <w:pPr>
        <w:numPr>
          <w:ilvl w:val="0"/>
          <w:numId w:val="5"/>
        </w:numPr>
        <w:spacing w:before="100" w:beforeAutospacing="1" w:after="100" w:afterAutospacing="1" w:line="360" w:lineRule="auto"/>
        <w:jc w:val="both"/>
        <w:rPr>
          <w:rFonts w:ascii="Times New Roman" w:eastAsia="Times New Roman" w:hAnsi="Times New Roman"/>
          <w:sz w:val="24"/>
          <w:szCs w:val="24"/>
        </w:rPr>
      </w:pPr>
      <w:r w:rsidRPr="006176B3">
        <w:rPr>
          <w:rFonts w:ascii="Times New Roman" w:eastAsia="Times New Roman" w:hAnsi="Times New Roman"/>
          <w:b/>
          <w:bCs/>
          <w:sz w:val="24"/>
          <w:szCs w:val="24"/>
        </w:rPr>
        <w:t xml:space="preserve">Community Development: </w:t>
      </w:r>
      <w:r w:rsidRPr="006176B3">
        <w:rPr>
          <w:rFonts w:ascii="Times New Roman" w:eastAsia="Times New Roman" w:hAnsi="Times New Roman"/>
          <w:bCs/>
          <w:sz w:val="24"/>
          <w:szCs w:val="24"/>
        </w:rPr>
        <w:t>Serving the well-being and sustainability of community</w:t>
      </w:r>
    </w:p>
    <w:p w14:paraId="3CB120B4" w14:textId="77777777" w:rsidR="00530F11" w:rsidRPr="00530F11" w:rsidRDefault="00530F11" w:rsidP="00530F11">
      <w:pPr>
        <w:rPr>
          <w:rFonts w:ascii="Times New Roman" w:eastAsia="Times New Roman" w:hAnsi="Times New Roman"/>
          <w:b/>
          <w:sz w:val="24"/>
          <w:szCs w:val="24"/>
        </w:rPr>
      </w:pPr>
    </w:p>
    <w:p w14:paraId="724073C0" w14:textId="77777777" w:rsidR="00530F11" w:rsidRPr="00FC337C" w:rsidRDefault="00530F11" w:rsidP="00A42593">
      <w:pPr>
        <w:pStyle w:val="Heading2"/>
        <w:rPr>
          <w:rFonts w:ascii="Times New Roman" w:hAnsi="Times New Roman" w:cs="Times New Roman"/>
          <w:b/>
          <w:sz w:val="24"/>
          <w:szCs w:val="24"/>
        </w:rPr>
      </w:pPr>
      <w:bookmarkStart w:id="26" w:name="_Toc214949018"/>
      <w:r w:rsidRPr="00FC337C">
        <w:rPr>
          <w:rFonts w:ascii="Times New Roman" w:hAnsi="Times New Roman" w:cs="Times New Roman"/>
          <w:b/>
          <w:sz w:val="24"/>
          <w:szCs w:val="24"/>
        </w:rPr>
        <w:t>2.1.3 Trend and Growth</w:t>
      </w:r>
      <w:bookmarkEnd w:id="26"/>
    </w:p>
    <w:p w14:paraId="2DA58F34" w14:textId="77777777" w:rsidR="00A42593" w:rsidRPr="00A42593" w:rsidRDefault="00A42593" w:rsidP="00A42593"/>
    <w:p w14:paraId="43737A82" w14:textId="77777777" w:rsidR="00FC337C" w:rsidRPr="00FC337C" w:rsidRDefault="00FC337C" w:rsidP="00FC337C">
      <w:pPr>
        <w:spacing w:line="360" w:lineRule="auto"/>
        <w:jc w:val="both"/>
        <w:rPr>
          <w:rFonts w:ascii="Times New Roman" w:eastAsiaTheme="minorHAnsi" w:hAnsi="Times New Roman"/>
          <w:sz w:val="24"/>
          <w:szCs w:val="24"/>
        </w:rPr>
      </w:pPr>
      <w:r w:rsidRPr="00FC337C">
        <w:rPr>
          <w:rFonts w:ascii="Times New Roman" w:eastAsiaTheme="minorHAnsi" w:hAnsi="Times New Roman"/>
          <w:sz w:val="24"/>
          <w:szCs w:val="24"/>
        </w:rPr>
        <w:t>Dhaka Bank PLC has been wide-reaching in its growth with improved operation and strategic</w:t>
      </w:r>
      <w:r w:rsidRPr="00FC337C">
        <w:rPr>
          <w:rFonts w:ascii="Times New Roman" w:eastAsiaTheme="minorHAnsi" w:hAnsi="Times New Roman"/>
          <w:sz w:val="24"/>
          <w:szCs w:val="24"/>
        </w:rPr>
        <w:t> </w:t>
      </w:r>
      <w:r w:rsidRPr="00FC337C">
        <w:rPr>
          <w:rFonts w:ascii="Times New Roman" w:eastAsiaTheme="minorHAnsi" w:hAnsi="Times New Roman"/>
          <w:sz w:val="24"/>
          <w:szCs w:val="24"/>
        </w:rPr>
        <w:t>direction. Nevertheless it has struggled</w:t>
      </w:r>
      <w:r w:rsidRPr="00FC337C">
        <w:rPr>
          <w:rFonts w:ascii="Times New Roman" w:eastAsiaTheme="minorHAnsi" w:hAnsi="Times New Roman"/>
          <w:sz w:val="24"/>
          <w:szCs w:val="24"/>
        </w:rPr>
        <w:t> </w:t>
      </w:r>
      <w:r w:rsidRPr="00FC337C">
        <w:rPr>
          <w:rFonts w:ascii="Times New Roman" w:eastAsiaTheme="minorHAnsi" w:hAnsi="Times New Roman"/>
          <w:sz w:val="24"/>
          <w:szCs w:val="24"/>
        </w:rPr>
        <w:t>to maintain its profitability and manage asset quality due, depending on the case, to expansion or more global problems in Bangladeshi banks.</w:t>
      </w:r>
    </w:p>
    <w:p w14:paraId="402FA50B" w14:textId="77777777" w:rsidR="00FC337C" w:rsidRPr="008E192F" w:rsidRDefault="00FC337C" w:rsidP="00FC337C">
      <w:pPr>
        <w:spacing w:line="360" w:lineRule="auto"/>
        <w:jc w:val="both"/>
        <w:rPr>
          <w:rFonts w:ascii="Times New Roman" w:eastAsiaTheme="minorHAnsi" w:hAnsi="Times New Roman"/>
          <w:b/>
          <w:sz w:val="24"/>
          <w:szCs w:val="24"/>
        </w:rPr>
      </w:pPr>
      <w:r w:rsidRPr="008E192F">
        <w:rPr>
          <w:rFonts w:ascii="Times New Roman" w:eastAsiaTheme="minorHAnsi" w:hAnsi="Times New Roman"/>
          <w:b/>
          <w:sz w:val="24"/>
          <w:szCs w:val="24"/>
        </w:rPr>
        <w:t>Financial Performance Trends:</w:t>
      </w:r>
    </w:p>
    <w:p w14:paraId="7EDB6C56" w14:textId="77777777" w:rsidR="00FC337C" w:rsidRPr="00FC337C" w:rsidRDefault="00FC337C" w:rsidP="00FC337C">
      <w:pPr>
        <w:spacing w:line="360" w:lineRule="auto"/>
        <w:jc w:val="both"/>
        <w:rPr>
          <w:rFonts w:ascii="Times New Roman" w:eastAsiaTheme="minorHAnsi" w:hAnsi="Times New Roman"/>
          <w:sz w:val="24"/>
          <w:szCs w:val="24"/>
        </w:rPr>
      </w:pPr>
      <w:r w:rsidRPr="00FC337C">
        <w:rPr>
          <w:rFonts w:ascii="Times New Roman" w:eastAsiaTheme="minorHAnsi" w:hAnsi="Times New Roman"/>
          <w:sz w:val="24"/>
          <w:szCs w:val="24"/>
        </w:rPr>
        <w:t>Dhaka Bank's income is growing, with solid 12.05% growth in operating income</w:t>
      </w:r>
      <w:r w:rsidRPr="00FC337C">
        <w:rPr>
          <w:rFonts w:ascii="Times New Roman" w:eastAsiaTheme="minorHAnsi" w:hAnsi="Times New Roman"/>
          <w:sz w:val="24"/>
          <w:szCs w:val="24"/>
        </w:rPr>
        <w:t> </w:t>
      </w:r>
      <w:r w:rsidRPr="00FC337C">
        <w:rPr>
          <w:rFonts w:ascii="Times New Roman" w:eastAsiaTheme="minorHAnsi" w:hAnsi="Times New Roman"/>
          <w:sz w:val="24"/>
          <w:szCs w:val="24"/>
        </w:rPr>
        <w:t>in 2023. However, its bottom line boomed</w:t>
      </w:r>
      <w:r w:rsidRPr="00FC337C">
        <w:rPr>
          <w:rFonts w:ascii="Times New Roman" w:eastAsiaTheme="minorHAnsi" w:hAnsi="Times New Roman"/>
          <w:sz w:val="24"/>
          <w:szCs w:val="24"/>
        </w:rPr>
        <w:t> </w:t>
      </w:r>
      <w:r w:rsidRPr="00FC337C">
        <w:rPr>
          <w:rFonts w:ascii="Times New Roman" w:eastAsiaTheme="minorHAnsi" w:hAnsi="Times New Roman"/>
          <w:sz w:val="24"/>
          <w:szCs w:val="24"/>
        </w:rPr>
        <w:t>in 2024, yet still saw a 23% drop. Despite this, the bank posted</w:t>
      </w:r>
      <w:r w:rsidRPr="00FC337C">
        <w:rPr>
          <w:rFonts w:ascii="Times New Roman" w:eastAsiaTheme="minorHAnsi" w:hAnsi="Times New Roman"/>
          <w:sz w:val="24"/>
          <w:szCs w:val="24"/>
        </w:rPr>
        <w:t> </w:t>
      </w:r>
      <w:r w:rsidRPr="00FC337C">
        <w:rPr>
          <w:rFonts w:ascii="Times New Roman" w:eastAsiaTheme="minorHAnsi" w:hAnsi="Times New Roman"/>
          <w:sz w:val="24"/>
          <w:szCs w:val="24"/>
        </w:rPr>
        <w:t>a robust set of Q1 2025 results in which net profits were up by +11% suggesting that they have some moves up their sleeves to improve productivity and income.</w:t>
      </w:r>
    </w:p>
    <w:p w14:paraId="42D81B2C" w14:textId="77777777" w:rsidR="008E192F" w:rsidRDefault="00FC337C" w:rsidP="00FC337C">
      <w:pPr>
        <w:spacing w:line="360" w:lineRule="auto"/>
        <w:jc w:val="both"/>
        <w:rPr>
          <w:rFonts w:ascii="Times New Roman" w:eastAsiaTheme="minorHAnsi" w:hAnsi="Times New Roman"/>
          <w:b/>
          <w:sz w:val="24"/>
          <w:szCs w:val="24"/>
        </w:rPr>
      </w:pPr>
      <w:r w:rsidRPr="008E192F">
        <w:rPr>
          <w:rFonts w:ascii="Times New Roman" w:eastAsiaTheme="minorHAnsi" w:hAnsi="Times New Roman"/>
          <w:b/>
          <w:sz w:val="24"/>
          <w:szCs w:val="24"/>
        </w:rPr>
        <w:t>Asset and Deposit Growth:</w:t>
      </w:r>
    </w:p>
    <w:p w14:paraId="7797519B" w14:textId="77777777" w:rsidR="00FC337C" w:rsidRPr="008E192F" w:rsidRDefault="00FC337C" w:rsidP="00FC337C">
      <w:pPr>
        <w:spacing w:line="360" w:lineRule="auto"/>
        <w:jc w:val="both"/>
        <w:rPr>
          <w:rFonts w:ascii="Times New Roman" w:eastAsiaTheme="minorHAnsi" w:hAnsi="Times New Roman"/>
          <w:b/>
          <w:sz w:val="24"/>
          <w:szCs w:val="24"/>
        </w:rPr>
      </w:pPr>
      <w:r w:rsidRPr="00FC337C">
        <w:rPr>
          <w:rFonts w:ascii="Times New Roman" w:eastAsiaTheme="minorHAnsi" w:hAnsi="Times New Roman"/>
          <w:sz w:val="24"/>
          <w:szCs w:val="24"/>
        </w:rPr>
        <w:t>De</w:t>
      </w:r>
      <w:r w:rsidR="008E192F">
        <w:rPr>
          <w:rFonts w:ascii="Times New Roman" w:eastAsiaTheme="minorHAnsi" w:hAnsi="Times New Roman"/>
          <w:sz w:val="24"/>
          <w:szCs w:val="24"/>
        </w:rPr>
        <w:t xml:space="preserve">posit stood at BDT 35,477 Cr as of December 2023, which is an increase by </w:t>
      </w:r>
      <w:r w:rsidRPr="00FC337C">
        <w:rPr>
          <w:rFonts w:ascii="Times New Roman" w:eastAsiaTheme="minorHAnsi" w:hAnsi="Times New Roman"/>
          <w:sz w:val="24"/>
          <w:szCs w:val="24"/>
        </w:rPr>
        <w:t>BDT 3,808 Cr</w:t>
      </w:r>
      <w:r w:rsidRPr="00FC337C">
        <w:rPr>
          <w:rFonts w:ascii="Times New Roman" w:eastAsiaTheme="minorHAnsi" w:hAnsi="Times New Roman"/>
          <w:sz w:val="24"/>
          <w:szCs w:val="24"/>
        </w:rPr>
        <w:t> </w:t>
      </w:r>
      <w:r w:rsidRPr="00FC337C">
        <w:rPr>
          <w:rFonts w:ascii="Times New Roman" w:eastAsiaTheme="minorHAnsi" w:hAnsi="Times New Roman"/>
          <w:sz w:val="24"/>
          <w:szCs w:val="24"/>
        </w:rPr>
        <w:t>assenting strong consumer confidence. The assets rose by 24.53% in 2021</w:t>
      </w:r>
      <w:r w:rsidRPr="00FC337C">
        <w:rPr>
          <w:rFonts w:ascii="Times New Roman" w:eastAsiaTheme="minorHAnsi" w:hAnsi="Times New Roman"/>
          <w:sz w:val="24"/>
          <w:szCs w:val="24"/>
        </w:rPr>
        <w:t> </w:t>
      </w:r>
      <w:r w:rsidRPr="00FC337C">
        <w:rPr>
          <w:rFonts w:ascii="Times New Roman" w:eastAsiaTheme="minorHAnsi" w:hAnsi="Times New Roman"/>
          <w:sz w:val="24"/>
          <w:szCs w:val="24"/>
        </w:rPr>
        <w:t>with an aggressive growth plan and increase in lending activities.</w:t>
      </w:r>
    </w:p>
    <w:p w14:paraId="0322935C" w14:textId="77777777" w:rsidR="008E192F" w:rsidRDefault="008E192F" w:rsidP="00FC337C">
      <w:pPr>
        <w:spacing w:line="360" w:lineRule="auto"/>
        <w:jc w:val="both"/>
        <w:rPr>
          <w:rFonts w:ascii="Times New Roman" w:eastAsiaTheme="minorHAnsi" w:hAnsi="Times New Roman"/>
          <w:b/>
          <w:sz w:val="24"/>
          <w:szCs w:val="24"/>
        </w:rPr>
      </w:pPr>
    </w:p>
    <w:p w14:paraId="607BE133" w14:textId="77777777" w:rsidR="00FC337C" w:rsidRPr="008E192F" w:rsidRDefault="00FC337C" w:rsidP="00FC337C">
      <w:pPr>
        <w:spacing w:line="360" w:lineRule="auto"/>
        <w:jc w:val="both"/>
        <w:rPr>
          <w:rFonts w:ascii="Times New Roman" w:eastAsiaTheme="minorHAnsi" w:hAnsi="Times New Roman"/>
          <w:b/>
          <w:sz w:val="24"/>
          <w:szCs w:val="24"/>
        </w:rPr>
      </w:pPr>
      <w:r w:rsidRPr="008E192F">
        <w:rPr>
          <w:rFonts w:ascii="Times New Roman" w:eastAsiaTheme="minorHAnsi" w:hAnsi="Times New Roman"/>
          <w:b/>
          <w:sz w:val="24"/>
          <w:szCs w:val="24"/>
        </w:rPr>
        <w:lastRenderedPageBreak/>
        <w:t>Branch Network Expansion:</w:t>
      </w:r>
    </w:p>
    <w:p w14:paraId="0B7B44E3" w14:textId="77777777" w:rsidR="00FC337C" w:rsidRPr="00FC337C" w:rsidRDefault="00FC337C" w:rsidP="00FC337C">
      <w:pPr>
        <w:spacing w:line="360" w:lineRule="auto"/>
        <w:jc w:val="both"/>
        <w:rPr>
          <w:rFonts w:ascii="Times New Roman" w:eastAsiaTheme="minorHAnsi" w:hAnsi="Times New Roman"/>
          <w:sz w:val="24"/>
          <w:szCs w:val="24"/>
        </w:rPr>
      </w:pPr>
      <w:r w:rsidRPr="00FC337C">
        <w:rPr>
          <w:rFonts w:ascii="Times New Roman" w:eastAsiaTheme="minorHAnsi" w:hAnsi="Times New Roman"/>
          <w:sz w:val="24"/>
          <w:szCs w:val="24"/>
        </w:rPr>
        <w:t>With a network of 114 branches (all branches, including e-branches), 3 card centers, and an ATM booth-network across the country as well as state-of-the-art online banking and call center</w:t>
      </w:r>
      <w:r w:rsidR="008E192F">
        <w:rPr>
          <w:rFonts w:ascii="Times New Roman" w:eastAsiaTheme="minorHAnsi" w:hAnsi="Times New Roman"/>
          <w:sz w:val="24"/>
          <w:szCs w:val="24"/>
        </w:rPr>
        <w:t>. I</w:t>
      </w:r>
      <w:r w:rsidRPr="00FC337C">
        <w:rPr>
          <w:rFonts w:ascii="Times New Roman" w:eastAsiaTheme="minorHAnsi" w:hAnsi="Times New Roman"/>
          <w:sz w:val="24"/>
          <w:szCs w:val="24"/>
        </w:rPr>
        <w:t>n addition to being the only local bank with a wide</w:t>
      </w:r>
      <w:r w:rsidRPr="00FC337C">
        <w:rPr>
          <w:rFonts w:ascii="Times New Roman" w:eastAsiaTheme="minorHAnsi" w:hAnsi="Times New Roman"/>
          <w:sz w:val="24"/>
          <w:szCs w:val="24"/>
        </w:rPr>
        <w:t> </w:t>
      </w:r>
      <w:r w:rsidRPr="00FC337C">
        <w:rPr>
          <w:rFonts w:ascii="Times New Roman" w:eastAsiaTheme="minorHAnsi" w:hAnsi="Times New Roman"/>
          <w:sz w:val="24"/>
          <w:szCs w:val="24"/>
        </w:rPr>
        <w:t>foreign correspondent banking network. This</w:t>
      </w:r>
      <w:r w:rsidRPr="00FC337C">
        <w:rPr>
          <w:rFonts w:ascii="Times New Roman" w:eastAsiaTheme="minorHAnsi" w:hAnsi="Times New Roman"/>
          <w:sz w:val="24"/>
          <w:szCs w:val="24"/>
        </w:rPr>
        <w:t> </w:t>
      </w:r>
      <w:r w:rsidRPr="00FC337C">
        <w:rPr>
          <w:rFonts w:ascii="Times New Roman" w:eastAsiaTheme="minorHAnsi" w:hAnsi="Times New Roman"/>
          <w:sz w:val="24"/>
          <w:szCs w:val="24"/>
        </w:rPr>
        <w:t>has helped the bank to increase its market share and reach both urban and rural customers.</w:t>
      </w:r>
    </w:p>
    <w:p w14:paraId="130E7D67" w14:textId="77777777" w:rsidR="00FC337C" w:rsidRPr="008E192F" w:rsidRDefault="00FC337C" w:rsidP="00FC337C">
      <w:pPr>
        <w:spacing w:line="360" w:lineRule="auto"/>
        <w:jc w:val="both"/>
        <w:rPr>
          <w:rFonts w:ascii="Times New Roman" w:eastAsiaTheme="minorHAnsi" w:hAnsi="Times New Roman"/>
          <w:b/>
          <w:sz w:val="24"/>
          <w:szCs w:val="24"/>
        </w:rPr>
      </w:pPr>
      <w:r w:rsidRPr="008E192F">
        <w:rPr>
          <w:rFonts w:ascii="Times New Roman" w:eastAsiaTheme="minorHAnsi" w:hAnsi="Times New Roman"/>
          <w:b/>
          <w:sz w:val="24"/>
          <w:szCs w:val="24"/>
        </w:rPr>
        <w:t>Asset Quality Challenges:</w:t>
      </w:r>
    </w:p>
    <w:p w14:paraId="2DED9017" w14:textId="77777777" w:rsidR="00FC337C" w:rsidRPr="00FC337C" w:rsidRDefault="008E192F" w:rsidP="00FC337C">
      <w:pPr>
        <w:spacing w:line="360" w:lineRule="auto"/>
        <w:jc w:val="both"/>
        <w:rPr>
          <w:rFonts w:ascii="Times New Roman" w:eastAsiaTheme="minorHAnsi" w:hAnsi="Times New Roman"/>
          <w:sz w:val="24"/>
          <w:szCs w:val="24"/>
        </w:rPr>
      </w:pPr>
      <w:r>
        <w:rPr>
          <w:rFonts w:ascii="Times New Roman" w:eastAsiaTheme="minorHAnsi" w:hAnsi="Times New Roman"/>
          <w:sz w:val="24"/>
          <w:szCs w:val="24"/>
        </w:rPr>
        <w:t>Dhaka Bank’s</w:t>
      </w:r>
      <w:r w:rsidR="00FC337C" w:rsidRPr="00FC337C">
        <w:rPr>
          <w:rFonts w:ascii="Times New Roman" w:eastAsiaTheme="minorHAnsi" w:hAnsi="Times New Roman"/>
          <w:sz w:val="24"/>
          <w:szCs w:val="24"/>
        </w:rPr>
        <w:t xml:space="preserve"> NPL increased sharply from BDT 6,312 Cr</w:t>
      </w:r>
      <w:r w:rsidR="00FC337C" w:rsidRPr="00FC337C">
        <w:rPr>
          <w:rFonts w:ascii="Times New Roman" w:eastAsiaTheme="minorHAnsi" w:hAnsi="Times New Roman"/>
          <w:sz w:val="24"/>
          <w:szCs w:val="24"/>
        </w:rPr>
        <w:t> </w:t>
      </w:r>
      <w:r w:rsidR="00FC337C" w:rsidRPr="00FC337C">
        <w:rPr>
          <w:rFonts w:ascii="Times New Roman" w:eastAsiaTheme="minorHAnsi" w:hAnsi="Times New Roman"/>
          <w:sz w:val="24"/>
          <w:szCs w:val="24"/>
        </w:rPr>
        <w:t>in FY22 to BDT 9,514 Cr in FY23 leading to negative performance. However, the bank maintained a Credit-to-Deposit ratio of 78% in FY23 reflecting prudent liquidity management despite challenges</w:t>
      </w:r>
      <w:r w:rsidR="00FC337C" w:rsidRPr="00FC337C">
        <w:rPr>
          <w:rFonts w:ascii="Times New Roman" w:eastAsiaTheme="minorHAnsi" w:hAnsi="Times New Roman"/>
          <w:sz w:val="24"/>
          <w:szCs w:val="24"/>
        </w:rPr>
        <w:t> </w:t>
      </w:r>
      <w:r w:rsidR="00FC337C" w:rsidRPr="00FC337C">
        <w:rPr>
          <w:rFonts w:ascii="Times New Roman" w:eastAsiaTheme="minorHAnsi" w:hAnsi="Times New Roman"/>
          <w:sz w:val="24"/>
          <w:szCs w:val="24"/>
        </w:rPr>
        <w:t>on asset quality.</w:t>
      </w:r>
    </w:p>
    <w:p w14:paraId="0DBD9AA0" w14:textId="77777777" w:rsidR="00FC337C" w:rsidRPr="008E192F" w:rsidRDefault="00FC337C" w:rsidP="00FC337C">
      <w:pPr>
        <w:spacing w:line="360" w:lineRule="auto"/>
        <w:jc w:val="both"/>
        <w:rPr>
          <w:rFonts w:ascii="Times New Roman" w:eastAsiaTheme="minorHAnsi" w:hAnsi="Times New Roman"/>
          <w:b/>
          <w:sz w:val="24"/>
          <w:szCs w:val="24"/>
        </w:rPr>
      </w:pPr>
      <w:r w:rsidRPr="008E192F">
        <w:rPr>
          <w:rFonts w:ascii="Times New Roman" w:eastAsiaTheme="minorHAnsi" w:hAnsi="Times New Roman"/>
          <w:b/>
          <w:sz w:val="24"/>
          <w:szCs w:val="24"/>
        </w:rPr>
        <w:t>Strategic Growth Initiatives:</w:t>
      </w:r>
    </w:p>
    <w:p w14:paraId="3DE19E8D" w14:textId="77777777" w:rsidR="00FC337C" w:rsidRPr="00FC337C" w:rsidRDefault="00FC337C" w:rsidP="00FC337C">
      <w:pPr>
        <w:spacing w:line="360" w:lineRule="auto"/>
        <w:jc w:val="both"/>
        <w:rPr>
          <w:rFonts w:ascii="Times New Roman" w:eastAsiaTheme="minorHAnsi" w:hAnsi="Times New Roman"/>
          <w:sz w:val="24"/>
          <w:szCs w:val="24"/>
        </w:rPr>
      </w:pPr>
      <w:r w:rsidRPr="00FC337C">
        <w:rPr>
          <w:rFonts w:ascii="Times New Roman" w:eastAsiaTheme="minorHAnsi" w:hAnsi="Times New Roman"/>
          <w:sz w:val="24"/>
          <w:szCs w:val="24"/>
        </w:rPr>
        <w:t>Dhaka Bank has financed expansion through syndicated loans, including BDT 5.2</w:t>
      </w:r>
      <w:r w:rsidR="000C49CD">
        <w:rPr>
          <w:rFonts w:ascii="Times New Roman" w:eastAsiaTheme="minorHAnsi" w:hAnsi="Times New Roman"/>
          <w:sz w:val="24"/>
          <w:szCs w:val="24"/>
        </w:rPr>
        <w:t xml:space="preserve"> billion</w:t>
      </w:r>
      <w:r w:rsidRPr="00FC337C">
        <w:rPr>
          <w:rFonts w:ascii="Times New Roman" w:eastAsiaTheme="minorHAnsi" w:hAnsi="Times New Roman"/>
          <w:sz w:val="24"/>
          <w:szCs w:val="24"/>
        </w:rPr>
        <w:t xml:space="preserve"> for Chandpur Power and BDT 9</w:t>
      </w:r>
      <w:r w:rsidR="000C49CD">
        <w:rPr>
          <w:rFonts w:ascii="Times New Roman" w:eastAsiaTheme="minorHAnsi" w:hAnsi="Times New Roman"/>
          <w:sz w:val="24"/>
          <w:szCs w:val="24"/>
        </w:rPr>
        <w:t xml:space="preserve"> billion</w:t>
      </w:r>
      <w:r w:rsidRPr="00FC337C">
        <w:rPr>
          <w:rFonts w:ascii="Times New Roman" w:eastAsiaTheme="minorHAnsi" w:hAnsi="Times New Roman"/>
          <w:sz w:val="24"/>
          <w:szCs w:val="24"/>
        </w:rPr>
        <w:t xml:space="preserve"> for Bashundhara Oil and</w:t>
      </w:r>
      <w:r w:rsidRPr="00FC337C">
        <w:rPr>
          <w:rFonts w:ascii="Times New Roman" w:eastAsiaTheme="minorHAnsi" w:hAnsi="Times New Roman"/>
          <w:sz w:val="24"/>
          <w:szCs w:val="24"/>
        </w:rPr>
        <w:t> </w:t>
      </w:r>
      <w:r w:rsidRPr="00FC337C">
        <w:rPr>
          <w:rFonts w:ascii="Times New Roman" w:eastAsiaTheme="minorHAnsi" w:hAnsi="Times New Roman"/>
          <w:sz w:val="24"/>
          <w:szCs w:val="24"/>
        </w:rPr>
        <w:t xml:space="preserve">Gas. It also raised $40 </w:t>
      </w:r>
      <w:r w:rsidR="000C49CD" w:rsidRPr="00FC337C">
        <w:rPr>
          <w:rFonts w:ascii="Times New Roman" w:eastAsiaTheme="minorHAnsi" w:hAnsi="Times New Roman"/>
          <w:sz w:val="24"/>
          <w:szCs w:val="24"/>
        </w:rPr>
        <w:t>million</w:t>
      </w:r>
      <w:r w:rsidRPr="00FC337C">
        <w:rPr>
          <w:rFonts w:ascii="Times New Roman" w:eastAsiaTheme="minorHAnsi" w:hAnsi="Times New Roman"/>
          <w:sz w:val="24"/>
          <w:szCs w:val="24"/>
        </w:rPr>
        <w:t xml:space="preserve"> dollars from</w:t>
      </w:r>
      <w:r w:rsidRPr="00FC337C">
        <w:rPr>
          <w:rFonts w:ascii="Times New Roman" w:eastAsiaTheme="minorHAnsi" w:hAnsi="Times New Roman"/>
          <w:sz w:val="24"/>
          <w:szCs w:val="24"/>
        </w:rPr>
        <w:t> </w:t>
      </w:r>
      <w:r w:rsidRPr="00FC337C">
        <w:rPr>
          <w:rFonts w:ascii="Times New Roman" w:eastAsiaTheme="minorHAnsi" w:hAnsi="Times New Roman"/>
          <w:sz w:val="24"/>
          <w:szCs w:val="24"/>
        </w:rPr>
        <w:t>German banks for its energy projects.</w:t>
      </w:r>
    </w:p>
    <w:p w14:paraId="138C6A6E" w14:textId="77777777" w:rsidR="00530F11" w:rsidRDefault="00530F11" w:rsidP="00530F11">
      <w:pPr>
        <w:spacing w:line="360" w:lineRule="auto"/>
        <w:jc w:val="both"/>
        <w:rPr>
          <w:rFonts w:ascii="Times New Roman" w:eastAsiaTheme="minorHAnsi" w:hAnsi="Times New Roman"/>
          <w:sz w:val="24"/>
          <w:szCs w:val="24"/>
        </w:rPr>
      </w:pPr>
    </w:p>
    <w:p w14:paraId="0CDBC452" w14:textId="77777777" w:rsidR="00530F11" w:rsidRPr="006D3AE7" w:rsidRDefault="00530F11" w:rsidP="00A42593">
      <w:pPr>
        <w:pStyle w:val="Heading2"/>
        <w:rPr>
          <w:rFonts w:ascii="Times New Roman" w:hAnsi="Times New Roman" w:cs="Times New Roman"/>
          <w:b/>
          <w:sz w:val="24"/>
          <w:szCs w:val="24"/>
        </w:rPr>
      </w:pPr>
      <w:bookmarkStart w:id="27" w:name="_Toc214949019"/>
      <w:r w:rsidRPr="006D3AE7">
        <w:rPr>
          <w:rFonts w:ascii="Times New Roman" w:hAnsi="Times New Roman" w:cs="Times New Roman"/>
          <w:b/>
          <w:sz w:val="24"/>
          <w:szCs w:val="24"/>
        </w:rPr>
        <w:t>2.1.4 Product/Service/Customer Mix</w:t>
      </w:r>
      <w:bookmarkEnd w:id="27"/>
    </w:p>
    <w:p w14:paraId="660746C4" w14:textId="77777777" w:rsidR="00A42593" w:rsidRPr="00A42593" w:rsidRDefault="00A42593" w:rsidP="00A42593"/>
    <w:p w14:paraId="4032CA42" w14:textId="77777777" w:rsidR="006D3AE7" w:rsidRPr="00DE6533" w:rsidRDefault="006D3AE7" w:rsidP="00DE6533">
      <w:p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The Dhaka Bank PLC offers a full range of banking services for both</w:t>
      </w:r>
      <w:r w:rsidRPr="00DE6533">
        <w:rPr>
          <w:rFonts w:ascii="Times New Roman" w:eastAsiaTheme="minorHAnsi" w:hAnsi="Times New Roman"/>
          <w:sz w:val="24"/>
          <w:szCs w:val="24"/>
        </w:rPr>
        <w:t> </w:t>
      </w:r>
      <w:r w:rsidRPr="00DE6533">
        <w:rPr>
          <w:rFonts w:ascii="Times New Roman" w:eastAsiaTheme="minorHAnsi" w:hAnsi="Times New Roman"/>
          <w:sz w:val="24"/>
          <w:szCs w:val="24"/>
        </w:rPr>
        <w:t>retail, corporate and SME customers focusing on complete financial solutions.</w:t>
      </w:r>
    </w:p>
    <w:p w14:paraId="778625E2"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Retail Banking Products and Services:</w:t>
      </w:r>
    </w:p>
    <w:p w14:paraId="70683C1F" w14:textId="77777777" w:rsidR="006D3AE7" w:rsidRPr="00DE6533" w:rsidRDefault="006D3AE7" w:rsidP="00DA1DC8">
      <w:pPr>
        <w:pStyle w:val="ListParagraph"/>
        <w:numPr>
          <w:ilvl w:val="0"/>
          <w:numId w:val="19"/>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Trendy digital savings account in both local and</w:t>
      </w:r>
      <w:r w:rsidRPr="00DE6533">
        <w:rPr>
          <w:rFonts w:ascii="Times New Roman" w:hAnsi="Times New Roman"/>
          <w:sz w:val="24"/>
          <w:szCs w:val="24"/>
        </w:rPr>
        <w:t> </w:t>
      </w:r>
      <w:r w:rsidRPr="00DE6533">
        <w:rPr>
          <w:rFonts w:ascii="Times New Roman" w:eastAsiaTheme="minorHAnsi" w:hAnsi="Times New Roman"/>
          <w:sz w:val="24"/>
          <w:szCs w:val="24"/>
        </w:rPr>
        <w:t>foreign currencies for individuals and businesses</w:t>
      </w:r>
    </w:p>
    <w:p w14:paraId="69D75630" w14:textId="77777777" w:rsidR="006D3AE7" w:rsidRPr="00DE6533" w:rsidRDefault="006D3AE7" w:rsidP="00DA1DC8">
      <w:pPr>
        <w:pStyle w:val="ListParagraph"/>
        <w:numPr>
          <w:ilvl w:val="0"/>
          <w:numId w:val="19"/>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Competitive interest rates and online access to</w:t>
      </w:r>
      <w:r w:rsidRPr="00DE6533">
        <w:rPr>
          <w:rFonts w:ascii="Times New Roman" w:hAnsi="Times New Roman"/>
          <w:sz w:val="24"/>
          <w:szCs w:val="24"/>
        </w:rPr>
        <w:t> </w:t>
      </w:r>
      <w:r w:rsidRPr="00DE6533">
        <w:rPr>
          <w:rFonts w:ascii="Times New Roman" w:eastAsiaTheme="minorHAnsi" w:hAnsi="Times New Roman"/>
          <w:sz w:val="24"/>
          <w:szCs w:val="24"/>
        </w:rPr>
        <w:t>savings accounts</w:t>
      </w:r>
    </w:p>
    <w:p w14:paraId="0512630E" w14:textId="77777777" w:rsidR="006D3AE7" w:rsidRPr="00DE6533" w:rsidRDefault="006D3AE7" w:rsidP="00DA1DC8">
      <w:pPr>
        <w:pStyle w:val="ListParagraph"/>
        <w:numPr>
          <w:ilvl w:val="0"/>
          <w:numId w:val="19"/>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Flexible fixed deposit schemes by</w:t>
      </w:r>
      <w:r w:rsidRPr="00DE6533">
        <w:rPr>
          <w:rFonts w:ascii="Times New Roman" w:hAnsi="Times New Roman"/>
          <w:sz w:val="24"/>
          <w:szCs w:val="24"/>
        </w:rPr>
        <w:t> </w:t>
      </w:r>
      <w:r w:rsidRPr="00DE6533">
        <w:rPr>
          <w:rFonts w:ascii="Times New Roman" w:eastAsiaTheme="minorHAnsi" w:hAnsi="Times New Roman"/>
          <w:sz w:val="24"/>
          <w:szCs w:val="24"/>
        </w:rPr>
        <w:t>tenure</w:t>
      </w:r>
    </w:p>
    <w:p w14:paraId="2D6ECDFA" w14:textId="77777777" w:rsidR="006D3AE7" w:rsidRPr="00DE6533" w:rsidRDefault="006D3AE7" w:rsidP="00DA1DC8">
      <w:pPr>
        <w:pStyle w:val="ListParagraph"/>
        <w:numPr>
          <w:ilvl w:val="0"/>
          <w:numId w:val="19"/>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Custody deposits at short notice for customers</w:t>
      </w:r>
      <w:r w:rsidRPr="00DE6533">
        <w:rPr>
          <w:rFonts w:ascii="Times New Roman" w:hAnsi="Times New Roman"/>
          <w:sz w:val="24"/>
          <w:szCs w:val="24"/>
        </w:rPr>
        <w:t> </w:t>
      </w:r>
      <w:r w:rsidRPr="00DE6533">
        <w:rPr>
          <w:rFonts w:ascii="Times New Roman" w:eastAsiaTheme="minorHAnsi" w:hAnsi="Times New Roman"/>
          <w:sz w:val="24"/>
          <w:szCs w:val="24"/>
        </w:rPr>
        <w:t>that intend to balance between liquidity and return</w:t>
      </w:r>
    </w:p>
    <w:p w14:paraId="0EE0CB03" w14:textId="77777777" w:rsidR="006D3AE7" w:rsidRPr="00DE6533" w:rsidRDefault="006D3AE7" w:rsidP="00DA1DC8">
      <w:pPr>
        <w:pStyle w:val="ListParagraph"/>
        <w:numPr>
          <w:ilvl w:val="0"/>
          <w:numId w:val="18"/>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Deposit Pension Schemes for planning of</w:t>
      </w:r>
      <w:r w:rsidRPr="00DE6533">
        <w:rPr>
          <w:rFonts w:ascii="Times New Roman" w:hAnsi="Times New Roman"/>
          <w:sz w:val="24"/>
          <w:szCs w:val="24"/>
        </w:rPr>
        <w:t> </w:t>
      </w:r>
      <w:r w:rsidRPr="00DE6533">
        <w:rPr>
          <w:rFonts w:ascii="Times New Roman" w:eastAsiaTheme="minorHAnsi" w:hAnsi="Times New Roman"/>
          <w:sz w:val="24"/>
          <w:szCs w:val="24"/>
        </w:rPr>
        <w:t>retirement</w:t>
      </w:r>
    </w:p>
    <w:p w14:paraId="60D8E7BD" w14:textId="77777777" w:rsidR="006D3AE7" w:rsidRPr="00DE6533" w:rsidRDefault="006D3AE7" w:rsidP="00DA1DC8">
      <w:pPr>
        <w:pStyle w:val="ListParagraph"/>
        <w:numPr>
          <w:ilvl w:val="0"/>
          <w:numId w:val="18"/>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Students’ accounts and grants of special</w:t>
      </w:r>
      <w:r w:rsidRPr="00DE6533">
        <w:rPr>
          <w:rFonts w:ascii="Times New Roman" w:hAnsi="Times New Roman"/>
          <w:sz w:val="24"/>
          <w:szCs w:val="24"/>
        </w:rPr>
        <w:t> </w:t>
      </w:r>
      <w:r w:rsidRPr="00DE6533">
        <w:rPr>
          <w:rFonts w:ascii="Times New Roman" w:eastAsiaTheme="minorHAnsi" w:hAnsi="Times New Roman"/>
          <w:sz w:val="24"/>
          <w:szCs w:val="24"/>
        </w:rPr>
        <w:t>privileges</w:t>
      </w:r>
    </w:p>
    <w:p w14:paraId="7C3F1998" w14:textId="77777777" w:rsidR="006D3AE7" w:rsidRPr="00DE6533" w:rsidRDefault="006D3AE7" w:rsidP="00DA1DC8">
      <w:pPr>
        <w:pStyle w:val="ListParagraph"/>
        <w:numPr>
          <w:ilvl w:val="0"/>
          <w:numId w:val="18"/>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lastRenderedPageBreak/>
        <w:t>Senior citizen accounts earning</w:t>
      </w:r>
      <w:r w:rsidRPr="00DE6533">
        <w:rPr>
          <w:rFonts w:ascii="Times New Roman" w:hAnsi="Times New Roman"/>
          <w:sz w:val="24"/>
          <w:szCs w:val="24"/>
        </w:rPr>
        <w:t> </w:t>
      </w:r>
      <w:r w:rsidRPr="00DE6533">
        <w:rPr>
          <w:rFonts w:ascii="Times New Roman" w:eastAsiaTheme="minorHAnsi" w:hAnsi="Times New Roman"/>
          <w:sz w:val="24"/>
          <w:szCs w:val="24"/>
        </w:rPr>
        <w:t>higher rates of interest</w:t>
      </w:r>
    </w:p>
    <w:p w14:paraId="1BC5D78E" w14:textId="77777777" w:rsidR="006D3AE7" w:rsidRPr="00DE6533" w:rsidRDefault="006D3AE7" w:rsidP="00DA1DC8">
      <w:pPr>
        <w:pStyle w:val="ListParagraph"/>
        <w:numPr>
          <w:ilvl w:val="0"/>
          <w:numId w:val="18"/>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Gift cheques for special occasions</w:t>
      </w:r>
    </w:p>
    <w:p w14:paraId="0FEB1577"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Corporate Banking Services:</w:t>
      </w:r>
    </w:p>
    <w:p w14:paraId="48A33685"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Long</w:t>
      </w:r>
      <w:r w:rsidRPr="00DE6533">
        <w:rPr>
          <w:rFonts w:ascii="Times New Roman" w:hAnsi="Times New Roman"/>
          <w:sz w:val="24"/>
          <w:szCs w:val="24"/>
        </w:rPr>
        <w:t> </w:t>
      </w:r>
      <w:r w:rsidRPr="00DE6533">
        <w:rPr>
          <w:rFonts w:ascii="Times New Roman" w:eastAsiaTheme="minorHAnsi" w:hAnsi="Times New Roman"/>
          <w:sz w:val="24"/>
          <w:szCs w:val="24"/>
        </w:rPr>
        <w:t>term funding for capital investment and project finance</w:t>
      </w:r>
    </w:p>
    <w:p w14:paraId="386F6050"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Mid-term</w:t>
      </w:r>
      <w:r w:rsidRPr="00DE6533">
        <w:rPr>
          <w:rFonts w:ascii="Times New Roman" w:hAnsi="Times New Roman"/>
          <w:sz w:val="24"/>
          <w:szCs w:val="24"/>
        </w:rPr>
        <w:t> </w:t>
      </w:r>
      <w:r w:rsidRPr="00DE6533">
        <w:rPr>
          <w:rFonts w:ascii="Times New Roman" w:eastAsiaTheme="minorHAnsi" w:hAnsi="Times New Roman"/>
          <w:sz w:val="24"/>
          <w:szCs w:val="24"/>
        </w:rPr>
        <w:t>Loan for Business expansion &amp; working capital purposes</w:t>
      </w:r>
    </w:p>
    <w:p w14:paraId="23CEA84B"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Short-term financing facilities</w:t>
      </w:r>
    </w:p>
    <w:p w14:paraId="4A1B06CF"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Working capital finance</w:t>
      </w:r>
      <w:r w:rsidRPr="00DE6533">
        <w:rPr>
          <w:rFonts w:ascii="Times New Roman" w:hAnsi="Times New Roman"/>
          <w:sz w:val="24"/>
          <w:szCs w:val="24"/>
        </w:rPr>
        <w:t> </w:t>
      </w:r>
      <w:r w:rsidRPr="00DE6533">
        <w:rPr>
          <w:rFonts w:ascii="Times New Roman" w:eastAsiaTheme="minorHAnsi" w:hAnsi="Times New Roman"/>
          <w:sz w:val="24"/>
          <w:szCs w:val="24"/>
        </w:rPr>
        <w:t>such as overdrafts, cash credit and bill discounting</w:t>
      </w:r>
    </w:p>
    <w:p w14:paraId="09E10A92"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Trade finance facilities including L/Cs, guarantees and collections</w:t>
      </w:r>
    </w:p>
    <w:p w14:paraId="195F2E93"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Corporate liquidity management</w:t>
      </w:r>
      <w:r w:rsidRPr="00DE6533">
        <w:rPr>
          <w:rFonts w:ascii="Times New Roman" w:hAnsi="Times New Roman"/>
          <w:sz w:val="24"/>
          <w:szCs w:val="24"/>
        </w:rPr>
        <w:t> </w:t>
      </w:r>
      <w:r w:rsidRPr="00DE6533">
        <w:rPr>
          <w:rFonts w:ascii="Times New Roman" w:eastAsiaTheme="minorHAnsi" w:hAnsi="Times New Roman"/>
          <w:sz w:val="24"/>
          <w:szCs w:val="24"/>
        </w:rPr>
        <w:t>solutions for improving cash flow</w:t>
      </w:r>
    </w:p>
    <w:p w14:paraId="738A8555"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Financing, syndication and</w:t>
      </w:r>
      <w:r w:rsidRPr="00DE6533">
        <w:rPr>
          <w:rFonts w:ascii="Times New Roman" w:hAnsi="Times New Roman"/>
          <w:sz w:val="24"/>
          <w:szCs w:val="24"/>
        </w:rPr>
        <w:t> </w:t>
      </w:r>
      <w:r w:rsidRPr="00DE6533">
        <w:rPr>
          <w:rFonts w:ascii="Times New Roman" w:eastAsiaTheme="minorHAnsi" w:hAnsi="Times New Roman"/>
          <w:sz w:val="24"/>
          <w:szCs w:val="24"/>
        </w:rPr>
        <w:t>structured of projects on a large scale</w:t>
      </w:r>
    </w:p>
    <w:p w14:paraId="2429F61B" w14:textId="77777777" w:rsidR="006D3AE7" w:rsidRPr="00DE6533" w:rsidRDefault="006D3AE7" w:rsidP="00DA1DC8">
      <w:pPr>
        <w:pStyle w:val="ListParagraph"/>
        <w:numPr>
          <w:ilvl w:val="0"/>
          <w:numId w:val="20"/>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Treasury and foreign exchange services</w:t>
      </w:r>
    </w:p>
    <w:p w14:paraId="78D336C2"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SME Banking:</w:t>
      </w:r>
    </w:p>
    <w:p w14:paraId="59E89F38" w14:textId="77777777" w:rsidR="006D3AE7" w:rsidRPr="00DE6533" w:rsidRDefault="006D3AE7" w:rsidP="00DA1DC8">
      <w:pPr>
        <w:pStyle w:val="ListParagraph"/>
        <w:numPr>
          <w:ilvl w:val="0"/>
          <w:numId w:val="21"/>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Loans products exclusively designed offers for SMEs with simplified</w:t>
      </w:r>
      <w:r w:rsidRPr="00DE6533">
        <w:rPr>
          <w:rFonts w:ascii="Times New Roman" w:hAnsi="Times New Roman"/>
          <w:sz w:val="24"/>
          <w:szCs w:val="24"/>
        </w:rPr>
        <w:t> </w:t>
      </w:r>
      <w:r w:rsidRPr="00DE6533">
        <w:rPr>
          <w:rFonts w:ascii="Times New Roman" w:eastAsiaTheme="minorHAnsi" w:hAnsi="Times New Roman"/>
          <w:sz w:val="24"/>
          <w:szCs w:val="24"/>
        </w:rPr>
        <w:t>documentation</w:t>
      </w:r>
    </w:p>
    <w:p w14:paraId="4C31132A" w14:textId="77777777" w:rsidR="006D3AE7" w:rsidRPr="00DE6533" w:rsidRDefault="006D3AE7" w:rsidP="00DA1DC8">
      <w:pPr>
        <w:pStyle w:val="ListParagraph"/>
        <w:numPr>
          <w:ilvl w:val="0"/>
          <w:numId w:val="21"/>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Working capital financing</w:t>
      </w:r>
    </w:p>
    <w:p w14:paraId="11B91AB6" w14:textId="77777777" w:rsidR="006D3AE7" w:rsidRPr="00DE6533" w:rsidRDefault="006D3AE7" w:rsidP="00DA1DC8">
      <w:pPr>
        <w:pStyle w:val="ListParagraph"/>
        <w:numPr>
          <w:ilvl w:val="0"/>
          <w:numId w:val="21"/>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Trade finance for import-export businesses</w:t>
      </w:r>
    </w:p>
    <w:p w14:paraId="0542738A" w14:textId="77777777" w:rsidR="006D3AE7" w:rsidRPr="00DE6533" w:rsidRDefault="006D3AE7" w:rsidP="00DA1DC8">
      <w:pPr>
        <w:pStyle w:val="ListParagraph"/>
        <w:numPr>
          <w:ilvl w:val="0"/>
          <w:numId w:val="21"/>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Refinancing scheme in</w:t>
      </w:r>
      <w:r w:rsidRPr="00DE6533">
        <w:rPr>
          <w:rFonts w:ascii="Times New Roman" w:hAnsi="Times New Roman"/>
          <w:sz w:val="24"/>
          <w:szCs w:val="24"/>
        </w:rPr>
        <w:t> </w:t>
      </w:r>
      <w:r w:rsidRPr="00DE6533">
        <w:rPr>
          <w:rFonts w:ascii="Times New Roman" w:eastAsiaTheme="minorHAnsi" w:hAnsi="Times New Roman"/>
          <w:sz w:val="24"/>
          <w:szCs w:val="24"/>
        </w:rPr>
        <w:t>cooperation with Bangladesh bank.</w:t>
      </w:r>
    </w:p>
    <w:p w14:paraId="61572A2E" w14:textId="77777777" w:rsidR="006D3AE7" w:rsidRPr="00DE6533" w:rsidRDefault="006D3AE7" w:rsidP="00DA1DC8">
      <w:pPr>
        <w:pStyle w:val="ListParagraph"/>
        <w:numPr>
          <w:ilvl w:val="0"/>
          <w:numId w:val="21"/>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Business advisory and non-financial services</w:t>
      </w:r>
    </w:p>
    <w:p w14:paraId="67FA17A0"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Islamic Banking:</w:t>
      </w:r>
    </w:p>
    <w:p w14:paraId="00694B11" w14:textId="77777777" w:rsidR="006D3AE7" w:rsidRPr="00DE6533" w:rsidRDefault="006D3AE7" w:rsidP="00DA1DC8">
      <w:pPr>
        <w:pStyle w:val="ListParagraph"/>
        <w:numPr>
          <w:ilvl w:val="0"/>
          <w:numId w:val="22"/>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Islamic savings accounts (Mudaraba savings)</w:t>
      </w:r>
    </w:p>
    <w:p w14:paraId="62717AE7" w14:textId="77777777" w:rsidR="006D3AE7" w:rsidRPr="00DE6533" w:rsidRDefault="006D3AE7" w:rsidP="00DA1DC8">
      <w:pPr>
        <w:pStyle w:val="ListParagraph"/>
        <w:numPr>
          <w:ilvl w:val="0"/>
          <w:numId w:val="22"/>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Islamic free notice deposits</w:t>
      </w:r>
    </w:p>
    <w:p w14:paraId="3684E4CF" w14:textId="77777777" w:rsidR="006D3AE7" w:rsidRPr="00DE6533" w:rsidRDefault="006D3AE7" w:rsidP="00DA1DC8">
      <w:pPr>
        <w:pStyle w:val="ListParagraph"/>
        <w:numPr>
          <w:ilvl w:val="0"/>
          <w:numId w:val="22"/>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Deposit pension schemes (Shariah-compliant)</w:t>
      </w:r>
    </w:p>
    <w:p w14:paraId="234AA8DA" w14:textId="77777777" w:rsidR="006D3AE7" w:rsidRPr="00DE6533" w:rsidRDefault="006D3AE7" w:rsidP="00DA1DC8">
      <w:pPr>
        <w:pStyle w:val="ListParagraph"/>
        <w:numPr>
          <w:ilvl w:val="0"/>
          <w:numId w:val="22"/>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Foreign remittance accounts</w:t>
      </w:r>
    </w:p>
    <w:p w14:paraId="023C69E6" w14:textId="77777777" w:rsidR="006D3AE7" w:rsidRPr="00DE6533" w:rsidRDefault="006D3AE7" w:rsidP="00DA1DC8">
      <w:pPr>
        <w:pStyle w:val="ListParagraph"/>
        <w:numPr>
          <w:ilvl w:val="0"/>
          <w:numId w:val="22"/>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Other</w:t>
      </w:r>
      <w:r w:rsidRPr="00DE6533">
        <w:rPr>
          <w:rFonts w:ascii="Times New Roman" w:hAnsi="Times New Roman"/>
          <w:sz w:val="24"/>
          <w:szCs w:val="24"/>
        </w:rPr>
        <w:t> </w:t>
      </w:r>
      <w:r w:rsidRPr="00DE6533">
        <w:rPr>
          <w:rFonts w:ascii="Times New Roman" w:eastAsiaTheme="minorHAnsi" w:hAnsi="Times New Roman"/>
          <w:sz w:val="24"/>
          <w:szCs w:val="24"/>
        </w:rPr>
        <w:t>Islamic financial products and investments</w:t>
      </w:r>
    </w:p>
    <w:p w14:paraId="62B74098"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Offshore Banking:</w:t>
      </w:r>
    </w:p>
    <w:p w14:paraId="2B35EF39" w14:textId="77777777" w:rsidR="006D3AE7" w:rsidRPr="00DE6533" w:rsidRDefault="006D3AE7" w:rsidP="00DE6533">
      <w:p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Dhaka Bank, with its two Offshore Banking Units), offers specialized services mainly to</w:t>
      </w:r>
      <w:r w:rsidRPr="00DE6533">
        <w:rPr>
          <w:rFonts w:ascii="Times New Roman" w:eastAsiaTheme="minorHAnsi" w:hAnsi="Times New Roman"/>
          <w:sz w:val="24"/>
          <w:szCs w:val="24"/>
        </w:rPr>
        <w:t> </w:t>
      </w:r>
      <w:r w:rsidRPr="00DE6533">
        <w:rPr>
          <w:rFonts w:ascii="Times New Roman" w:eastAsiaTheme="minorHAnsi" w:hAnsi="Times New Roman"/>
          <w:sz w:val="24"/>
          <w:szCs w:val="24"/>
        </w:rPr>
        <w:t xml:space="preserve">the export-import community of Bangladesh, particularly those engaged in foreign currency business </w:t>
      </w:r>
      <w:r w:rsidRPr="00DE6533">
        <w:rPr>
          <w:rFonts w:ascii="Times New Roman" w:eastAsiaTheme="minorHAnsi" w:hAnsi="Times New Roman"/>
          <w:sz w:val="24"/>
          <w:szCs w:val="24"/>
        </w:rPr>
        <w:lastRenderedPageBreak/>
        <w:t>or trading. These services facilitate international commerce and</w:t>
      </w:r>
      <w:r w:rsidRPr="00DE6533">
        <w:rPr>
          <w:rFonts w:ascii="Times New Roman" w:eastAsiaTheme="minorHAnsi" w:hAnsi="Times New Roman"/>
          <w:sz w:val="24"/>
          <w:szCs w:val="24"/>
        </w:rPr>
        <w:t> </w:t>
      </w:r>
      <w:r w:rsidRPr="00DE6533">
        <w:rPr>
          <w:rFonts w:ascii="Times New Roman" w:eastAsiaTheme="minorHAnsi" w:hAnsi="Times New Roman"/>
          <w:sz w:val="24"/>
          <w:szCs w:val="24"/>
        </w:rPr>
        <w:t>allow for foreign exchange transactions.</w:t>
      </w:r>
    </w:p>
    <w:p w14:paraId="4F272CAE"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Digital Banking Services:</w:t>
      </w:r>
    </w:p>
    <w:p w14:paraId="2CE9FA49"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Online banking in real-time for</w:t>
      </w:r>
      <w:r w:rsidRPr="00DE6533">
        <w:rPr>
          <w:rFonts w:ascii="Times New Roman" w:hAnsi="Times New Roman"/>
          <w:sz w:val="24"/>
          <w:szCs w:val="24"/>
        </w:rPr>
        <w:t> </w:t>
      </w:r>
      <w:r w:rsidRPr="00DE6533">
        <w:rPr>
          <w:rFonts w:ascii="Times New Roman" w:eastAsiaTheme="minorHAnsi" w:hAnsi="Times New Roman"/>
          <w:sz w:val="24"/>
          <w:szCs w:val="24"/>
        </w:rPr>
        <w:t>all branches</w:t>
      </w:r>
    </w:p>
    <w:p w14:paraId="27338BA7"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Transactional internet</w:t>
      </w:r>
      <w:r w:rsidRPr="00DE6533">
        <w:rPr>
          <w:rFonts w:ascii="Times New Roman" w:hAnsi="Times New Roman"/>
          <w:sz w:val="24"/>
          <w:szCs w:val="24"/>
        </w:rPr>
        <w:t> </w:t>
      </w:r>
      <w:r w:rsidRPr="00DE6533">
        <w:rPr>
          <w:rFonts w:ascii="Times New Roman" w:eastAsiaTheme="minorHAnsi" w:hAnsi="Times New Roman"/>
          <w:sz w:val="24"/>
          <w:szCs w:val="24"/>
        </w:rPr>
        <w:t>banking</w:t>
      </w:r>
    </w:p>
    <w:p w14:paraId="7F8143EE"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Easy access to mobile banking for your</w:t>
      </w:r>
      <w:r w:rsidRPr="00DE6533">
        <w:rPr>
          <w:rFonts w:ascii="Times New Roman" w:hAnsi="Times New Roman"/>
          <w:sz w:val="24"/>
          <w:szCs w:val="24"/>
        </w:rPr>
        <w:t> </w:t>
      </w:r>
      <w:r w:rsidRPr="00DE6533">
        <w:rPr>
          <w:rFonts w:ascii="Times New Roman" w:eastAsiaTheme="minorHAnsi" w:hAnsi="Times New Roman"/>
          <w:sz w:val="24"/>
          <w:szCs w:val="24"/>
        </w:rPr>
        <w:t>convenience</w:t>
      </w:r>
    </w:p>
    <w:p w14:paraId="1D17FF7E"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SMS banking for transaction alerts and</w:t>
      </w:r>
      <w:r w:rsidRPr="00DE6533">
        <w:rPr>
          <w:rFonts w:ascii="Times New Roman" w:hAnsi="Times New Roman"/>
          <w:sz w:val="24"/>
          <w:szCs w:val="24"/>
        </w:rPr>
        <w:t> </w:t>
      </w:r>
      <w:r w:rsidRPr="00DE6533">
        <w:rPr>
          <w:rFonts w:ascii="Times New Roman" w:eastAsiaTheme="minorHAnsi" w:hAnsi="Times New Roman"/>
          <w:sz w:val="24"/>
          <w:szCs w:val="24"/>
        </w:rPr>
        <w:t>account details</w:t>
      </w:r>
    </w:p>
    <w:p w14:paraId="3CB14C55"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Large ATM network (88 ATMs) for 24/7</w:t>
      </w:r>
      <w:r w:rsidRPr="00DE6533">
        <w:rPr>
          <w:rFonts w:ascii="Times New Roman" w:hAnsi="Times New Roman"/>
          <w:sz w:val="24"/>
          <w:szCs w:val="24"/>
        </w:rPr>
        <w:t> </w:t>
      </w:r>
      <w:r w:rsidRPr="00DE6533">
        <w:rPr>
          <w:rFonts w:ascii="Times New Roman" w:eastAsiaTheme="minorHAnsi" w:hAnsi="Times New Roman"/>
          <w:sz w:val="24"/>
          <w:szCs w:val="24"/>
        </w:rPr>
        <w:t>cash withdrawal</w:t>
      </w:r>
    </w:p>
    <w:p w14:paraId="78CA1E42"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11 Automated Deposit Machines (ADM) for easy</w:t>
      </w:r>
      <w:r w:rsidRPr="00DE6533">
        <w:rPr>
          <w:rFonts w:ascii="Times New Roman" w:hAnsi="Times New Roman"/>
          <w:sz w:val="24"/>
          <w:szCs w:val="24"/>
        </w:rPr>
        <w:t> </w:t>
      </w:r>
      <w:r w:rsidRPr="00DE6533">
        <w:rPr>
          <w:rFonts w:ascii="Times New Roman" w:eastAsiaTheme="minorHAnsi" w:hAnsi="Times New Roman"/>
          <w:sz w:val="24"/>
          <w:szCs w:val="24"/>
        </w:rPr>
        <w:t>deposits</w:t>
      </w:r>
    </w:p>
    <w:p w14:paraId="7CF7D1D1" w14:textId="77777777" w:rsidR="006D3AE7" w:rsidRPr="00DE6533" w:rsidRDefault="006D3AE7" w:rsidP="00DA1DC8">
      <w:pPr>
        <w:pStyle w:val="ListParagraph"/>
        <w:numPr>
          <w:ilvl w:val="0"/>
          <w:numId w:val="23"/>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7 Cash Recycling Machines (CRMs)</w:t>
      </w:r>
      <w:r w:rsidRPr="00DE6533">
        <w:rPr>
          <w:rFonts w:ascii="Times New Roman" w:hAnsi="Times New Roman"/>
          <w:sz w:val="24"/>
          <w:szCs w:val="24"/>
        </w:rPr>
        <w:t> </w:t>
      </w:r>
      <w:r w:rsidRPr="00DE6533">
        <w:rPr>
          <w:rFonts w:ascii="Times New Roman" w:eastAsiaTheme="minorHAnsi" w:hAnsi="Times New Roman"/>
          <w:sz w:val="24"/>
          <w:szCs w:val="24"/>
        </w:rPr>
        <w:t>for seamless cash processing</w:t>
      </w:r>
    </w:p>
    <w:p w14:paraId="4A394B44" w14:textId="77777777" w:rsidR="006D3AE7" w:rsidRPr="00DE6533" w:rsidRDefault="006D3AE7" w:rsidP="00DE6533">
      <w:pPr>
        <w:spacing w:line="360" w:lineRule="auto"/>
        <w:jc w:val="both"/>
        <w:rPr>
          <w:rFonts w:ascii="Times New Roman" w:eastAsiaTheme="minorHAnsi" w:hAnsi="Times New Roman"/>
          <w:b/>
          <w:sz w:val="24"/>
          <w:szCs w:val="24"/>
        </w:rPr>
      </w:pPr>
      <w:r w:rsidRPr="00DE6533">
        <w:rPr>
          <w:rFonts w:ascii="Times New Roman" w:eastAsiaTheme="minorHAnsi" w:hAnsi="Times New Roman"/>
          <w:b/>
          <w:sz w:val="24"/>
          <w:szCs w:val="24"/>
        </w:rPr>
        <w:t>Customer Segmentation:</w:t>
      </w:r>
    </w:p>
    <w:p w14:paraId="130951CA" w14:textId="77777777" w:rsidR="006D3AE7" w:rsidRPr="00DE6533" w:rsidRDefault="006D3AE7" w:rsidP="00DA1DC8">
      <w:pPr>
        <w:pStyle w:val="ListParagraph"/>
        <w:numPr>
          <w:ilvl w:val="0"/>
          <w:numId w:val="24"/>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Individual Retail Customers</w:t>
      </w:r>
    </w:p>
    <w:p w14:paraId="67935CF1" w14:textId="77777777" w:rsidR="006D3AE7" w:rsidRPr="00DE6533" w:rsidRDefault="006D3AE7" w:rsidP="00DA1DC8">
      <w:pPr>
        <w:pStyle w:val="ListParagraph"/>
        <w:numPr>
          <w:ilvl w:val="0"/>
          <w:numId w:val="24"/>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 xml:space="preserve">High Net </w:t>
      </w:r>
      <w:r w:rsidR="00DE6533" w:rsidRPr="00DE6533">
        <w:rPr>
          <w:rFonts w:ascii="Times New Roman" w:eastAsiaTheme="minorHAnsi" w:hAnsi="Times New Roman"/>
          <w:sz w:val="24"/>
          <w:szCs w:val="24"/>
        </w:rPr>
        <w:t>worth</w:t>
      </w:r>
      <w:r w:rsidRPr="00DE6533">
        <w:rPr>
          <w:rFonts w:ascii="Times New Roman" w:eastAsiaTheme="minorHAnsi" w:hAnsi="Times New Roman"/>
          <w:sz w:val="24"/>
          <w:szCs w:val="24"/>
        </w:rPr>
        <w:t xml:space="preserve"> Individuals</w:t>
      </w:r>
    </w:p>
    <w:p w14:paraId="1B6169FC" w14:textId="77777777" w:rsidR="006D3AE7" w:rsidRPr="00DE6533" w:rsidRDefault="006D3AE7" w:rsidP="00DA1DC8">
      <w:pPr>
        <w:pStyle w:val="ListParagraph"/>
        <w:numPr>
          <w:ilvl w:val="0"/>
          <w:numId w:val="24"/>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Corporate Clients</w:t>
      </w:r>
    </w:p>
    <w:p w14:paraId="032BB9A0" w14:textId="77777777" w:rsidR="006D3AE7" w:rsidRPr="00DE6533" w:rsidRDefault="006D3AE7" w:rsidP="00DA1DC8">
      <w:pPr>
        <w:pStyle w:val="ListParagraph"/>
        <w:numPr>
          <w:ilvl w:val="0"/>
          <w:numId w:val="24"/>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SMEs</w:t>
      </w:r>
    </w:p>
    <w:p w14:paraId="3F7CD0C5" w14:textId="77777777" w:rsidR="006D3AE7" w:rsidRPr="00DE6533" w:rsidRDefault="006D3AE7" w:rsidP="00DA1DC8">
      <w:pPr>
        <w:pStyle w:val="ListParagraph"/>
        <w:numPr>
          <w:ilvl w:val="0"/>
          <w:numId w:val="24"/>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Export-Oriented Industries</w:t>
      </w:r>
    </w:p>
    <w:p w14:paraId="3261DE66" w14:textId="77777777" w:rsidR="006D3AE7" w:rsidRPr="00DE6533" w:rsidRDefault="006D3AE7" w:rsidP="00DA1DC8">
      <w:pPr>
        <w:pStyle w:val="ListParagraph"/>
        <w:numPr>
          <w:ilvl w:val="0"/>
          <w:numId w:val="24"/>
        </w:num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Financial Institutions</w:t>
      </w:r>
    </w:p>
    <w:p w14:paraId="6F9DCECF" w14:textId="77777777" w:rsidR="006D3AE7" w:rsidRPr="00DE6533" w:rsidRDefault="006D3AE7" w:rsidP="00DE6533">
      <w:pPr>
        <w:spacing w:line="360" w:lineRule="auto"/>
        <w:jc w:val="both"/>
        <w:rPr>
          <w:rFonts w:ascii="Times New Roman" w:eastAsiaTheme="minorHAnsi" w:hAnsi="Times New Roman"/>
          <w:sz w:val="24"/>
          <w:szCs w:val="24"/>
        </w:rPr>
      </w:pPr>
      <w:r w:rsidRPr="00DE6533">
        <w:rPr>
          <w:rFonts w:ascii="Times New Roman" w:eastAsiaTheme="minorHAnsi" w:hAnsi="Times New Roman"/>
          <w:sz w:val="24"/>
          <w:szCs w:val="24"/>
        </w:rPr>
        <w:t>Diversified product-service-customer profile of the bank facilitates</w:t>
      </w:r>
      <w:r w:rsidRPr="00DE6533">
        <w:rPr>
          <w:rFonts w:ascii="Times New Roman" w:eastAsiaTheme="minorHAnsi" w:hAnsi="Times New Roman"/>
          <w:sz w:val="24"/>
          <w:szCs w:val="24"/>
        </w:rPr>
        <w:t> </w:t>
      </w:r>
      <w:r w:rsidRPr="00DE6533">
        <w:rPr>
          <w:rFonts w:ascii="Times New Roman" w:eastAsiaTheme="minorHAnsi" w:hAnsi="Times New Roman"/>
          <w:sz w:val="24"/>
          <w:szCs w:val="24"/>
        </w:rPr>
        <w:t>opportunities in various market segments, with concentration risk being well controlled.</w:t>
      </w:r>
    </w:p>
    <w:p w14:paraId="1413E0A6" w14:textId="77777777" w:rsidR="00530F11" w:rsidRPr="00530F11" w:rsidRDefault="00530F11" w:rsidP="00530F11">
      <w:pPr>
        <w:spacing w:line="360" w:lineRule="auto"/>
        <w:jc w:val="both"/>
        <w:rPr>
          <w:rFonts w:ascii="Times New Roman" w:eastAsiaTheme="minorHAnsi" w:hAnsi="Times New Roman"/>
          <w:sz w:val="24"/>
          <w:szCs w:val="24"/>
        </w:rPr>
      </w:pPr>
    </w:p>
    <w:p w14:paraId="599E071C" w14:textId="77777777" w:rsidR="00530F11" w:rsidRPr="00827A53" w:rsidRDefault="00530F11" w:rsidP="00A42593">
      <w:pPr>
        <w:pStyle w:val="Heading2"/>
        <w:rPr>
          <w:rFonts w:ascii="Times New Roman" w:hAnsi="Times New Roman" w:cs="Times New Roman"/>
          <w:b/>
          <w:sz w:val="24"/>
          <w:szCs w:val="24"/>
        </w:rPr>
      </w:pPr>
      <w:bookmarkStart w:id="28" w:name="_Toc214949020"/>
      <w:r w:rsidRPr="00827A53">
        <w:rPr>
          <w:rFonts w:ascii="Times New Roman" w:hAnsi="Times New Roman" w:cs="Times New Roman"/>
          <w:b/>
          <w:sz w:val="24"/>
          <w:szCs w:val="24"/>
        </w:rPr>
        <w:t>2.1.5 Company Operations/Activity</w:t>
      </w:r>
      <w:bookmarkEnd w:id="28"/>
    </w:p>
    <w:p w14:paraId="1E83AFF7" w14:textId="77777777" w:rsidR="00A42593" w:rsidRPr="00A42593" w:rsidRDefault="00A42593" w:rsidP="00A42593"/>
    <w:p w14:paraId="3D0254B2" w14:textId="77777777" w:rsidR="0038239A" w:rsidRPr="0038239A" w:rsidRDefault="0038239A" w:rsidP="0038239A">
      <w:pPr>
        <w:spacing w:before="100" w:beforeAutospacing="1" w:after="100" w:afterAutospacing="1" w:line="360" w:lineRule="auto"/>
        <w:jc w:val="both"/>
        <w:rPr>
          <w:rFonts w:ascii="Times New Roman" w:eastAsiaTheme="minorHAnsi" w:hAnsi="Times New Roman"/>
          <w:sz w:val="24"/>
          <w:szCs w:val="24"/>
        </w:rPr>
      </w:pPr>
      <w:r w:rsidRPr="0038239A">
        <w:rPr>
          <w:rFonts w:ascii="Times New Roman" w:eastAsiaTheme="minorHAnsi" w:hAnsi="Times New Roman"/>
          <w:sz w:val="24"/>
          <w:szCs w:val="24"/>
        </w:rPr>
        <w:t>The services of Dhaka Bank PLC include conventional banking, Islamic banking and offshore banking and has a reputation for delivering its services most professionally with the help of modern information technology system to ensure maximum value for both the shareholder and clientele, with minimum risk exposure.</w:t>
      </w:r>
    </w:p>
    <w:p w14:paraId="1D7812D3" w14:textId="77777777" w:rsidR="0038239A" w:rsidRPr="00827A53" w:rsidRDefault="0038239A" w:rsidP="00827A53">
      <w:pPr>
        <w:spacing w:before="100" w:beforeAutospacing="1" w:after="100" w:afterAutospacing="1" w:line="360" w:lineRule="auto"/>
        <w:jc w:val="both"/>
        <w:rPr>
          <w:rFonts w:ascii="Times New Roman" w:eastAsiaTheme="minorHAnsi" w:hAnsi="Times New Roman"/>
          <w:b/>
          <w:sz w:val="24"/>
          <w:szCs w:val="24"/>
        </w:rPr>
      </w:pPr>
      <w:r w:rsidRPr="00827A53">
        <w:rPr>
          <w:rFonts w:ascii="Times New Roman" w:eastAsiaTheme="minorHAnsi" w:hAnsi="Times New Roman"/>
          <w:b/>
          <w:sz w:val="24"/>
          <w:szCs w:val="24"/>
        </w:rPr>
        <w:t>Organizational Structure and Business Segments:</w:t>
      </w:r>
    </w:p>
    <w:p w14:paraId="2276DA2F" w14:textId="77777777" w:rsidR="0038239A" w:rsidRPr="0038239A" w:rsidRDefault="0038239A" w:rsidP="00827A53">
      <w:pPr>
        <w:spacing w:before="100" w:beforeAutospacing="1" w:after="100" w:afterAutospacing="1" w:line="360" w:lineRule="auto"/>
        <w:jc w:val="both"/>
        <w:rPr>
          <w:rFonts w:ascii="Times New Roman" w:eastAsiaTheme="minorHAnsi" w:hAnsi="Times New Roman"/>
          <w:sz w:val="24"/>
          <w:szCs w:val="24"/>
        </w:rPr>
      </w:pPr>
      <w:r w:rsidRPr="0038239A">
        <w:rPr>
          <w:rFonts w:ascii="Times New Roman" w:eastAsiaTheme="minorHAnsi" w:hAnsi="Times New Roman"/>
          <w:sz w:val="24"/>
          <w:szCs w:val="24"/>
        </w:rPr>
        <w:lastRenderedPageBreak/>
        <w:t>The bank's operations are divided into five primary business units:</w:t>
      </w:r>
    </w:p>
    <w:p w14:paraId="449CF306" w14:textId="77777777" w:rsidR="0038239A" w:rsidRPr="0038239A" w:rsidRDefault="0038239A" w:rsidP="00DA1DC8">
      <w:pPr>
        <w:numPr>
          <w:ilvl w:val="0"/>
          <w:numId w:val="6"/>
        </w:numPr>
        <w:spacing w:before="100" w:beforeAutospacing="1" w:after="100" w:afterAutospacing="1" w:line="360" w:lineRule="auto"/>
        <w:jc w:val="both"/>
        <w:rPr>
          <w:rFonts w:ascii="Times New Roman" w:eastAsiaTheme="minorHAnsi" w:hAnsi="Times New Roman"/>
          <w:sz w:val="24"/>
          <w:szCs w:val="24"/>
        </w:rPr>
      </w:pPr>
      <w:r w:rsidRPr="00827A53">
        <w:rPr>
          <w:rFonts w:ascii="Times New Roman" w:eastAsiaTheme="minorHAnsi" w:hAnsi="Times New Roman"/>
          <w:b/>
          <w:sz w:val="24"/>
          <w:szCs w:val="24"/>
        </w:rPr>
        <w:t>Retail and Corporate Banking:</w:t>
      </w:r>
      <w:r w:rsidRPr="0038239A">
        <w:rPr>
          <w:rFonts w:ascii="Times New Roman" w:eastAsiaTheme="minorHAnsi" w:hAnsi="Times New Roman"/>
          <w:sz w:val="24"/>
          <w:szCs w:val="24"/>
        </w:rPr>
        <w:t xml:space="preserve"> This segment, which includes retail, corporate, SME (small and medium-sized enterprises) and agribusiness financing, is the bank's largest revenue generator. It manages most advances, loans and deposits.</w:t>
      </w:r>
    </w:p>
    <w:p w14:paraId="5423FEA0" w14:textId="77777777" w:rsidR="0038239A" w:rsidRPr="0038239A" w:rsidRDefault="0038239A" w:rsidP="00DA1DC8">
      <w:pPr>
        <w:numPr>
          <w:ilvl w:val="0"/>
          <w:numId w:val="6"/>
        </w:numPr>
        <w:spacing w:before="100" w:beforeAutospacing="1" w:after="100" w:afterAutospacing="1" w:line="360" w:lineRule="auto"/>
        <w:jc w:val="both"/>
        <w:rPr>
          <w:rFonts w:ascii="Times New Roman" w:eastAsiaTheme="minorHAnsi" w:hAnsi="Times New Roman"/>
          <w:sz w:val="24"/>
          <w:szCs w:val="24"/>
        </w:rPr>
      </w:pPr>
      <w:r w:rsidRPr="00827A53">
        <w:rPr>
          <w:rFonts w:ascii="Times New Roman" w:eastAsiaTheme="minorHAnsi" w:hAnsi="Times New Roman"/>
          <w:b/>
          <w:sz w:val="24"/>
          <w:szCs w:val="24"/>
        </w:rPr>
        <w:t>Shariah Based Banking:</w:t>
      </w:r>
      <w:r w:rsidRPr="0038239A">
        <w:rPr>
          <w:rFonts w:ascii="Times New Roman" w:eastAsiaTheme="minorHAnsi" w:hAnsi="Times New Roman"/>
          <w:sz w:val="24"/>
          <w:szCs w:val="24"/>
        </w:rPr>
        <w:t xml:space="preserve"> With 2 specialized branches, this section provides services under Islamic Shariah based on guidelines from Bangladesh Bank as well guidance of the Sharia Withdrawal Committee.</w:t>
      </w:r>
    </w:p>
    <w:p w14:paraId="03EC2AFA" w14:textId="77777777" w:rsidR="0038239A" w:rsidRPr="0038239A" w:rsidRDefault="0038239A" w:rsidP="00DA1DC8">
      <w:pPr>
        <w:numPr>
          <w:ilvl w:val="0"/>
          <w:numId w:val="6"/>
        </w:numPr>
        <w:spacing w:before="100" w:beforeAutospacing="1" w:after="100" w:afterAutospacing="1" w:line="360" w:lineRule="auto"/>
        <w:jc w:val="both"/>
        <w:rPr>
          <w:rFonts w:ascii="Times New Roman" w:eastAsiaTheme="minorHAnsi" w:hAnsi="Times New Roman"/>
          <w:sz w:val="24"/>
          <w:szCs w:val="24"/>
        </w:rPr>
      </w:pPr>
      <w:r w:rsidRPr="00827A53">
        <w:rPr>
          <w:rFonts w:ascii="Times New Roman" w:eastAsiaTheme="minorHAnsi" w:hAnsi="Times New Roman"/>
          <w:b/>
          <w:sz w:val="24"/>
          <w:szCs w:val="24"/>
        </w:rPr>
        <w:t>Offshore Banking Unit (OBU):</w:t>
      </w:r>
      <w:r w:rsidR="00827A53">
        <w:rPr>
          <w:rFonts w:ascii="Times New Roman" w:eastAsiaTheme="minorHAnsi" w:hAnsi="Times New Roman"/>
          <w:sz w:val="24"/>
          <w:szCs w:val="24"/>
        </w:rPr>
        <w:t xml:space="preserve"> </w:t>
      </w:r>
      <w:r w:rsidRPr="0038239A">
        <w:rPr>
          <w:rFonts w:ascii="Times New Roman" w:eastAsiaTheme="minorHAnsi" w:hAnsi="Times New Roman"/>
          <w:sz w:val="24"/>
          <w:szCs w:val="24"/>
        </w:rPr>
        <w:t>The bank has two offshore banking units that provide financing and foreign exchange, and aid global trade and export-oriented sectors including ready-made-garment industry.</w:t>
      </w:r>
    </w:p>
    <w:p w14:paraId="16396D0C" w14:textId="77777777" w:rsidR="0038239A" w:rsidRPr="0038239A" w:rsidRDefault="0038239A" w:rsidP="00DA1DC8">
      <w:pPr>
        <w:numPr>
          <w:ilvl w:val="0"/>
          <w:numId w:val="6"/>
        </w:numPr>
        <w:spacing w:before="100" w:beforeAutospacing="1" w:after="100" w:afterAutospacing="1" w:line="360" w:lineRule="auto"/>
        <w:jc w:val="both"/>
        <w:rPr>
          <w:rFonts w:ascii="Times New Roman" w:eastAsiaTheme="minorHAnsi" w:hAnsi="Times New Roman"/>
          <w:sz w:val="24"/>
          <w:szCs w:val="24"/>
        </w:rPr>
      </w:pPr>
      <w:r w:rsidRPr="00827A53">
        <w:rPr>
          <w:rFonts w:ascii="Times New Roman" w:eastAsiaTheme="minorHAnsi" w:hAnsi="Times New Roman"/>
          <w:b/>
          <w:sz w:val="24"/>
          <w:szCs w:val="24"/>
        </w:rPr>
        <w:t>Dhaka Bank Securities Limited (DBSL):</w:t>
      </w:r>
      <w:r w:rsidRPr="0038239A">
        <w:rPr>
          <w:rFonts w:ascii="Times New Roman" w:eastAsiaTheme="minorHAnsi" w:hAnsi="Times New Roman"/>
          <w:sz w:val="24"/>
          <w:szCs w:val="24"/>
        </w:rPr>
        <w:t xml:space="preserve"> A subsidiary of the bank is engaged in stock brokerage and operates through six branches, facilitating all forms of securities transactions.</w:t>
      </w:r>
    </w:p>
    <w:p w14:paraId="34192FFD" w14:textId="77777777" w:rsidR="00530F11" w:rsidRPr="00530F11" w:rsidRDefault="0038239A" w:rsidP="00DA1DC8">
      <w:pPr>
        <w:numPr>
          <w:ilvl w:val="0"/>
          <w:numId w:val="6"/>
        </w:numPr>
        <w:spacing w:before="100" w:beforeAutospacing="1" w:after="100" w:afterAutospacing="1" w:line="360" w:lineRule="auto"/>
        <w:jc w:val="both"/>
        <w:rPr>
          <w:rFonts w:ascii="Times New Roman" w:eastAsiaTheme="minorHAnsi" w:hAnsi="Times New Roman"/>
          <w:sz w:val="24"/>
          <w:szCs w:val="24"/>
        </w:rPr>
      </w:pPr>
      <w:r w:rsidRPr="00827A53">
        <w:rPr>
          <w:rFonts w:ascii="Times New Roman" w:eastAsiaTheme="minorHAnsi" w:hAnsi="Times New Roman"/>
          <w:b/>
          <w:sz w:val="24"/>
          <w:szCs w:val="24"/>
        </w:rPr>
        <w:t>Dhaka Bank Investment Limited:</w:t>
      </w:r>
      <w:r w:rsidRPr="0038239A">
        <w:rPr>
          <w:rFonts w:ascii="Times New Roman" w:eastAsiaTheme="minorHAnsi" w:hAnsi="Times New Roman"/>
          <w:sz w:val="24"/>
          <w:szCs w:val="24"/>
        </w:rPr>
        <w:t xml:space="preserve"> The bank will be involved in investment banking soon with the establishment of this subsidiary company for merchant banking.</w:t>
      </w:r>
    </w:p>
    <w:p w14:paraId="4552D374" w14:textId="77777777" w:rsidR="00530F11" w:rsidRPr="00530F11" w:rsidRDefault="00530F11" w:rsidP="00530F11">
      <w:pPr>
        <w:spacing w:before="100" w:beforeAutospacing="1" w:after="100" w:afterAutospacing="1" w:line="240" w:lineRule="auto"/>
        <w:jc w:val="both"/>
        <w:rPr>
          <w:rFonts w:ascii="Times New Roman" w:eastAsia="Times New Roman" w:hAnsi="Times New Roman"/>
          <w:sz w:val="24"/>
          <w:szCs w:val="24"/>
        </w:rPr>
      </w:pPr>
      <w:r w:rsidRPr="00530F11">
        <w:rPr>
          <w:rFonts w:ascii="Times New Roman" w:eastAsia="Times New Roman" w:hAnsi="Times New Roman"/>
          <w:b/>
          <w:bCs/>
          <w:sz w:val="24"/>
          <w:szCs w:val="24"/>
        </w:rPr>
        <w:t>Operational Infrastructure:</w:t>
      </w:r>
    </w:p>
    <w:p w14:paraId="1586DB1D" w14:textId="77777777" w:rsidR="001744CB" w:rsidRPr="001744CB" w:rsidRDefault="001744CB" w:rsidP="001744CB">
      <w:pPr>
        <w:spacing w:before="100" w:beforeAutospacing="1" w:after="100" w:afterAutospacing="1" w:line="360" w:lineRule="auto"/>
        <w:jc w:val="both"/>
        <w:rPr>
          <w:rFonts w:ascii="Times New Roman" w:eastAsia="Times New Roman" w:hAnsi="Times New Roman"/>
          <w:sz w:val="24"/>
          <w:szCs w:val="24"/>
        </w:rPr>
      </w:pPr>
      <w:r w:rsidRPr="001744CB">
        <w:rPr>
          <w:rFonts w:ascii="Times New Roman" w:eastAsia="Times New Roman" w:hAnsi="Times New Roman"/>
          <w:sz w:val="24"/>
          <w:szCs w:val="24"/>
        </w:rPr>
        <w:t>As</w:t>
      </w:r>
      <w:r w:rsidRPr="001744CB">
        <w:rPr>
          <w:rFonts w:ascii="Times New Roman" w:eastAsia="Times New Roman" w:hAnsi="Times New Roman"/>
          <w:sz w:val="24"/>
          <w:szCs w:val="24"/>
        </w:rPr>
        <w:t> </w:t>
      </w:r>
      <w:r w:rsidRPr="001744CB">
        <w:rPr>
          <w:rFonts w:ascii="Times New Roman" w:eastAsia="Times New Roman" w:hAnsi="Times New Roman"/>
          <w:sz w:val="24"/>
          <w:szCs w:val="24"/>
        </w:rPr>
        <w:t>Dhaka Bank's operational infrastructure includes considerable physical and technological presence:</w:t>
      </w:r>
    </w:p>
    <w:p w14:paraId="7190B66F" w14:textId="77777777" w:rsidR="001744CB" w:rsidRPr="00554323" w:rsidRDefault="001744CB" w:rsidP="00DA1DC8">
      <w:pPr>
        <w:pStyle w:val="ListParagraph"/>
        <w:numPr>
          <w:ilvl w:val="0"/>
          <w:numId w:val="25"/>
        </w:numPr>
        <w:spacing w:before="100" w:beforeAutospacing="1" w:after="100" w:afterAutospacing="1" w:line="360" w:lineRule="auto"/>
        <w:jc w:val="both"/>
        <w:rPr>
          <w:rFonts w:ascii="Times New Roman" w:eastAsia="Times New Roman" w:hAnsi="Times New Roman"/>
          <w:sz w:val="24"/>
          <w:szCs w:val="24"/>
        </w:rPr>
      </w:pPr>
      <w:r w:rsidRPr="00554323">
        <w:rPr>
          <w:rFonts w:ascii="Times New Roman" w:eastAsia="Times New Roman" w:hAnsi="Times New Roman"/>
          <w:b/>
          <w:sz w:val="24"/>
          <w:szCs w:val="24"/>
        </w:rPr>
        <w:t>Nationwide Branch Network:</w:t>
      </w:r>
      <w:r w:rsidRPr="00554323">
        <w:rPr>
          <w:rFonts w:ascii="Times New Roman" w:eastAsia="Times New Roman" w:hAnsi="Times New Roman"/>
          <w:sz w:val="24"/>
          <w:szCs w:val="24"/>
        </w:rPr>
        <w:t xml:space="preserve"> 114 branches of the Bank including Islamic Banking branches cover almost all major areas</w:t>
      </w:r>
      <w:r w:rsidRPr="001744CB">
        <w:t> </w:t>
      </w:r>
      <w:r w:rsidR="00554323">
        <w:rPr>
          <w:rFonts w:ascii="Times New Roman" w:eastAsia="Times New Roman" w:hAnsi="Times New Roman"/>
          <w:sz w:val="24"/>
          <w:szCs w:val="24"/>
        </w:rPr>
        <w:t>in Bangladesh</w:t>
      </w:r>
    </w:p>
    <w:p w14:paraId="57B3A46D" w14:textId="77777777" w:rsidR="001744CB" w:rsidRPr="00554323" w:rsidRDefault="001744CB" w:rsidP="00DA1DC8">
      <w:pPr>
        <w:pStyle w:val="ListParagraph"/>
        <w:numPr>
          <w:ilvl w:val="0"/>
          <w:numId w:val="25"/>
        </w:numPr>
        <w:spacing w:before="100" w:beforeAutospacing="1" w:after="100" w:afterAutospacing="1" w:line="360" w:lineRule="auto"/>
        <w:jc w:val="both"/>
        <w:rPr>
          <w:rFonts w:ascii="Times New Roman" w:eastAsia="Times New Roman" w:hAnsi="Times New Roman"/>
          <w:sz w:val="24"/>
          <w:szCs w:val="24"/>
        </w:rPr>
      </w:pPr>
      <w:r w:rsidRPr="00554323">
        <w:rPr>
          <w:rFonts w:ascii="Times New Roman" w:eastAsia="Times New Roman" w:hAnsi="Times New Roman"/>
          <w:b/>
          <w:sz w:val="24"/>
          <w:szCs w:val="24"/>
        </w:rPr>
        <w:t>Sub-Branches:</w:t>
      </w:r>
      <w:r w:rsidRPr="00554323">
        <w:rPr>
          <w:rFonts w:ascii="Times New Roman" w:eastAsia="Times New Roman" w:hAnsi="Times New Roman"/>
          <w:sz w:val="24"/>
          <w:szCs w:val="24"/>
        </w:rPr>
        <w:t xml:space="preserve"> 29 sub-branches reaching out to under banked</w:t>
      </w:r>
      <w:r w:rsidRPr="001744CB">
        <w:t> </w:t>
      </w:r>
      <w:r w:rsidRPr="00554323">
        <w:rPr>
          <w:rFonts w:ascii="Times New Roman" w:eastAsia="Times New Roman" w:hAnsi="Times New Roman"/>
          <w:sz w:val="24"/>
          <w:szCs w:val="24"/>
        </w:rPr>
        <w:t>areas</w:t>
      </w:r>
    </w:p>
    <w:p w14:paraId="21B7DD37" w14:textId="77777777" w:rsidR="001744CB" w:rsidRPr="00554323" w:rsidRDefault="001744CB" w:rsidP="00DA1DC8">
      <w:pPr>
        <w:pStyle w:val="ListParagraph"/>
        <w:numPr>
          <w:ilvl w:val="0"/>
          <w:numId w:val="25"/>
        </w:numPr>
        <w:spacing w:before="100" w:beforeAutospacing="1" w:after="100" w:afterAutospacing="1" w:line="360" w:lineRule="auto"/>
        <w:jc w:val="both"/>
        <w:rPr>
          <w:rFonts w:ascii="Times New Roman" w:eastAsia="Times New Roman" w:hAnsi="Times New Roman"/>
          <w:sz w:val="24"/>
          <w:szCs w:val="24"/>
        </w:rPr>
      </w:pPr>
      <w:r w:rsidRPr="00554323">
        <w:rPr>
          <w:rFonts w:ascii="Times New Roman" w:eastAsia="Times New Roman" w:hAnsi="Times New Roman"/>
          <w:b/>
          <w:sz w:val="24"/>
          <w:szCs w:val="24"/>
        </w:rPr>
        <w:t>SME Service Centers:</w:t>
      </w:r>
      <w:r w:rsidRPr="00554323">
        <w:rPr>
          <w:rFonts w:ascii="Times New Roman" w:eastAsia="Times New Roman" w:hAnsi="Times New Roman"/>
          <w:sz w:val="24"/>
          <w:szCs w:val="24"/>
        </w:rPr>
        <w:t xml:space="preserve"> 3 specialized centers catering to small and</w:t>
      </w:r>
      <w:r w:rsidRPr="001744CB">
        <w:t> </w:t>
      </w:r>
      <w:r w:rsidRPr="00554323">
        <w:rPr>
          <w:rFonts w:ascii="Times New Roman" w:eastAsia="Times New Roman" w:hAnsi="Times New Roman"/>
          <w:sz w:val="24"/>
          <w:szCs w:val="24"/>
        </w:rPr>
        <w:t>medium enterprise banking only</w:t>
      </w:r>
    </w:p>
    <w:p w14:paraId="25AE44E0" w14:textId="77777777" w:rsidR="001744CB" w:rsidRPr="00554323" w:rsidRDefault="001744CB" w:rsidP="00DA1DC8">
      <w:pPr>
        <w:pStyle w:val="ListParagraph"/>
        <w:numPr>
          <w:ilvl w:val="0"/>
          <w:numId w:val="25"/>
        </w:numPr>
        <w:spacing w:before="100" w:beforeAutospacing="1" w:after="100" w:afterAutospacing="1" w:line="360" w:lineRule="auto"/>
        <w:jc w:val="both"/>
        <w:rPr>
          <w:rFonts w:ascii="Times New Roman" w:eastAsia="Times New Roman" w:hAnsi="Times New Roman"/>
          <w:sz w:val="24"/>
          <w:szCs w:val="24"/>
        </w:rPr>
      </w:pPr>
      <w:r w:rsidRPr="00554323">
        <w:rPr>
          <w:rFonts w:ascii="Times New Roman" w:eastAsia="Times New Roman" w:hAnsi="Times New Roman"/>
          <w:b/>
          <w:sz w:val="24"/>
          <w:szCs w:val="24"/>
        </w:rPr>
        <w:t>Automated Teller Machine:</w:t>
      </w:r>
      <w:r w:rsidRPr="00554323">
        <w:rPr>
          <w:rFonts w:ascii="Times New Roman" w:eastAsia="Times New Roman" w:hAnsi="Times New Roman"/>
          <w:sz w:val="24"/>
          <w:szCs w:val="24"/>
        </w:rPr>
        <w:t xml:space="preserve"> 88 ATMs in the region with 24 hour a day, seven</w:t>
      </w:r>
      <w:r w:rsidRPr="001744CB">
        <w:t> </w:t>
      </w:r>
      <w:r w:rsidRPr="00554323">
        <w:rPr>
          <w:rFonts w:ascii="Times New Roman" w:eastAsia="Times New Roman" w:hAnsi="Times New Roman"/>
          <w:sz w:val="24"/>
          <w:szCs w:val="24"/>
        </w:rPr>
        <w:t>days a week access offerings across-the-counter services</w:t>
      </w:r>
    </w:p>
    <w:p w14:paraId="2994FA33" w14:textId="77777777" w:rsidR="001744CB" w:rsidRPr="00554323" w:rsidRDefault="001744CB" w:rsidP="00DA1DC8">
      <w:pPr>
        <w:pStyle w:val="ListParagraph"/>
        <w:numPr>
          <w:ilvl w:val="0"/>
          <w:numId w:val="25"/>
        </w:numPr>
        <w:spacing w:before="100" w:beforeAutospacing="1" w:after="100" w:afterAutospacing="1" w:line="360" w:lineRule="auto"/>
        <w:jc w:val="both"/>
        <w:rPr>
          <w:rFonts w:ascii="Times New Roman" w:eastAsia="Times New Roman" w:hAnsi="Times New Roman"/>
          <w:sz w:val="24"/>
          <w:szCs w:val="24"/>
        </w:rPr>
      </w:pPr>
      <w:r w:rsidRPr="00554323">
        <w:rPr>
          <w:rFonts w:ascii="Times New Roman" w:eastAsia="Times New Roman" w:hAnsi="Times New Roman"/>
          <w:b/>
          <w:sz w:val="24"/>
          <w:szCs w:val="24"/>
        </w:rPr>
        <w:t>ADMs AND CRMs:</w:t>
      </w:r>
      <w:r w:rsidRPr="00554323">
        <w:rPr>
          <w:rFonts w:ascii="Times New Roman" w:eastAsia="Times New Roman" w:hAnsi="Times New Roman"/>
          <w:sz w:val="24"/>
          <w:szCs w:val="24"/>
        </w:rPr>
        <w:t xml:space="preserve"> 11 Automated Deposit Machines and 7 Cash Recycling Machines</w:t>
      </w:r>
      <w:r w:rsidRPr="001744CB">
        <w:t> </w:t>
      </w:r>
      <w:r w:rsidRPr="00554323">
        <w:rPr>
          <w:rFonts w:ascii="Times New Roman" w:eastAsia="Times New Roman" w:hAnsi="Times New Roman"/>
          <w:sz w:val="24"/>
          <w:szCs w:val="24"/>
        </w:rPr>
        <w:t>improving operational efficiency</w:t>
      </w:r>
    </w:p>
    <w:p w14:paraId="534F528A" w14:textId="77777777" w:rsidR="001744CB" w:rsidRPr="00554323" w:rsidRDefault="001744CB" w:rsidP="00DA1DC8">
      <w:pPr>
        <w:pStyle w:val="ListParagraph"/>
        <w:numPr>
          <w:ilvl w:val="0"/>
          <w:numId w:val="25"/>
        </w:numPr>
        <w:spacing w:before="100" w:beforeAutospacing="1" w:after="100" w:afterAutospacing="1" w:line="360" w:lineRule="auto"/>
        <w:jc w:val="both"/>
        <w:rPr>
          <w:rFonts w:ascii="Times New Roman" w:eastAsia="Times New Roman" w:hAnsi="Times New Roman"/>
          <w:sz w:val="24"/>
          <w:szCs w:val="24"/>
        </w:rPr>
      </w:pPr>
      <w:r w:rsidRPr="00554323">
        <w:rPr>
          <w:rFonts w:ascii="Times New Roman" w:eastAsia="Times New Roman" w:hAnsi="Times New Roman"/>
          <w:b/>
          <w:sz w:val="24"/>
          <w:szCs w:val="24"/>
        </w:rPr>
        <w:t>Online Channels:</w:t>
      </w:r>
      <w:r w:rsidRPr="00554323">
        <w:rPr>
          <w:rFonts w:ascii="Times New Roman" w:eastAsia="Times New Roman" w:hAnsi="Times New Roman"/>
          <w:sz w:val="24"/>
          <w:szCs w:val="24"/>
        </w:rPr>
        <w:t xml:space="preserve"> Full suite of internet banking, mobile banking and</w:t>
      </w:r>
      <w:r w:rsidRPr="001744CB">
        <w:t> </w:t>
      </w:r>
      <w:r w:rsidRPr="00554323">
        <w:rPr>
          <w:rFonts w:ascii="Times New Roman" w:eastAsia="Times New Roman" w:hAnsi="Times New Roman"/>
          <w:sz w:val="24"/>
          <w:szCs w:val="24"/>
        </w:rPr>
        <w:t>SMS banking channels</w:t>
      </w:r>
    </w:p>
    <w:p w14:paraId="251E5412"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sz w:val="24"/>
          <w:szCs w:val="24"/>
        </w:rPr>
      </w:pPr>
      <w:r w:rsidRPr="00530F11">
        <w:rPr>
          <w:rFonts w:ascii="Times New Roman" w:eastAsia="Times New Roman" w:hAnsi="Times New Roman"/>
          <w:b/>
          <w:bCs/>
          <w:sz w:val="24"/>
          <w:szCs w:val="24"/>
        </w:rPr>
        <w:lastRenderedPageBreak/>
        <w:t>Core Operational Functions:</w:t>
      </w:r>
    </w:p>
    <w:p w14:paraId="178C0B83" w14:textId="77777777" w:rsidR="00017EEA" w:rsidRPr="000A061F" w:rsidRDefault="00017EEA" w:rsidP="00017EEA">
      <w:pPr>
        <w:pStyle w:val="NormalWeb"/>
        <w:spacing w:line="360" w:lineRule="auto"/>
        <w:jc w:val="both"/>
      </w:pPr>
      <w:r w:rsidRPr="00610DD0">
        <w:rPr>
          <w:b/>
        </w:rPr>
        <w:t>1. Mobilization of Deposit:</w:t>
      </w:r>
      <w:r w:rsidRPr="000A061F">
        <w:t xml:space="preserve"> The deposit strategies of Dhaka Bank focus on competitive interest rates, product innovation and improved service quality to grow its base rapidly and endeavored</w:t>
      </w:r>
      <w:r w:rsidRPr="000A061F">
        <w:t> </w:t>
      </w:r>
      <w:r w:rsidRPr="000A061F">
        <w:t xml:space="preserve">to achieve BDT higher deposits as at March 2018 amounted to Taka 35,477 </w:t>
      </w:r>
      <w:r>
        <w:t>Cr</w:t>
      </w:r>
      <w:r w:rsidRPr="000A061F">
        <w:t>.</w:t>
      </w:r>
    </w:p>
    <w:p w14:paraId="72A25350" w14:textId="77777777" w:rsidR="00017EEA" w:rsidRPr="000A061F" w:rsidRDefault="00017EEA" w:rsidP="00017EEA">
      <w:pPr>
        <w:pStyle w:val="NormalWeb"/>
        <w:spacing w:line="360" w:lineRule="auto"/>
        <w:jc w:val="both"/>
      </w:pPr>
      <w:r w:rsidRPr="00610DD0">
        <w:rPr>
          <w:b/>
        </w:rPr>
        <w:t>2. Credit Operations:</w:t>
      </w:r>
      <w:r w:rsidRPr="000A061F">
        <w:t xml:space="preserve"> Lending operations of the bank are in vari</w:t>
      </w:r>
      <w:r>
        <w:t>ous segments, which include -</w:t>
      </w:r>
    </w:p>
    <w:p w14:paraId="58632324" w14:textId="77777777" w:rsidR="00017EEA" w:rsidRPr="000A061F" w:rsidRDefault="00017EEA" w:rsidP="00DA1DC8">
      <w:pPr>
        <w:pStyle w:val="NormalWeb"/>
        <w:numPr>
          <w:ilvl w:val="0"/>
          <w:numId w:val="26"/>
        </w:numPr>
        <w:spacing w:line="360" w:lineRule="auto"/>
        <w:jc w:val="both"/>
      </w:pPr>
      <w:r w:rsidRPr="000A061F">
        <w:t>Trade finance with a 23.8%</w:t>
      </w:r>
      <w:r w:rsidRPr="000A061F">
        <w:t> </w:t>
      </w:r>
      <w:r w:rsidRPr="000A061F">
        <w:t>share in total loan disbursement</w:t>
      </w:r>
    </w:p>
    <w:p w14:paraId="6E47F850" w14:textId="77777777" w:rsidR="00017EEA" w:rsidRPr="000A061F" w:rsidRDefault="00017EEA" w:rsidP="00DA1DC8">
      <w:pPr>
        <w:pStyle w:val="NormalWeb"/>
        <w:numPr>
          <w:ilvl w:val="0"/>
          <w:numId w:val="26"/>
        </w:numPr>
        <w:spacing w:line="360" w:lineRule="auto"/>
        <w:jc w:val="both"/>
      </w:pPr>
      <w:r w:rsidRPr="000A061F">
        <w:t>Textile and RMG industry (20.1%)</w:t>
      </w:r>
    </w:p>
    <w:p w14:paraId="5A0E05E7" w14:textId="77777777" w:rsidR="00017EEA" w:rsidRPr="000A061F" w:rsidRDefault="00017EEA" w:rsidP="00DA1DC8">
      <w:pPr>
        <w:pStyle w:val="NormalWeb"/>
        <w:numPr>
          <w:ilvl w:val="0"/>
          <w:numId w:val="26"/>
        </w:numPr>
        <w:spacing w:line="360" w:lineRule="auto"/>
        <w:jc w:val="both"/>
      </w:pPr>
      <w:r w:rsidRPr="000A061F">
        <w:t>Construction, real estate, and infrastructure</w:t>
      </w:r>
    </w:p>
    <w:p w14:paraId="67055E09" w14:textId="77777777" w:rsidR="00017EEA" w:rsidRPr="000A061F" w:rsidRDefault="00017EEA" w:rsidP="00DA1DC8">
      <w:pPr>
        <w:pStyle w:val="NormalWeb"/>
        <w:numPr>
          <w:ilvl w:val="0"/>
          <w:numId w:val="26"/>
        </w:numPr>
        <w:spacing w:line="360" w:lineRule="auto"/>
        <w:jc w:val="both"/>
      </w:pPr>
      <w:r w:rsidRPr="000A061F">
        <w:t>Engineering and manufacturing</w:t>
      </w:r>
    </w:p>
    <w:p w14:paraId="53F5676B" w14:textId="77777777" w:rsidR="00017EEA" w:rsidRPr="000A061F" w:rsidRDefault="00017EEA" w:rsidP="00DA1DC8">
      <w:pPr>
        <w:pStyle w:val="NormalWeb"/>
        <w:numPr>
          <w:ilvl w:val="0"/>
          <w:numId w:val="26"/>
        </w:numPr>
        <w:spacing w:line="360" w:lineRule="auto"/>
        <w:jc w:val="both"/>
      </w:pPr>
      <w:r w:rsidRPr="000A061F">
        <w:t>Agriculture and agribusiness</w:t>
      </w:r>
    </w:p>
    <w:p w14:paraId="088D6025" w14:textId="77777777" w:rsidR="00017EEA" w:rsidRPr="000A061F" w:rsidRDefault="00017EEA" w:rsidP="00DA1DC8">
      <w:pPr>
        <w:pStyle w:val="NormalWeb"/>
        <w:numPr>
          <w:ilvl w:val="0"/>
          <w:numId w:val="26"/>
        </w:numPr>
        <w:spacing w:line="360" w:lineRule="auto"/>
        <w:jc w:val="both"/>
      </w:pPr>
      <w:r w:rsidRPr="000A061F">
        <w:t>Power and energy projects</w:t>
      </w:r>
    </w:p>
    <w:p w14:paraId="32AE30FA" w14:textId="77777777" w:rsidR="00017EEA" w:rsidRPr="000A061F" w:rsidRDefault="00017EEA" w:rsidP="00DA1DC8">
      <w:pPr>
        <w:pStyle w:val="NormalWeb"/>
        <w:numPr>
          <w:ilvl w:val="0"/>
          <w:numId w:val="26"/>
        </w:numPr>
        <w:spacing w:line="360" w:lineRule="auto"/>
        <w:jc w:val="both"/>
      </w:pPr>
      <w:r w:rsidRPr="000A061F">
        <w:t>Pharmaceuticals</w:t>
      </w:r>
    </w:p>
    <w:p w14:paraId="5F99AFE0" w14:textId="77777777" w:rsidR="00017EEA" w:rsidRPr="000A061F" w:rsidRDefault="00017EEA" w:rsidP="00017EEA">
      <w:pPr>
        <w:pStyle w:val="NormalWeb"/>
        <w:spacing w:line="360" w:lineRule="auto"/>
        <w:jc w:val="both"/>
      </w:pPr>
      <w:r w:rsidRPr="00610DD0">
        <w:rPr>
          <w:b/>
        </w:rPr>
        <w:t>3. Technology and Digital Operations:</w:t>
      </w:r>
      <w:r w:rsidRPr="000A061F">
        <w:t xml:space="preserve"> The IT team is driving digital transformation to</w:t>
      </w:r>
      <w:r w:rsidRPr="000A061F">
        <w:t> </w:t>
      </w:r>
      <w:r w:rsidRPr="000A061F">
        <w:t>improve customer experience and operational efficiency with mobile banking, online services and process automation. It further ensures</w:t>
      </w:r>
      <w:r w:rsidRPr="000A061F">
        <w:t> </w:t>
      </w:r>
      <w:r w:rsidRPr="000A061F">
        <w:t>real-time banking across the branches.</w:t>
      </w:r>
    </w:p>
    <w:p w14:paraId="25FD020A" w14:textId="77777777" w:rsidR="00017EEA" w:rsidRDefault="00017EEA" w:rsidP="00017EEA">
      <w:pPr>
        <w:pStyle w:val="NormalWeb"/>
        <w:spacing w:line="360" w:lineRule="auto"/>
        <w:jc w:val="both"/>
      </w:pPr>
      <w:r w:rsidRPr="00610DD0">
        <w:rPr>
          <w:b/>
        </w:rPr>
        <w:t>4. Human Resource Management:</w:t>
      </w:r>
      <w:r w:rsidRPr="000A061F">
        <w:t xml:space="preserve"> The current number of Dhaka Bank's</w:t>
      </w:r>
      <w:r w:rsidRPr="000A061F">
        <w:t> </w:t>
      </w:r>
      <w:r w:rsidRPr="000A061F">
        <w:t>employee exceeds 1,979 and is staffed with highly excellent and competent personnel whom are pride, achievements and assets for the bank. Dhaka Bank values its employees so much that focus on continuous skill development prioritize</w:t>
      </w:r>
      <w:r>
        <w:t>s</w:t>
      </w:r>
      <w:r w:rsidRPr="000A061F">
        <w:t xml:space="preserve"> regular training session, career development initiatives as well as frequency performance management programs and training sessions at the Dhaka Bank Training Institute.</w:t>
      </w:r>
    </w:p>
    <w:p w14:paraId="7643EF0E" w14:textId="77777777" w:rsidR="00017EEA" w:rsidRPr="000A061F" w:rsidRDefault="00017EEA" w:rsidP="00017EEA">
      <w:pPr>
        <w:pStyle w:val="NormalWeb"/>
        <w:spacing w:line="360" w:lineRule="auto"/>
        <w:jc w:val="both"/>
      </w:pPr>
      <w:r w:rsidRPr="00610DD0">
        <w:rPr>
          <w:b/>
        </w:rPr>
        <w:t>5. Marketing and Business Development:</w:t>
      </w:r>
      <w:r>
        <w:t xml:space="preserve"> </w:t>
      </w:r>
      <w:r w:rsidRPr="000A061F">
        <w:t>Marketing Division above the lineAmiriya Calendar, Direct Mailer The marketing team communicates this</w:t>
      </w:r>
      <w:r w:rsidRPr="000A061F">
        <w:t> </w:t>
      </w:r>
      <w:r w:rsidRPr="000A061F">
        <w:t>legacy but is driving the brand powerfully on brand growth, customer acquisition, product innovation and market research.</w:t>
      </w:r>
    </w:p>
    <w:p w14:paraId="2736D97C" w14:textId="77777777" w:rsidR="0090648C" w:rsidRDefault="0090648C" w:rsidP="00530F11">
      <w:pPr>
        <w:spacing w:before="100" w:beforeAutospacing="1" w:after="100" w:afterAutospacing="1" w:line="360" w:lineRule="auto"/>
        <w:jc w:val="both"/>
        <w:rPr>
          <w:rFonts w:ascii="Times New Roman" w:eastAsia="Times New Roman" w:hAnsi="Times New Roman"/>
          <w:b/>
          <w:bCs/>
          <w:sz w:val="24"/>
          <w:szCs w:val="24"/>
        </w:rPr>
      </w:pPr>
    </w:p>
    <w:p w14:paraId="7E422503"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sz w:val="24"/>
          <w:szCs w:val="24"/>
        </w:rPr>
      </w:pPr>
      <w:r w:rsidRPr="00530F11">
        <w:rPr>
          <w:rFonts w:ascii="Times New Roman" w:eastAsia="Times New Roman" w:hAnsi="Times New Roman"/>
          <w:b/>
          <w:bCs/>
          <w:sz w:val="24"/>
          <w:szCs w:val="24"/>
        </w:rPr>
        <w:lastRenderedPageBreak/>
        <w:t>Operational Challenges:</w:t>
      </w:r>
    </w:p>
    <w:p w14:paraId="4A92E26B" w14:textId="77777777" w:rsidR="0090648C" w:rsidRPr="0090648C" w:rsidRDefault="0090648C" w:rsidP="0090648C">
      <w:pPr>
        <w:spacing w:before="100" w:beforeAutospacing="1" w:after="100" w:afterAutospacing="1" w:line="360" w:lineRule="auto"/>
        <w:jc w:val="both"/>
        <w:rPr>
          <w:rFonts w:ascii="Times New Roman" w:eastAsia="Times New Roman" w:hAnsi="Times New Roman"/>
          <w:sz w:val="24"/>
          <w:szCs w:val="24"/>
        </w:rPr>
      </w:pPr>
      <w:r w:rsidRPr="0090648C">
        <w:rPr>
          <w:rFonts w:ascii="Times New Roman" w:eastAsia="Times New Roman" w:hAnsi="Times New Roman"/>
          <w:sz w:val="24"/>
          <w:szCs w:val="24"/>
        </w:rPr>
        <w:t>The</w:t>
      </w:r>
      <w:r w:rsidRPr="0090648C">
        <w:rPr>
          <w:rFonts w:ascii="Times New Roman" w:eastAsia="Times New Roman" w:hAnsi="Times New Roman"/>
          <w:sz w:val="24"/>
          <w:szCs w:val="24"/>
        </w:rPr>
        <w:t> </w:t>
      </w:r>
      <w:r w:rsidRPr="0090648C">
        <w:rPr>
          <w:rFonts w:ascii="Times New Roman" w:eastAsia="Times New Roman" w:hAnsi="Times New Roman"/>
          <w:sz w:val="24"/>
          <w:szCs w:val="24"/>
        </w:rPr>
        <w:t>Bank's operations are confronted with various challenges including:</w:t>
      </w:r>
    </w:p>
    <w:p w14:paraId="0005064E" w14:textId="77777777" w:rsidR="0090648C" w:rsidRPr="0090648C" w:rsidRDefault="0090648C" w:rsidP="00DA1DC8">
      <w:pPr>
        <w:pStyle w:val="ListParagraph"/>
        <w:numPr>
          <w:ilvl w:val="0"/>
          <w:numId w:val="27"/>
        </w:numPr>
        <w:spacing w:before="100" w:beforeAutospacing="1" w:after="100" w:afterAutospacing="1" w:line="360" w:lineRule="auto"/>
        <w:jc w:val="both"/>
        <w:rPr>
          <w:rFonts w:ascii="Times New Roman" w:eastAsia="Times New Roman" w:hAnsi="Times New Roman"/>
          <w:sz w:val="24"/>
          <w:szCs w:val="24"/>
        </w:rPr>
      </w:pPr>
      <w:r w:rsidRPr="0090648C">
        <w:rPr>
          <w:rFonts w:ascii="Times New Roman" w:eastAsia="Times New Roman" w:hAnsi="Times New Roman"/>
          <w:sz w:val="24"/>
          <w:szCs w:val="24"/>
        </w:rPr>
        <w:t>Adjusting with high level</w:t>
      </w:r>
      <w:r w:rsidRPr="0090648C">
        <w:rPr>
          <w:rFonts w:ascii="Times New Roman" w:hAnsi="Times New Roman"/>
          <w:sz w:val="24"/>
          <w:szCs w:val="24"/>
        </w:rPr>
        <w:t> </w:t>
      </w:r>
      <w:r w:rsidRPr="0090648C">
        <w:rPr>
          <w:rFonts w:ascii="Times New Roman" w:eastAsia="Times New Roman" w:hAnsi="Times New Roman"/>
          <w:sz w:val="24"/>
          <w:szCs w:val="24"/>
        </w:rPr>
        <w:t>of NPL (BDT 9,514 Cr in 2023)</w:t>
      </w:r>
    </w:p>
    <w:p w14:paraId="5BCF933C" w14:textId="77777777" w:rsidR="0090648C" w:rsidRPr="0090648C" w:rsidRDefault="0090648C" w:rsidP="00DA1DC8">
      <w:pPr>
        <w:pStyle w:val="ListParagraph"/>
        <w:numPr>
          <w:ilvl w:val="0"/>
          <w:numId w:val="27"/>
        </w:numPr>
        <w:spacing w:before="100" w:beforeAutospacing="1" w:after="100" w:afterAutospacing="1" w:line="360" w:lineRule="auto"/>
        <w:jc w:val="both"/>
        <w:rPr>
          <w:rFonts w:ascii="Times New Roman" w:eastAsia="Times New Roman" w:hAnsi="Times New Roman"/>
          <w:sz w:val="24"/>
          <w:szCs w:val="24"/>
        </w:rPr>
      </w:pPr>
      <w:r w:rsidRPr="0090648C">
        <w:rPr>
          <w:rFonts w:ascii="Times New Roman" w:eastAsia="Times New Roman" w:hAnsi="Times New Roman"/>
          <w:sz w:val="24"/>
          <w:szCs w:val="24"/>
        </w:rPr>
        <w:t>Preservative capital ratios in the face of asset quality pressures</w:t>
      </w:r>
    </w:p>
    <w:p w14:paraId="455047C7" w14:textId="77777777" w:rsidR="0090648C" w:rsidRPr="0090648C" w:rsidRDefault="0090648C" w:rsidP="00DA1DC8">
      <w:pPr>
        <w:pStyle w:val="ListParagraph"/>
        <w:numPr>
          <w:ilvl w:val="0"/>
          <w:numId w:val="27"/>
        </w:numPr>
        <w:spacing w:before="100" w:beforeAutospacing="1" w:after="100" w:afterAutospacing="1" w:line="360" w:lineRule="auto"/>
        <w:jc w:val="both"/>
        <w:rPr>
          <w:rFonts w:ascii="Times New Roman" w:eastAsia="Times New Roman" w:hAnsi="Times New Roman"/>
          <w:sz w:val="24"/>
          <w:szCs w:val="24"/>
        </w:rPr>
      </w:pPr>
      <w:r w:rsidRPr="0090648C">
        <w:rPr>
          <w:rFonts w:ascii="Times New Roman" w:eastAsia="Times New Roman" w:hAnsi="Times New Roman"/>
          <w:sz w:val="24"/>
          <w:szCs w:val="24"/>
        </w:rPr>
        <w:t>Operating in a</w:t>
      </w:r>
      <w:r w:rsidRPr="0090648C">
        <w:rPr>
          <w:rFonts w:ascii="Times New Roman" w:hAnsi="Times New Roman"/>
          <w:sz w:val="24"/>
          <w:szCs w:val="24"/>
        </w:rPr>
        <w:t> </w:t>
      </w:r>
      <w:r w:rsidRPr="0090648C">
        <w:rPr>
          <w:rFonts w:ascii="Times New Roman" w:eastAsia="Times New Roman" w:hAnsi="Times New Roman"/>
          <w:sz w:val="24"/>
          <w:szCs w:val="24"/>
        </w:rPr>
        <w:t>heavily banked industry with 61 scheduled banks</w:t>
      </w:r>
    </w:p>
    <w:p w14:paraId="33DE82F9" w14:textId="77777777" w:rsidR="0090648C" w:rsidRPr="0090648C" w:rsidRDefault="0090648C" w:rsidP="00DA1DC8">
      <w:pPr>
        <w:pStyle w:val="ListParagraph"/>
        <w:numPr>
          <w:ilvl w:val="0"/>
          <w:numId w:val="27"/>
        </w:numPr>
        <w:spacing w:before="100" w:beforeAutospacing="1" w:after="100" w:afterAutospacing="1" w:line="360" w:lineRule="auto"/>
        <w:jc w:val="both"/>
        <w:rPr>
          <w:rFonts w:ascii="Times New Roman" w:eastAsia="Times New Roman" w:hAnsi="Times New Roman"/>
          <w:sz w:val="24"/>
          <w:szCs w:val="24"/>
        </w:rPr>
      </w:pPr>
      <w:r w:rsidRPr="0090648C">
        <w:rPr>
          <w:rFonts w:ascii="Times New Roman" w:eastAsia="Times New Roman" w:hAnsi="Times New Roman"/>
          <w:sz w:val="24"/>
          <w:szCs w:val="24"/>
        </w:rPr>
        <w:t>Adapting to</w:t>
      </w:r>
      <w:r w:rsidRPr="0090648C">
        <w:rPr>
          <w:rFonts w:ascii="Times New Roman" w:hAnsi="Times New Roman"/>
          <w:sz w:val="24"/>
          <w:szCs w:val="24"/>
        </w:rPr>
        <w:t> </w:t>
      </w:r>
      <w:r w:rsidRPr="0090648C">
        <w:rPr>
          <w:rFonts w:ascii="Times New Roman" w:eastAsia="Times New Roman" w:hAnsi="Times New Roman"/>
          <w:sz w:val="24"/>
          <w:szCs w:val="24"/>
        </w:rPr>
        <w:t>fast digitalization and fintech competition</w:t>
      </w:r>
    </w:p>
    <w:p w14:paraId="7A535096" w14:textId="77777777" w:rsidR="0090648C" w:rsidRPr="0090648C" w:rsidRDefault="0090648C" w:rsidP="00DA1DC8">
      <w:pPr>
        <w:pStyle w:val="ListParagraph"/>
        <w:numPr>
          <w:ilvl w:val="0"/>
          <w:numId w:val="27"/>
        </w:numPr>
        <w:spacing w:before="100" w:beforeAutospacing="1" w:after="100" w:afterAutospacing="1" w:line="360" w:lineRule="auto"/>
        <w:jc w:val="both"/>
        <w:rPr>
          <w:rFonts w:ascii="Times New Roman" w:eastAsia="Times New Roman" w:hAnsi="Times New Roman"/>
          <w:sz w:val="24"/>
          <w:szCs w:val="24"/>
        </w:rPr>
      </w:pPr>
      <w:r w:rsidRPr="0090648C">
        <w:rPr>
          <w:rFonts w:ascii="Times New Roman" w:eastAsia="Times New Roman" w:hAnsi="Times New Roman"/>
          <w:sz w:val="24"/>
          <w:szCs w:val="24"/>
        </w:rPr>
        <w:t>Addressing cybersecurity and data protection in</w:t>
      </w:r>
      <w:r w:rsidRPr="0090648C">
        <w:rPr>
          <w:rFonts w:ascii="Times New Roman" w:hAnsi="Times New Roman"/>
          <w:sz w:val="24"/>
          <w:szCs w:val="24"/>
        </w:rPr>
        <w:t> </w:t>
      </w:r>
      <w:r w:rsidRPr="0090648C">
        <w:rPr>
          <w:rFonts w:ascii="Times New Roman" w:eastAsia="Times New Roman" w:hAnsi="Times New Roman"/>
          <w:sz w:val="24"/>
          <w:szCs w:val="24"/>
        </w:rPr>
        <w:t>digital operations</w:t>
      </w:r>
    </w:p>
    <w:p w14:paraId="69478B4B"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sz w:val="24"/>
          <w:szCs w:val="24"/>
        </w:rPr>
      </w:pPr>
      <w:r w:rsidRPr="00530F11">
        <w:rPr>
          <w:rFonts w:ascii="Times New Roman" w:eastAsia="Times New Roman" w:hAnsi="Times New Roman"/>
          <w:b/>
          <w:bCs/>
          <w:sz w:val="24"/>
          <w:szCs w:val="24"/>
        </w:rPr>
        <w:t>Recent Operational Initiatives:</w:t>
      </w:r>
    </w:p>
    <w:p w14:paraId="78B79F60" w14:textId="77777777" w:rsidR="000D3CD5" w:rsidRPr="00197D22" w:rsidRDefault="000D3CD5" w:rsidP="00197D22">
      <w:pPr>
        <w:spacing w:line="360" w:lineRule="auto"/>
        <w:jc w:val="both"/>
        <w:rPr>
          <w:rFonts w:ascii="Times New Roman" w:hAnsi="Times New Roman"/>
          <w:sz w:val="24"/>
          <w:szCs w:val="24"/>
        </w:rPr>
      </w:pPr>
      <w:r w:rsidRPr="00197D22">
        <w:rPr>
          <w:rFonts w:ascii="Times New Roman" w:hAnsi="Times New Roman"/>
          <w:sz w:val="24"/>
          <w:szCs w:val="24"/>
        </w:rPr>
        <w:t>Several strategic operational programs</w:t>
      </w:r>
      <w:r w:rsidRPr="00197D22">
        <w:rPr>
          <w:rFonts w:ascii="Times New Roman" w:hAnsi="Times New Roman"/>
          <w:sz w:val="24"/>
          <w:szCs w:val="24"/>
        </w:rPr>
        <w:t> </w:t>
      </w:r>
      <w:r w:rsidRPr="00197D22">
        <w:rPr>
          <w:rFonts w:ascii="Times New Roman" w:hAnsi="Times New Roman"/>
          <w:sz w:val="24"/>
          <w:szCs w:val="24"/>
        </w:rPr>
        <w:t>have been implemented by Dhaka Bank:</w:t>
      </w:r>
    </w:p>
    <w:p w14:paraId="376A0BA1" w14:textId="77777777" w:rsidR="000D3CD5" w:rsidRPr="00197D22" w:rsidRDefault="000D3CD5" w:rsidP="00197D22">
      <w:pPr>
        <w:pStyle w:val="ListParagraph"/>
        <w:numPr>
          <w:ilvl w:val="0"/>
          <w:numId w:val="36"/>
        </w:numPr>
        <w:spacing w:line="360" w:lineRule="auto"/>
        <w:jc w:val="both"/>
        <w:rPr>
          <w:rFonts w:ascii="Times New Roman" w:hAnsi="Times New Roman"/>
          <w:sz w:val="24"/>
          <w:szCs w:val="24"/>
        </w:rPr>
      </w:pPr>
      <w:r w:rsidRPr="00197D22">
        <w:rPr>
          <w:rFonts w:ascii="Times New Roman" w:hAnsi="Times New Roman"/>
          <w:sz w:val="24"/>
          <w:szCs w:val="24"/>
        </w:rPr>
        <w:t>Project financing for infrastructure and industrial mega projects as a syndicated loan arrangement</w:t>
      </w:r>
    </w:p>
    <w:p w14:paraId="7A4CECBC" w14:textId="77777777" w:rsidR="000D3CD5" w:rsidRPr="00197D22" w:rsidRDefault="000D3CD5" w:rsidP="00197D22">
      <w:pPr>
        <w:pStyle w:val="ListParagraph"/>
        <w:numPr>
          <w:ilvl w:val="0"/>
          <w:numId w:val="36"/>
        </w:numPr>
        <w:spacing w:line="360" w:lineRule="auto"/>
        <w:jc w:val="both"/>
        <w:rPr>
          <w:rFonts w:ascii="Times New Roman" w:hAnsi="Times New Roman"/>
          <w:sz w:val="24"/>
          <w:szCs w:val="24"/>
        </w:rPr>
      </w:pPr>
      <w:r w:rsidRPr="00197D22">
        <w:rPr>
          <w:rFonts w:ascii="Times New Roman" w:hAnsi="Times New Roman"/>
          <w:sz w:val="24"/>
          <w:szCs w:val="24"/>
        </w:rPr>
        <w:t>Greater emphasis on SME banking and</w:t>
      </w:r>
      <w:r w:rsidRPr="00197D22">
        <w:t> </w:t>
      </w:r>
      <w:r w:rsidRPr="00197D22">
        <w:rPr>
          <w:rFonts w:ascii="Times New Roman" w:hAnsi="Times New Roman"/>
          <w:sz w:val="24"/>
          <w:szCs w:val="24"/>
        </w:rPr>
        <w:t>financial inclusion</w:t>
      </w:r>
    </w:p>
    <w:p w14:paraId="7422F2E9" w14:textId="77777777" w:rsidR="000D3CD5" w:rsidRPr="00197D22" w:rsidRDefault="000D3CD5" w:rsidP="00197D22">
      <w:pPr>
        <w:pStyle w:val="ListParagraph"/>
        <w:numPr>
          <w:ilvl w:val="0"/>
          <w:numId w:val="36"/>
        </w:numPr>
        <w:spacing w:line="360" w:lineRule="auto"/>
        <w:jc w:val="both"/>
        <w:rPr>
          <w:rFonts w:ascii="Times New Roman" w:hAnsi="Times New Roman"/>
          <w:sz w:val="24"/>
          <w:szCs w:val="24"/>
        </w:rPr>
      </w:pPr>
      <w:r w:rsidRPr="00197D22">
        <w:rPr>
          <w:rFonts w:ascii="Times New Roman" w:hAnsi="Times New Roman"/>
          <w:sz w:val="24"/>
          <w:szCs w:val="24"/>
        </w:rPr>
        <w:t>Expansion of digital banking capabilities</w:t>
      </w:r>
    </w:p>
    <w:p w14:paraId="7BCDD658" w14:textId="77777777" w:rsidR="000D3CD5" w:rsidRPr="00197D22" w:rsidRDefault="000D3CD5" w:rsidP="00197D22">
      <w:pPr>
        <w:pStyle w:val="ListParagraph"/>
        <w:numPr>
          <w:ilvl w:val="0"/>
          <w:numId w:val="36"/>
        </w:numPr>
        <w:spacing w:line="360" w:lineRule="auto"/>
        <w:jc w:val="both"/>
        <w:rPr>
          <w:rFonts w:ascii="Times New Roman" w:hAnsi="Times New Roman"/>
          <w:sz w:val="24"/>
          <w:szCs w:val="24"/>
        </w:rPr>
      </w:pPr>
      <w:r w:rsidRPr="00197D22">
        <w:rPr>
          <w:rFonts w:ascii="Times New Roman" w:hAnsi="Times New Roman"/>
          <w:sz w:val="24"/>
          <w:szCs w:val="24"/>
        </w:rPr>
        <w:t>Strengthening risk management frameworks</w:t>
      </w:r>
    </w:p>
    <w:p w14:paraId="22A4D7FF" w14:textId="77777777" w:rsidR="000D3CD5" w:rsidRPr="00197D22" w:rsidRDefault="000D3CD5" w:rsidP="00197D22">
      <w:pPr>
        <w:pStyle w:val="ListParagraph"/>
        <w:numPr>
          <w:ilvl w:val="0"/>
          <w:numId w:val="36"/>
        </w:numPr>
        <w:spacing w:line="360" w:lineRule="auto"/>
        <w:jc w:val="both"/>
        <w:rPr>
          <w:rFonts w:ascii="Times New Roman" w:hAnsi="Times New Roman"/>
          <w:sz w:val="24"/>
          <w:szCs w:val="24"/>
        </w:rPr>
      </w:pPr>
      <w:r w:rsidRPr="00197D22">
        <w:rPr>
          <w:rFonts w:ascii="Times New Roman" w:hAnsi="Times New Roman"/>
          <w:sz w:val="24"/>
          <w:szCs w:val="24"/>
        </w:rPr>
        <w:t>Assets quality Clear improvements with better Control</w:t>
      </w:r>
      <w:r w:rsidRPr="00197D22">
        <w:t> </w:t>
      </w:r>
      <w:r w:rsidRPr="00197D22">
        <w:rPr>
          <w:rFonts w:ascii="Times New Roman" w:hAnsi="Times New Roman"/>
          <w:sz w:val="24"/>
          <w:szCs w:val="24"/>
        </w:rPr>
        <w:t>and recovery of Credit</w:t>
      </w:r>
    </w:p>
    <w:p w14:paraId="28FF0603" w14:textId="77777777" w:rsidR="000D3CD5" w:rsidRPr="00197D22" w:rsidRDefault="000D3CD5" w:rsidP="00197D22">
      <w:pPr>
        <w:spacing w:line="360" w:lineRule="auto"/>
        <w:jc w:val="both"/>
        <w:rPr>
          <w:rFonts w:ascii="Times New Roman" w:hAnsi="Times New Roman"/>
          <w:sz w:val="24"/>
          <w:szCs w:val="24"/>
        </w:rPr>
      </w:pPr>
      <w:r w:rsidRPr="00197D22">
        <w:rPr>
          <w:rFonts w:ascii="Times New Roman" w:hAnsi="Times New Roman"/>
          <w:sz w:val="24"/>
          <w:szCs w:val="24"/>
        </w:rPr>
        <w:t>In Bangladesh’s evolving financial environment, the</w:t>
      </w:r>
      <w:r w:rsidRPr="00197D22">
        <w:rPr>
          <w:rFonts w:ascii="Times New Roman" w:hAnsi="Times New Roman"/>
          <w:sz w:val="24"/>
          <w:szCs w:val="24"/>
        </w:rPr>
        <w:t> </w:t>
      </w:r>
      <w:r w:rsidRPr="00197D22">
        <w:rPr>
          <w:rFonts w:ascii="Times New Roman" w:hAnsi="Times New Roman"/>
          <w:sz w:val="24"/>
          <w:szCs w:val="24"/>
        </w:rPr>
        <w:t>bank operates to create full banking services while effectively managing risks and compliances.</w:t>
      </w:r>
    </w:p>
    <w:p w14:paraId="5A9679A7" w14:textId="77777777" w:rsidR="005647CE" w:rsidRDefault="005647CE" w:rsidP="00530F11">
      <w:pPr>
        <w:spacing w:before="100" w:beforeAutospacing="1" w:after="100" w:afterAutospacing="1" w:line="240" w:lineRule="auto"/>
        <w:outlineLvl w:val="2"/>
        <w:rPr>
          <w:rFonts w:ascii="Times New Roman" w:eastAsia="Times New Roman" w:hAnsi="Times New Roman"/>
          <w:b/>
          <w:bCs/>
          <w:sz w:val="27"/>
          <w:szCs w:val="27"/>
        </w:rPr>
      </w:pPr>
    </w:p>
    <w:p w14:paraId="59C5F054" w14:textId="77777777" w:rsidR="00530F11" w:rsidRPr="000D3CD5" w:rsidRDefault="00530F11" w:rsidP="00A42593">
      <w:pPr>
        <w:pStyle w:val="Heading2"/>
        <w:rPr>
          <w:rFonts w:ascii="Times New Roman" w:hAnsi="Times New Roman" w:cs="Times New Roman"/>
          <w:b/>
          <w:sz w:val="24"/>
          <w:szCs w:val="24"/>
        </w:rPr>
      </w:pPr>
      <w:bookmarkStart w:id="29" w:name="_Toc214949021"/>
      <w:r w:rsidRPr="000D3CD5">
        <w:rPr>
          <w:rFonts w:ascii="Times New Roman" w:hAnsi="Times New Roman" w:cs="Times New Roman"/>
          <w:b/>
          <w:sz w:val="24"/>
          <w:szCs w:val="24"/>
        </w:rPr>
        <w:t>2.1.6 SWOT Analysis</w:t>
      </w:r>
      <w:bookmarkEnd w:id="29"/>
    </w:p>
    <w:p w14:paraId="19A1BF9A" w14:textId="77777777" w:rsidR="00A42593" w:rsidRPr="00A42593" w:rsidRDefault="00A42593" w:rsidP="00A42593"/>
    <w:p w14:paraId="6D403ECD" w14:textId="77777777" w:rsidR="00BB1572" w:rsidRPr="00BB1572" w:rsidRDefault="00BB1572" w:rsidP="00BB1572">
      <w:p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sz w:val="24"/>
          <w:szCs w:val="24"/>
        </w:rPr>
        <w:t>A comprehensive SWOT (Strengths, Weaknesses, Opportunities</w:t>
      </w:r>
      <w:r w:rsidRPr="00BB1572">
        <w:rPr>
          <w:rFonts w:ascii="Times New Roman" w:eastAsia="Times New Roman" w:hAnsi="Times New Roman"/>
          <w:sz w:val="24"/>
          <w:szCs w:val="24"/>
        </w:rPr>
        <w:t> </w:t>
      </w:r>
      <w:r w:rsidRPr="00BB1572">
        <w:rPr>
          <w:rFonts w:ascii="Times New Roman" w:eastAsia="Times New Roman" w:hAnsi="Times New Roman"/>
          <w:sz w:val="24"/>
          <w:szCs w:val="24"/>
        </w:rPr>
        <w:t>and Threats) analysis of Dhaka Bank PLC helps to understand the strategic position of the business in Bangladesh’s competitive banking industry.</w:t>
      </w:r>
    </w:p>
    <w:p w14:paraId="54B61FBB" w14:textId="77777777" w:rsidR="0009629E" w:rsidRDefault="0009629E" w:rsidP="00BB1572">
      <w:pPr>
        <w:spacing w:before="100" w:beforeAutospacing="1" w:after="100" w:afterAutospacing="1" w:line="360" w:lineRule="auto"/>
        <w:jc w:val="both"/>
        <w:rPr>
          <w:rFonts w:ascii="Times New Roman" w:eastAsia="Times New Roman" w:hAnsi="Times New Roman"/>
          <w:b/>
          <w:sz w:val="24"/>
          <w:szCs w:val="24"/>
        </w:rPr>
      </w:pPr>
    </w:p>
    <w:p w14:paraId="69EC1A14" w14:textId="77777777" w:rsidR="00BB1572" w:rsidRPr="00BB1572" w:rsidRDefault="00BB1572" w:rsidP="00BB1572">
      <w:pPr>
        <w:spacing w:before="100" w:beforeAutospacing="1" w:after="100" w:afterAutospacing="1" w:line="360" w:lineRule="auto"/>
        <w:jc w:val="both"/>
        <w:rPr>
          <w:rFonts w:ascii="Times New Roman" w:eastAsia="Times New Roman" w:hAnsi="Times New Roman"/>
          <w:b/>
          <w:sz w:val="24"/>
          <w:szCs w:val="24"/>
        </w:rPr>
      </w:pPr>
      <w:r w:rsidRPr="00BB1572">
        <w:rPr>
          <w:rFonts w:ascii="Times New Roman" w:eastAsia="Times New Roman" w:hAnsi="Times New Roman"/>
          <w:b/>
          <w:sz w:val="24"/>
          <w:szCs w:val="24"/>
        </w:rPr>
        <w:lastRenderedPageBreak/>
        <w:t>Strengths</w:t>
      </w:r>
    </w:p>
    <w:p w14:paraId="21B1669B" w14:textId="77777777" w:rsidR="00BB1572" w:rsidRPr="00BB1572" w:rsidRDefault="00BB1572" w:rsidP="00DA1DC8">
      <w:pPr>
        <w:pStyle w:val="ListParagraph"/>
        <w:numPr>
          <w:ilvl w:val="0"/>
          <w:numId w:val="29"/>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Presence and</w:t>
      </w:r>
      <w:r w:rsidRPr="00BB1572">
        <w:rPr>
          <w:rFonts w:ascii="Times New Roman" w:hAnsi="Times New Roman"/>
          <w:b/>
          <w:sz w:val="24"/>
          <w:szCs w:val="24"/>
        </w:rPr>
        <w:t> </w:t>
      </w:r>
      <w:r w:rsidRPr="00BB1572">
        <w:rPr>
          <w:rFonts w:ascii="Times New Roman" w:eastAsia="Times New Roman" w:hAnsi="Times New Roman"/>
          <w:b/>
          <w:sz w:val="24"/>
          <w:szCs w:val="24"/>
        </w:rPr>
        <w:t>Brand:</w:t>
      </w:r>
      <w:r w:rsidRPr="00BB1572">
        <w:rPr>
          <w:rFonts w:ascii="Times New Roman" w:eastAsia="Times New Roman" w:hAnsi="Times New Roman"/>
          <w:sz w:val="24"/>
          <w:szCs w:val="24"/>
        </w:rPr>
        <w:t xml:space="preserve"> Dhaka Bank PLC is an established bank in Bangladesh, which has been providing its services since 1995 and enjoys a good brand value.</w:t>
      </w:r>
    </w:p>
    <w:p w14:paraId="2DBA0D05" w14:textId="77777777" w:rsidR="00BB1572" w:rsidRPr="00BB1572" w:rsidRDefault="00BB1572" w:rsidP="00DA1DC8">
      <w:pPr>
        <w:pStyle w:val="ListParagraph"/>
        <w:numPr>
          <w:ilvl w:val="0"/>
          <w:numId w:val="29"/>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Diverse offering spanning the full range of products and services:</w:t>
      </w:r>
      <w:r w:rsidRPr="00BB1572">
        <w:rPr>
          <w:rFonts w:ascii="Times New Roman" w:eastAsia="Times New Roman" w:hAnsi="Times New Roman"/>
          <w:sz w:val="24"/>
          <w:szCs w:val="24"/>
        </w:rPr>
        <w:t xml:space="preserve"> It offers the full suite of banking products with</w:t>
      </w:r>
      <w:r w:rsidRPr="00BB1572">
        <w:rPr>
          <w:rFonts w:ascii="Times New Roman" w:hAnsi="Times New Roman"/>
          <w:sz w:val="24"/>
          <w:szCs w:val="24"/>
        </w:rPr>
        <w:t> </w:t>
      </w:r>
      <w:r w:rsidRPr="00BB1572">
        <w:rPr>
          <w:rFonts w:ascii="Times New Roman" w:eastAsia="Times New Roman" w:hAnsi="Times New Roman"/>
          <w:sz w:val="24"/>
          <w:szCs w:val="24"/>
        </w:rPr>
        <w:t>offerings across corporate banking, retail banking, SME services, Islamic banking, trade finance and digital banking.</w:t>
      </w:r>
    </w:p>
    <w:p w14:paraId="559241F2" w14:textId="77777777" w:rsidR="00BB1572" w:rsidRPr="00BB1572" w:rsidRDefault="00BB1572" w:rsidP="00DA1DC8">
      <w:pPr>
        <w:pStyle w:val="ListParagraph"/>
        <w:numPr>
          <w:ilvl w:val="0"/>
          <w:numId w:val="29"/>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Technology and</w:t>
      </w:r>
      <w:r w:rsidRPr="00BB1572">
        <w:rPr>
          <w:rFonts w:ascii="Times New Roman" w:hAnsi="Times New Roman"/>
          <w:b/>
          <w:sz w:val="24"/>
          <w:szCs w:val="24"/>
        </w:rPr>
        <w:t> </w:t>
      </w:r>
      <w:r w:rsidRPr="00BB1572">
        <w:rPr>
          <w:rFonts w:ascii="Times New Roman" w:eastAsia="Times New Roman" w:hAnsi="Times New Roman"/>
          <w:b/>
          <w:sz w:val="24"/>
          <w:szCs w:val="24"/>
        </w:rPr>
        <w:t>Digital Initiatives:</w:t>
      </w:r>
      <w:r w:rsidRPr="00BB1572">
        <w:rPr>
          <w:rFonts w:ascii="Times New Roman" w:eastAsia="Times New Roman" w:hAnsi="Times New Roman"/>
          <w:sz w:val="24"/>
          <w:szCs w:val="24"/>
        </w:rPr>
        <w:t xml:space="preserve"> The implementation of automation, Internet Banking (IB) transactions through web and mobile applications and the modernization of payment &amp; service platforms have been on top their plans.</w:t>
      </w:r>
    </w:p>
    <w:p w14:paraId="66F8C58A" w14:textId="77777777" w:rsidR="00BB1572" w:rsidRPr="00BB1572" w:rsidRDefault="00BB1572" w:rsidP="00DA1DC8">
      <w:pPr>
        <w:pStyle w:val="ListParagraph"/>
        <w:numPr>
          <w:ilvl w:val="0"/>
          <w:numId w:val="29"/>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Expanding deposit and loan base:</w:t>
      </w:r>
      <w:r w:rsidRPr="00BB1572">
        <w:rPr>
          <w:rFonts w:ascii="Times New Roman" w:eastAsia="Times New Roman" w:hAnsi="Times New Roman"/>
          <w:sz w:val="24"/>
          <w:szCs w:val="24"/>
        </w:rPr>
        <w:t xml:space="preserve"> Recent annual reports show increasing deposits, advances – evidence of</w:t>
      </w:r>
      <w:r w:rsidRPr="00BB1572">
        <w:rPr>
          <w:rFonts w:ascii="Times New Roman" w:hAnsi="Times New Roman"/>
          <w:sz w:val="24"/>
          <w:szCs w:val="24"/>
        </w:rPr>
        <w:t> </w:t>
      </w:r>
      <w:r w:rsidRPr="00BB1572">
        <w:rPr>
          <w:rFonts w:ascii="Times New Roman" w:eastAsia="Times New Roman" w:hAnsi="Times New Roman"/>
          <w:sz w:val="24"/>
          <w:szCs w:val="24"/>
        </w:rPr>
        <w:t>continued operational traction.</w:t>
      </w:r>
    </w:p>
    <w:p w14:paraId="70BF3D29" w14:textId="77777777" w:rsidR="00BB1572" w:rsidRPr="00BB1572" w:rsidRDefault="00BB1572" w:rsidP="00DA1DC8">
      <w:pPr>
        <w:pStyle w:val="ListParagraph"/>
        <w:numPr>
          <w:ilvl w:val="0"/>
          <w:numId w:val="29"/>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Strong organizational culture and employee loyalty:</w:t>
      </w:r>
      <w:r w:rsidRPr="00BB1572">
        <w:rPr>
          <w:rFonts w:ascii="Times New Roman" w:eastAsia="Times New Roman" w:hAnsi="Times New Roman"/>
          <w:sz w:val="24"/>
          <w:szCs w:val="24"/>
        </w:rPr>
        <w:t xml:space="preserve"> A number of internal assessments</w:t>
      </w:r>
      <w:r w:rsidRPr="00BB1572">
        <w:rPr>
          <w:rFonts w:ascii="Times New Roman" w:hAnsi="Times New Roman"/>
          <w:sz w:val="24"/>
          <w:szCs w:val="24"/>
        </w:rPr>
        <w:t> </w:t>
      </w:r>
      <w:r w:rsidRPr="00BB1572">
        <w:rPr>
          <w:rFonts w:ascii="Times New Roman" w:eastAsia="Times New Roman" w:hAnsi="Times New Roman"/>
          <w:sz w:val="24"/>
          <w:szCs w:val="24"/>
        </w:rPr>
        <w:t>have shown high levels of employee involvement, identification with the bank and a strong corporate culture.</w:t>
      </w:r>
    </w:p>
    <w:p w14:paraId="739A3BA9" w14:textId="77777777" w:rsidR="00BB1572" w:rsidRPr="00BB1572" w:rsidRDefault="00BB1572" w:rsidP="00BB1572">
      <w:pPr>
        <w:spacing w:before="100" w:beforeAutospacing="1" w:after="100" w:afterAutospacing="1" w:line="360" w:lineRule="auto"/>
        <w:jc w:val="both"/>
        <w:rPr>
          <w:rFonts w:ascii="Times New Roman" w:eastAsia="Times New Roman" w:hAnsi="Times New Roman"/>
          <w:b/>
          <w:sz w:val="24"/>
          <w:szCs w:val="24"/>
        </w:rPr>
      </w:pPr>
      <w:r w:rsidRPr="00BB1572">
        <w:rPr>
          <w:rFonts w:ascii="Times New Roman" w:eastAsia="Times New Roman" w:hAnsi="Times New Roman"/>
          <w:b/>
          <w:sz w:val="24"/>
          <w:szCs w:val="24"/>
        </w:rPr>
        <w:t>Weaknesses</w:t>
      </w:r>
    </w:p>
    <w:p w14:paraId="7EEFC6A4" w14:textId="77777777" w:rsidR="00BB1572" w:rsidRPr="00BB1572" w:rsidRDefault="00BB1572" w:rsidP="00DA1DC8">
      <w:pPr>
        <w:pStyle w:val="ListParagraph"/>
        <w:numPr>
          <w:ilvl w:val="0"/>
          <w:numId w:val="30"/>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Higher NPLs:</w:t>
      </w:r>
      <w:r w:rsidRPr="00BB1572">
        <w:rPr>
          <w:rFonts w:ascii="Times New Roman" w:eastAsia="Times New Roman" w:hAnsi="Times New Roman"/>
          <w:sz w:val="24"/>
          <w:szCs w:val="24"/>
        </w:rPr>
        <w:t xml:space="preserve"> Recent</w:t>
      </w:r>
      <w:r w:rsidRPr="00BB1572">
        <w:rPr>
          <w:rFonts w:ascii="Times New Roman" w:hAnsi="Times New Roman"/>
          <w:sz w:val="24"/>
          <w:szCs w:val="24"/>
        </w:rPr>
        <w:t> </w:t>
      </w:r>
      <w:r w:rsidRPr="00BB1572">
        <w:rPr>
          <w:rFonts w:ascii="Times New Roman" w:eastAsia="Times New Roman" w:hAnsi="Times New Roman"/>
          <w:sz w:val="24"/>
          <w:szCs w:val="24"/>
        </w:rPr>
        <w:t>reports have seen a sharp jump in the bank's non-performing loans (NPLs) exposure and its classified loan ratio.</w:t>
      </w:r>
    </w:p>
    <w:p w14:paraId="4FA47258" w14:textId="77777777" w:rsidR="00BB1572" w:rsidRPr="00BB1572" w:rsidRDefault="00BB1572" w:rsidP="00DA1DC8">
      <w:pPr>
        <w:pStyle w:val="ListParagraph"/>
        <w:numPr>
          <w:ilvl w:val="0"/>
          <w:numId w:val="30"/>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Signs of relatively</w:t>
      </w:r>
      <w:r w:rsidRPr="00BB1572">
        <w:rPr>
          <w:rFonts w:ascii="Times New Roman" w:hAnsi="Times New Roman"/>
          <w:b/>
          <w:sz w:val="24"/>
          <w:szCs w:val="24"/>
        </w:rPr>
        <w:t> </w:t>
      </w:r>
      <w:r w:rsidRPr="00BB1572">
        <w:rPr>
          <w:rFonts w:ascii="Times New Roman" w:eastAsia="Times New Roman" w:hAnsi="Times New Roman"/>
          <w:b/>
          <w:sz w:val="24"/>
          <w:szCs w:val="24"/>
        </w:rPr>
        <w:t>modest profitability:</w:t>
      </w:r>
      <w:r w:rsidRPr="00BB1572">
        <w:rPr>
          <w:rFonts w:ascii="Times New Roman" w:eastAsia="Times New Roman" w:hAnsi="Times New Roman"/>
          <w:sz w:val="24"/>
          <w:szCs w:val="24"/>
        </w:rPr>
        <w:t xml:space="preserve"> lack of stress in the return on equity (ROE) and return on assets, which have seen reduced ROE recently.</w:t>
      </w:r>
    </w:p>
    <w:p w14:paraId="72C3820B" w14:textId="77777777" w:rsidR="00BB1572" w:rsidRPr="00BB1572" w:rsidRDefault="00BB1572" w:rsidP="00DA1DC8">
      <w:pPr>
        <w:pStyle w:val="ListParagraph"/>
        <w:numPr>
          <w:ilvl w:val="0"/>
          <w:numId w:val="30"/>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Competition inside the banking industry:</w:t>
      </w:r>
      <w:r w:rsidRPr="00BB1572">
        <w:rPr>
          <w:rFonts w:ascii="Times New Roman" w:eastAsia="Times New Roman" w:hAnsi="Times New Roman"/>
          <w:sz w:val="24"/>
          <w:szCs w:val="24"/>
        </w:rPr>
        <w:t xml:space="preserve"> The high number of competitors is a weakness from both internal and external environment as it contains the bank from investing more in providing services and differentiation in order to maintain its</w:t>
      </w:r>
      <w:r w:rsidRPr="00BB1572">
        <w:rPr>
          <w:rFonts w:ascii="Times New Roman" w:hAnsi="Times New Roman"/>
          <w:sz w:val="24"/>
          <w:szCs w:val="24"/>
        </w:rPr>
        <w:t> </w:t>
      </w:r>
      <w:r w:rsidRPr="00BB1572">
        <w:rPr>
          <w:rFonts w:ascii="Times New Roman" w:eastAsia="Times New Roman" w:hAnsi="Times New Roman"/>
          <w:sz w:val="24"/>
          <w:szCs w:val="24"/>
        </w:rPr>
        <w:t>place in the market.</w:t>
      </w:r>
    </w:p>
    <w:p w14:paraId="5160C54C" w14:textId="77777777" w:rsidR="00BB1572" w:rsidRPr="00BB1572" w:rsidRDefault="00BB1572" w:rsidP="00BB1572">
      <w:pPr>
        <w:spacing w:before="100" w:beforeAutospacing="1" w:after="100" w:afterAutospacing="1" w:line="360" w:lineRule="auto"/>
        <w:jc w:val="both"/>
        <w:rPr>
          <w:rFonts w:ascii="Times New Roman" w:eastAsia="Times New Roman" w:hAnsi="Times New Roman"/>
          <w:b/>
          <w:sz w:val="24"/>
          <w:szCs w:val="24"/>
        </w:rPr>
      </w:pPr>
      <w:r w:rsidRPr="00BB1572">
        <w:rPr>
          <w:rFonts w:ascii="Times New Roman" w:eastAsia="Times New Roman" w:hAnsi="Times New Roman"/>
          <w:b/>
          <w:sz w:val="24"/>
          <w:szCs w:val="24"/>
        </w:rPr>
        <w:t>Opportunities</w:t>
      </w:r>
    </w:p>
    <w:p w14:paraId="087DE4A2" w14:textId="77777777" w:rsidR="00BB1572" w:rsidRPr="00BB1572" w:rsidRDefault="00BB1572" w:rsidP="00DA1DC8">
      <w:pPr>
        <w:pStyle w:val="ListParagraph"/>
        <w:numPr>
          <w:ilvl w:val="0"/>
          <w:numId w:val="31"/>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Digitization of banking and integration with FinTech:</w:t>
      </w:r>
      <w:r w:rsidRPr="00BB1572">
        <w:rPr>
          <w:rFonts w:ascii="Times New Roman" w:eastAsia="Times New Roman" w:hAnsi="Times New Roman"/>
          <w:sz w:val="24"/>
          <w:szCs w:val="24"/>
        </w:rPr>
        <w:t xml:space="preserve"> As mobile, internet and digital payment becomes more popular in Bangladesh the bank have an opportunity to tap into wider customer base,</w:t>
      </w:r>
      <w:r w:rsidRPr="00BB1572">
        <w:rPr>
          <w:rFonts w:ascii="Times New Roman" w:hAnsi="Times New Roman"/>
          <w:sz w:val="24"/>
          <w:szCs w:val="24"/>
        </w:rPr>
        <w:t> </w:t>
      </w:r>
      <w:r w:rsidRPr="00BB1572">
        <w:rPr>
          <w:rFonts w:ascii="Times New Roman" w:eastAsia="Times New Roman" w:hAnsi="Times New Roman"/>
          <w:sz w:val="24"/>
          <w:szCs w:val="24"/>
        </w:rPr>
        <w:t>reduce cost and lure younger client.</w:t>
      </w:r>
    </w:p>
    <w:p w14:paraId="60B8BD2B" w14:textId="77777777" w:rsidR="00BB1572" w:rsidRPr="00BB1572" w:rsidRDefault="00BB1572" w:rsidP="00DA1DC8">
      <w:pPr>
        <w:pStyle w:val="ListParagraph"/>
        <w:numPr>
          <w:ilvl w:val="0"/>
          <w:numId w:val="31"/>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lastRenderedPageBreak/>
        <w:t>SME and agriculture finance Growth:</w:t>
      </w:r>
      <w:r w:rsidRPr="00BB1572">
        <w:rPr>
          <w:rFonts w:ascii="Times New Roman" w:eastAsia="Times New Roman" w:hAnsi="Times New Roman"/>
          <w:sz w:val="24"/>
          <w:szCs w:val="24"/>
        </w:rPr>
        <w:t xml:space="preserve"> The bank can increase its loan and services for</w:t>
      </w:r>
      <w:r w:rsidRPr="00BB1572">
        <w:rPr>
          <w:rFonts w:ascii="Times New Roman" w:hAnsi="Times New Roman"/>
          <w:sz w:val="24"/>
          <w:szCs w:val="24"/>
        </w:rPr>
        <w:t> </w:t>
      </w:r>
      <w:r w:rsidRPr="00BB1572">
        <w:rPr>
          <w:rFonts w:ascii="Times New Roman" w:eastAsia="Times New Roman" w:hAnsi="Times New Roman"/>
          <w:sz w:val="24"/>
          <w:szCs w:val="24"/>
        </w:rPr>
        <w:t>SME sector a brighter prospect in Bangladesh Economy as well Agriculture. The bank, for instance, recorded growth in total sum</w:t>
      </w:r>
      <w:r w:rsidRPr="00BB1572">
        <w:rPr>
          <w:rFonts w:ascii="Times New Roman" w:hAnsi="Times New Roman"/>
          <w:sz w:val="24"/>
          <w:szCs w:val="24"/>
        </w:rPr>
        <w:t> </w:t>
      </w:r>
      <w:r w:rsidRPr="00BB1572">
        <w:rPr>
          <w:rFonts w:ascii="Times New Roman" w:eastAsia="Times New Roman" w:hAnsi="Times New Roman"/>
          <w:sz w:val="24"/>
          <w:szCs w:val="24"/>
        </w:rPr>
        <w:t>of loans it gave out to the agricultural sector.</w:t>
      </w:r>
    </w:p>
    <w:p w14:paraId="2A3DFBCE" w14:textId="77777777" w:rsidR="00BB1572" w:rsidRPr="00BB1572" w:rsidRDefault="00BB1572" w:rsidP="00DA1DC8">
      <w:pPr>
        <w:pStyle w:val="ListParagraph"/>
        <w:numPr>
          <w:ilvl w:val="0"/>
          <w:numId w:val="31"/>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Trade and export finance:</w:t>
      </w:r>
      <w:r w:rsidRPr="00BB1572">
        <w:rPr>
          <w:rFonts w:ascii="Times New Roman" w:eastAsia="Times New Roman" w:hAnsi="Times New Roman"/>
          <w:sz w:val="24"/>
          <w:szCs w:val="24"/>
        </w:rPr>
        <w:t xml:space="preserve"> With the expansion of its economy and exports,</w:t>
      </w:r>
      <w:r w:rsidRPr="00BB1572">
        <w:rPr>
          <w:rFonts w:ascii="Times New Roman" w:hAnsi="Times New Roman"/>
          <w:sz w:val="24"/>
          <w:szCs w:val="24"/>
        </w:rPr>
        <w:t> </w:t>
      </w:r>
      <w:r w:rsidRPr="00BB1572">
        <w:rPr>
          <w:rFonts w:ascii="Times New Roman" w:eastAsia="Times New Roman" w:hAnsi="Times New Roman"/>
          <w:sz w:val="24"/>
          <w:szCs w:val="24"/>
        </w:rPr>
        <w:t>demand for import-export services, trade finance, international remittances and offshore banking also increases offering Dhaka Bank opportunities for growth.</w:t>
      </w:r>
    </w:p>
    <w:p w14:paraId="26F1D7DE" w14:textId="77777777" w:rsidR="00BB1572" w:rsidRPr="0009629E" w:rsidRDefault="00BB1572" w:rsidP="00BB1572">
      <w:pPr>
        <w:spacing w:before="100" w:beforeAutospacing="1" w:after="100" w:afterAutospacing="1" w:line="360" w:lineRule="auto"/>
        <w:jc w:val="both"/>
        <w:rPr>
          <w:rFonts w:ascii="Times New Roman" w:eastAsia="Times New Roman" w:hAnsi="Times New Roman"/>
          <w:b/>
          <w:sz w:val="24"/>
          <w:szCs w:val="24"/>
        </w:rPr>
      </w:pPr>
      <w:r w:rsidRPr="0009629E">
        <w:rPr>
          <w:rFonts w:ascii="Times New Roman" w:eastAsia="Times New Roman" w:hAnsi="Times New Roman"/>
          <w:b/>
          <w:sz w:val="24"/>
          <w:szCs w:val="24"/>
        </w:rPr>
        <w:t>Threats</w:t>
      </w:r>
    </w:p>
    <w:p w14:paraId="26F324CF" w14:textId="77777777" w:rsidR="00BB1572" w:rsidRPr="00BB1572" w:rsidRDefault="00BB1572" w:rsidP="00DA1DC8">
      <w:pPr>
        <w:pStyle w:val="ListParagraph"/>
        <w:numPr>
          <w:ilvl w:val="0"/>
          <w:numId w:val="32"/>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Regulatory and compliance risk:</w:t>
      </w:r>
      <w:r w:rsidRPr="00BB1572">
        <w:rPr>
          <w:rFonts w:ascii="Times New Roman" w:eastAsia="Times New Roman" w:hAnsi="Times New Roman"/>
          <w:sz w:val="24"/>
          <w:szCs w:val="24"/>
        </w:rPr>
        <w:t xml:space="preserve"> The banking industry is one</w:t>
      </w:r>
      <w:r w:rsidRPr="00BB1572">
        <w:rPr>
          <w:rFonts w:ascii="Times New Roman" w:hAnsi="Times New Roman"/>
          <w:sz w:val="24"/>
          <w:szCs w:val="24"/>
        </w:rPr>
        <w:t> </w:t>
      </w:r>
      <w:r w:rsidRPr="00BB1572">
        <w:rPr>
          <w:rFonts w:ascii="Times New Roman" w:eastAsia="Times New Roman" w:hAnsi="Times New Roman"/>
          <w:sz w:val="24"/>
          <w:szCs w:val="24"/>
        </w:rPr>
        <w:t>of the most highly regulated industries. Laws and regulations In addition to the coordination efforts of Bangladesh Bank, regulatory changes, reforms or compliance with international standards (like anti-money laundering, capital adequacy) pass on costs in</w:t>
      </w:r>
      <w:r w:rsidRPr="00BB1572">
        <w:rPr>
          <w:rFonts w:ascii="Times New Roman" w:hAnsi="Times New Roman"/>
          <w:sz w:val="24"/>
          <w:szCs w:val="24"/>
        </w:rPr>
        <w:t> </w:t>
      </w:r>
      <w:r w:rsidRPr="00BB1572">
        <w:rPr>
          <w:rFonts w:ascii="Times New Roman" w:eastAsia="Times New Roman" w:hAnsi="Times New Roman"/>
          <w:sz w:val="24"/>
          <w:szCs w:val="24"/>
        </w:rPr>
        <w:t>terms of compliancy risks and also bright up additional operational requirements for them.</w:t>
      </w:r>
    </w:p>
    <w:p w14:paraId="58D7E5C6" w14:textId="77777777" w:rsidR="00BB1572" w:rsidRPr="00BB1572" w:rsidRDefault="00BB1572" w:rsidP="00DA1DC8">
      <w:pPr>
        <w:pStyle w:val="ListParagraph"/>
        <w:numPr>
          <w:ilvl w:val="0"/>
          <w:numId w:val="32"/>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Risk of</w:t>
      </w:r>
      <w:r w:rsidRPr="00BB1572">
        <w:rPr>
          <w:rFonts w:ascii="Times New Roman" w:hAnsi="Times New Roman"/>
          <w:b/>
          <w:sz w:val="24"/>
          <w:szCs w:val="24"/>
        </w:rPr>
        <w:t> </w:t>
      </w:r>
      <w:r w:rsidRPr="00BB1572">
        <w:rPr>
          <w:rFonts w:ascii="Times New Roman" w:eastAsia="Times New Roman" w:hAnsi="Times New Roman"/>
          <w:b/>
          <w:sz w:val="24"/>
          <w:szCs w:val="24"/>
        </w:rPr>
        <w:t>credit deterioration:</w:t>
      </w:r>
      <w:r w:rsidRPr="00BB1572">
        <w:rPr>
          <w:rFonts w:ascii="Times New Roman" w:eastAsia="Times New Roman" w:hAnsi="Times New Roman"/>
          <w:sz w:val="24"/>
          <w:szCs w:val="24"/>
        </w:rPr>
        <w:t xml:space="preserve"> Given that classified loans observed on the rise, there is a risk for loan defaults and / or economic downturns to decrease bank’s assets quality, reputation and capital.</w:t>
      </w:r>
    </w:p>
    <w:p w14:paraId="6D96CF31" w14:textId="77777777" w:rsidR="00BB1572" w:rsidRPr="00BB1572" w:rsidRDefault="00BB1572" w:rsidP="00DA1DC8">
      <w:pPr>
        <w:pStyle w:val="ListParagraph"/>
        <w:numPr>
          <w:ilvl w:val="0"/>
          <w:numId w:val="32"/>
        </w:numPr>
        <w:spacing w:before="100" w:beforeAutospacing="1" w:after="100" w:afterAutospacing="1" w:line="360" w:lineRule="auto"/>
        <w:jc w:val="both"/>
        <w:rPr>
          <w:rFonts w:ascii="Times New Roman" w:eastAsia="Times New Roman" w:hAnsi="Times New Roman"/>
          <w:sz w:val="24"/>
          <w:szCs w:val="24"/>
        </w:rPr>
      </w:pPr>
      <w:r w:rsidRPr="00BB1572">
        <w:rPr>
          <w:rFonts w:ascii="Times New Roman" w:eastAsia="Times New Roman" w:hAnsi="Times New Roman"/>
          <w:b/>
          <w:sz w:val="24"/>
          <w:szCs w:val="24"/>
        </w:rPr>
        <w:t>Technology/cyber risk/operational risk:</w:t>
      </w:r>
      <w:r w:rsidRPr="00BB1572">
        <w:rPr>
          <w:rFonts w:ascii="Times New Roman" w:eastAsia="Times New Roman" w:hAnsi="Times New Roman"/>
          <w:sz w:val="24"/>
          <w:szCs w:val="24"/>
        </w:rPr>
        <w:t xml:space="preserve"> With its expansion in a digital environment, the bank becomes more exposed to cyber-attacks and IT failure; fraud related risks as well as operational related risks that could result in customer detriment, regulatory consequence or financial loss.</w:t>
      </w:r>
    </w:p>
    <w:p w14:paraId="4D978B14" w14:textId="77777777" w:rsidR="00530F11" w:rsidRPr="00530F11" w:rsidRDefault="00530F11" w:rsidP="00530F11">
      <w:pPr>
        <w:spacing w:before="100" w:beforeAutospacing="1" w:after="100" w:afterAutospacing="1" w:line="360" w:lineRule="auto"/>
        <w:jc w:val="both"/>
        <w:rPr>
          <w:rFonts w:ascii="Times New Roman" w:eastAsia="Times New Roman" w:hAnsi="Times New Roman"/>
          <w:b/>
          <w:bCs/>
          <w:sz w:val="24"/>
          <w:szCs w:val="24"/>
        </w:rPr>
      </w:pPr>
    </w:p>
    <w:p w14:paraId="49BF56E8" w14:textId="77777777" w:rsidR="00530F11" w:rsidRPr="00A74E9D" w:rsidRDefault="00530F11" w:rsidP="003D51FB">
      <w:pPr>
        <w:pStyle w:val="Heading1"/>
        <w:jc w:val="left"/>
        <w:rPr>
          <w:rFonts w:ascii="Times New Roman" w:hAnsi="Times New Roman" w:cs="Times New Roman"/>
          <w:sz w:val="28"/>
        </w:rPr>
      </w:pPr>
      <w:bookmarkStart w:id="30" w:name="_Toc214949022"/>
      <w:r w:rsidRPr="00A74E9D">
        <w:rPr>
          <w:rFonts w:ascii="Times New Roman" w:hAnsi="Times New Roman" w:cs="Times New Roman"/>
          <w:sz w:val="28"/>
        </w:rPr>
        <w:t>2.2 Industry Analysis</w:t>
      </w:r>
      <w:bookmarkEnd w:id="30"/>
    </w:p>
    <w:p w14:paraId="4C75D78D" w14:textId="77777777" w:rsidR="00530F11" w:rsidRPr="00A74E9D" w:rsidRDefault="00530F11" w:rsidP="003D51FB">
      <w:pPr>
        <w:pStyle w:val="Heading2"/>
        <w:rPr>
          <w:rFonts w:ascii="Times New Roman" w:hAnsi="Times New Roman" w:cs="Times New Roman"/>
          <w:b/>
          <w:sz w:val="24"/>
          <w:szCs w:val="24"/>
        </w:rPr>
      </w:pPr>
      <w:bookmarkStart w:id="31" w:name="_Toc214949023"/>
      <w:r w:rsidRPr="00A74E9D">
        <w:rPr>
          <w:rFonts w:ascii="Times New Roman" w:hAnsi="Times New Roman" w:cs="Times New Roman"/>
          <w:b/>
          <w:sz w:val="24"/>
          <w:szCs w:val="24"/>
        </w:rPr>
        <w:t>2.2.1 Specification of the Industry</w:t>
      </w:r>
      <w:bookmarkEnd w:id="31"/>
    </w:p>
    <w:p w14:paraId="5FDB0AD2"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The target industry is commercial banking sector in Bangladesh, namely financial institutions providing deposit taking, lending, trade finance, and treasury and related banking services. Key features of the industry include:</w:t>
      </w:r>
    </w:p>
    <w:p w14:paraId="713B08E1"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lastRenderedPageBreak/>
        <w:t>They serve as intermediary financial institutions by accepting deposits from individuals and institutions and granting loans/advances to individuals, firms and governments.</w:t>
      </w:r>
    </w:p>
    <w:p w14:paraId="00D0A3D7"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It engages in off-balance-sheet activities, trade finance, foreign exchange, remittance services, small and medium enterprise banking; retail banking; corporate banking; digital banking; and Islamic banking windows. For instance, Dhaka Bank operates with conventional and Islamic banking wings.</w:t>
      </w:r>
    </w:p>
    <w:p w14:paraId="5F2A2B92"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The industry is regulated by the central bank, Bangladesh Bank, and they issue licenses, set regulations related to capital adequacy standard (CAS), risk management policy, non-performing loan (NPL) classification system and statutory reserves etc. This suggests that commercial banking is the most regulated sector of all financial services.</w:t>
      </w:r>
    </w:p>
    <w:p w14:paraId="6FD67048"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Nationwide coverage available, including branch network, ATMs, E-banking (Internet and Mobile), OBU and international correspondence. Branches, sub-branches, SME service centers, ATMs, ADMs and OBUs Dhaka Bank has.</w:t>
      </w:r>
    </w:p>
    <w:p w14:paraId="109E6335" w14:textId="77777777" w:rsid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The commercial banking sector is systemic in significance because banks are universally needed for the economy and financial system that, if failed or there are difficulties of large-scale default of loans, may cause influence on the public confidence, the stability of finance and economic development.</w:t>
      </w:r>
    </w:p>
    <w:p w14:paraId="2750B535" w14:textId="77777777" w:rsidR="00A74E9D" w:rsidRPr="00A74E9D" w:rsidRDefault="00A74E9D" w:rsidP="00A74E9D">
      <w:pPr>
        <w:pStyle w:val="Heading2"/>
        <w:rPr>
          <w:rFonts w:ascii="Times New Roman" w:hAnsi="Times New Roman" w:cs="Times New Roman"/>
          <w:b/>
          <w:sz w:val="24"/>
          <w:szCs w:val="24"/>
        </w:rPr>
      </w:pPr>
      <w:bookmarkStart w:id="32" w:name="_Toc214949024"/>
      <w:r>
        <w:rPr>
          <w:rFonts w:ascii="Times New Roman" w:hAnsi="Times New Roman" w:cs="Times New Roman"/>
          <w:b/>
          <w:sz w:val="24"/>
          <w:szCs w:val="24"/>
        </w:rPr>
        <w:t>2.2.2 The Size, Trend and Maturity of the I</w:t>
      </w:r>
      <w:r w:rsidRPr="00A74E9D">
        <w:rPr>
          <w:rFonts w:ascii="Times New Roman" w:hAnsi="Times New Roman" w:cs="Times New Roman"/>
          <w:b/>
          <w:sz w:val="24"/>
          <w:szCs w:val="24"/>
        </w:rPr>
        <w:t>ndustry</w:t>
      </w:r>
      <w:bookmarkEnd w:id="32"/>
    </w:p>
    <w:p w14:paraId="5E447AA2"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t>Size:</w:t>
      </w:r>
    </w:p>
    <w:p w14:paraId="04218487"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Another report states the total assets of the banking sector in 2024 exceeded US $180 billion, or about 3.5% of Bangladesh's GDP.</w:t>
      </w:r>
    </w:p>
    <w:p w14:paraId="14E5E332"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Till 2016, the assets of listed banks in the banking business grew at a compounded annual growth rate (CAGR) of nearly 12 per cent: for example, the sum total asset size of listed banks in FY2016 was TK13, 714 billion.</w:t>
      </w:r>
    </w:p>
    <w:p w14:paraId="5249B8D3"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Bad loans (NPLs) remain a major issue. For example, the banking sector’s NPL to total credit ratio was around 10.3% at FY2021E, where we have included listed banks that held over 72.0% of this TK1, 032 billion figures.</w:t>
      </w:r>
    </w:p>
    <w:p w14:paraId="71445150"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lastRenderedPageBreak/>
        <w:t>Market concentration has declined and the top five banks’ asset share of industry, for instance, was 35.23 percent in 2021 (according to one analysis), thereby suggesting that there is more competition and greater diversity.</w:t>
      </w:r>
    </w:p>
    <w:p w14:paraId="64F06205"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t>Trend:</w:t>
      </w:r>
    </w:p>
    <w:p w14:paraId="74ED52AC"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The field has been moving towards advanced risk management technology, digital banking, SME finance and Islamic banking as well as greater financial inclusion. For example, commercial banks are looking to invest in digital nanolending and predictive analytics, among other innovations, Recent PwC industry forecast cites.</w:t>
      </w:r>
    </w:p>
    <w:p w14:paraId="4F899029"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Even though the banks had been growing strong in better days, the health of banking industry was under pressure; problems such as loan default, weak governance, inadequate risk management and regulatory forbearance were cited to be major concerns.</w:t>
      </w:r>
    </w:p>
    <w:p w14:paraId="6B6C6283"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The central bank and the supervisors are emphasizing better governance, greater capital requirements, risk-based supervision and a sounder digital infrastructure in the ongoing stream of regulatory changes.</w:t>
      </w:r>
    </w:p>
    <w:p w14:paraId="380C31D4"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t>Maturity:</w:t>
      </w:r>
    </w:p>
    <w:p w14:paraId="46E05DC5"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Bangladesh’s commercial-banking sector isn’t at an early stage; rather, it has already matured. We have had private commercial banks for many years. Dhaka Bank, for instance, was established in 1995 and started banking a few months later, in July.</w:t>
      </w:r>
    </w:p>
    <w:p w14:paraId="287A1A8C"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Double-digit asset growth rates and the industry's move towards digital, SME and Islamic banking suggests that there is still plenty of room to grow, although intensified competition and regulatory hurdles suggest a shift from rapid to more steady expansion.</w:t>
      </w:r>
    </w:p>
    <w:p w14:paraId="6F592760"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A relatively high number of banks (although not too high, because the structure is changing; competition that is—rising while concentration has been falling) and a new pattern in risk practices all support that fact that while beyond initial entry there’s still room for growth—it looks like “maturing” as a classification makes sense.</w:t>
      </w:r>
    </w:p>
    <w:p w14:paraId="4A4888C2" w14:textId="77777777" w:rsidR="00A74E9D" w:rsidRDefault="00A74E9D" w:rsidP="00A74E9D">
      <w:pPr>
        <w:spacing w:before="100" w:beforeAutospacing="1" w:after="100" w:afterAutospacing="1" w:line="360" w:lineRule="auto"/>
        <w:jc w:val="both"/>
        <w:rPr>
          <w:rFonts w:ascii="Times New Roman" w:eastAsia="Times New Roman" w:hAnsi="Times New Roman"/>
          <w:color w:val="000000" w:themeColor="text1"/>
          <w:sz w:val="24"/>
          <w:szCs w:val="24"/>
        </w:rPr>
      </w:pPr>
    </w:p>
    <w:p w14:paraId="5BB3501E" w14:textId="77777777" w:rsidR="00A74E9D" w:rsidRDefault="00A74E9D" w:rsidP="00A74E9D">
      <w:pPr>
        <w:spacing w:before="100" w:beforeAutospacing="1" w:after="100" w:afterAutospacing="1" w:line="360" w:lineRule="auto"/>
        <w:jc w:val="both"/>
        <w:rPr>
          <w:rFonts w:ascii="Times New Roman" w:eastAsia="Times New Roman" w:hAnsi="Times New Roman"/>
          <w:color w:val="000000" w:themeColor="text1"/>
          <w:sz w:val="24"/>
          <w:szCs w:val="24"/>
        </w:rPr>
      </w:pPr>
    </w:p>
    <w:p w14:paraId="09158058" w14:textId="77777777" w:rsidR="00A74E9D" w:rsidRPr="00A74E9D" w:rsidRDefault="00A74E9D" w:rsidP="00A74E9D">
      <w:pPr>
        <w:pStyle w:val="Heading2"/>
        <w:rPr>
          <w:rFonts w:ascii="Times New Roman" w:hAnsi="Times New Roman" w:cs="Times New Roman"/>
          <w:b/>
          <w:sz w:val="24"/>
          <w:szCs w:val="24"/>
        </w:rPr>
      </w:pPr>
      <w:bookmarkStart w:id="33" w:name="_Toc214949025"/>
      <w:r w:rsidRPr="00A74E9D">
        <w:rPr>
          <w:rFonts w:ascii="Times New Roman" w:hAnsi="Times New Roman" w:cs="Times New Roman"/>
          <w:b/>
          <w:sz w:val="24"/>
          <w:szCs w:val="24"/>
        </w:rPr>
        <w:lastRenderedPageBreak/>
        <w:t>2.2.3 Industry SWOT Analysis</w:t>
      </w:r>
      <w:bookmarkEnd w:id="33"/>
    </w:p>
    <w:p w14:paraId="18E96399"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color w:val="000000" w:themeColor="text1"/>
          <w:sz w:val="24"/>
          <w:szCs w:val="24"/>
        </w:rPr>
        <w:t>The commercial banking industry of Bangladesh can be illuminated through a SWOT analysis in terms of its strengths, weaknesses, opportunities and threats.</w:t>
      </w:r>
    </w:p>
    <w:p w14:paraId="4C9E9DD4"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t>Strengths:</w:t>
      </w:r>
    </w:p>
    <w:p w14:paraId="7C199F29"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b/>
          <w:color w:val="000000" w:themeColor="text1"/>
          <w:sz w:val="24"/>
          <w:szCs w:val="24"/>
        </w:rPr>
        <w:t>Regulatory Boost:</w:t>
      </w:r>
      <w:r w:rsidRPr="00A74E9D">
        <w:rPr>
          <w:rFonts w:ascii="Times New Roman" w:eastAsia="Times New Roman" w:hAnsi="Times New Roman"/>
          <w:color w:val="000000" w:themeColor="text1"/>
          <w:sz w:val="24"/>
          <w:szCs w:val="24"/>
        </w:rPr>
        <w:t xml:space="preserve"> Bangladesh Bank’s regulatory system ensures the predictability for strong and Resource-efficient operations of a player in this sector.</w:t>
      </w:r>
    </w:p>
    <w:p w14:paraId="7DFBDD3B"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b/>
          <w:color w:val="000000" w:themeColor="text1"/>
          <w:sz w:val="24"/>
          <w:szCs w:val="24"/>
        </w:rPr>
        <w:t>Existing Market Players:</w:t>
      </w:r>
      <w:r w:rsidRPr="00A74E9D">
        <w:rPr>
          <w:rFonts w:ascii="Times New Roman" w:eastAsia="Times New Roman" w:hAnsi="Times New Roman"/>
          <w:color w:val="000000" w:themeColor="text1"/>
          <w:sz w:val="24"/>
          <w:szCs w:val="24"/>
        </w:rPr>
        <w:t xml:space="preserve"> Key companies having largest distribution networks and good brand image are Dhaka Bank PLC.</w:t>
      </w:r>
    </w:p>
    <w:p w14:paraId="42630BA8"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b/>
          <w:color w:val="000000" w:themeColor="text1"/>
          <w:sz w:val="24"/>
          <w:szCs w:val="24"/>
        </w:rPr>
        <w:t>Growth Economy:</w:t>
      </w:r>
      <w:r w:rsidRPr="00A74E9D">
        <w:rPr>
          <w:rFonts w:ascii="Times New Roman" w:eastAsia="Times New Roman" w:hAnsi="Times New Roman"/>
          <w:color w:val="000000" w:themeColor="text1"/>
          <w:sz w:val="24"/>
          <w:szCs w:val="24"/>
        </w:rPr>
        <w:t xml:space="preserve"> Bangladesh’s economy is growing rapidly, through industrialization and urbanization that provide commercial banks with more customers.</w:t>
      </w:r>
    </w:p>
    <w:p w14:paraId="6CC3032C"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t>Weaknesses:</w:t>
      </w:r>
    </w:p>
    <w:p w14:paraId="105D9258"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A74E9D">
        <w:rPr>
          <w:rFonts w:ascii="Times New Roman" w:eastAsia="Times New Roman" w:hAnsi="Times New Roman"/>
          <w:b/>
          <w:color w:val="000000" w:themeColor="text1"/>
          <w:sz w:val="24"/>
          <w:szCs w:val="24"/>
        </w:rPr>
        <w:t>NPLs:</w:t>
      </w:r>
      <w:r w:rsidRPr="00A74E9D">
        <w:rPr>
          <w:rFonts w:ascii="Times New Roman" w:eastAsia="Times New Roman" w:hAnsi="Times New Roman"/>
          <w:color w:val="000000" w:themeColor="text1"/>
          <w:sz w:val="24"/>
          <w:szCs w:val="24"/>
        </w:rPr>
        <w:t xml:space="preserve"> High level of NPLs has been the issue of the day, which is related with liquidity and profitability concerns for banks.</w:t>
      </w:r>
    </w:p>
    <w:p w14:paraId="70C3E80C"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Excessive Dependence on Traditional Banking:</w:t>
      </w:r>
      <w:r w:rsidRPr="00A74E9D">
        <w:rPr>
          <w:rFonts w:ascii="Times New Roman" w:eastAsia="Times New Roman" w:hAnsi="Times New Roman"/>
          <w:color w:val="000000" w:themeColor="text1"/>
          <w:sz w:val="24"/>
          <w:szCs w:val="24"/>
        </w:rPr>
        <w:t xml:space="preserve"> Slovenian banks have not kept pace with their global competitors along digitalization and still is highly depended on traditional methods of banking.</w:t>
      </w:r>
    </w:p>
    <w:p w14:paraId="26AA0966"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Capital Adequacy:</w:t>
      </w:r>
      <w:r w:rsidRPr="00A74E9D">
        <w:rPr>
          <w:rFonts w:ascii="Times New Roman" w:eastAsia="Times New Roman" w:hAnsi="Times New Roman"/>
          <w:color w:val="000000" w:themeColor="text1"/>
          <w:sz w:val="24"/>
          <w:szCs w:val="24"/>
        </w:rPr>
        <w:t xml:space="preserve"> Some banks have difficulty maintaining high enough capital adequacy ratios, which could leave them more vulnerable to financial crises.</w:t>
      </w:r>
    </w:p>
    <w:p w14:paraId="64375D67"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t>Opportunities:</w:t>
      </w:r>
    </w:p>
    <w:p w14:paraId="3B071FF8"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Digital Banking:</w:t>
      </w:r>
      <w:r w:rsidRPr="00A74E9D">
        <w:rPr>
          <w:rFonts w:ascii="Times New Roman" w:eastAsia="Times New Roman" w:hAnsi="Times New Roman"/>
          <w:color w:val="000000" w:themeColor="text1"/>
          <w:sz w:val="24"/>
          <w:szCs w:val="24"/>
        </w:rPr>
        <w:t xml:space="preserve"> Banks are presented with an excellent opportunity to expand their digital banking services through the increasing adoption of smartphones and internet.</w:t>
      </w:r>
    </w:p>
    <w:p w14:paraId="1B6247FC"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Financial Inclusion:</w:t>
      </w:r>
      <w:r w:rsidRPr="00A74E9D">
        <w:rPr>
          <w:rFonts w:ascii="Times New Roman" w:eastAsia="Times New Roman" w:hAnsi="Times New Roman"/>
          <w:color w:val="000000" w:themeColor="text1"/>
          <w:sz w:val="24"/>
          <w:szCs w:val="24"/>
        </w:rPr>
        <w:t xml:space="preserve"> A substantial portion of the people continue to be excluded from formal banking, which presents opportunity for expansion via agent and mobile banking.</w:t>
      </w:r>
    </w:p>
    <w:p w14:paraId="24704EB0"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Green Finance:</w:t>
      </w:r>
      <w:r w:rsidRPr="00A74E9D">
        <w:rPr>
          <w:rFonts w:ascii="Times New Roman" w:eastAsia="Times New Roman" w:hAnsi="Times New Roman"/>
          <w:color w:val="000000" w:themeColor="text1"/>
          <w:sz w:val="24"/>
          <w:szCs w:val="24"/>
        </w:rPr>
        <w:t xml:space="preserve"> As sustainability becomes increasingly important, banks have an opportunity to expand their offerings in this space and support environmentally friendly investments and projects.</w:t>
      </w:r>
    </w:p>
    <w:p w14:paraId="03877C00" w14:textId="77777777" w:rsidR="00A74E9D" w:rsidRPr="00A74E9D" w:rsidRDefault="00A74E9D" w:rsidP="00A74E9D">
      <w:pPr>
        <w:spacing w:before="100" w:beforeAutospacing="1" w:after="100" w:afterAutospacing="1" w:line="360" w:lineRule="auto"/>
        <w:jc w:val="both"/>
        <w:rPr>
          <w:rFonts w:ascii="Times New Roman" w:eastAsia="Times New Roman" w:hAnsi="Times New Roman"/>
          <w:b/>
          <w:color w:val="000000" w:themeColor="text1"/>
          <w:sz w:val="24"/>
          <w:szCs w:val="24"/>
        </w:rPr>
      </w:pPr>
      <w:r w:rsidRPr="00A74E9D">
        <w:rPr>
          <w:rFonts w:ascii="Times New Roman" w:eastAsia="Times New Roman" w:hAnsi="Times New Roman"/>
          <w:b/>
          <w:color w:val="000000" w:themeColor="text1"/>
          <w:sz w:val="24"/>
          <w:szCs w:val="24"/>
        </w:rPr>
        <w:lastRenderedPageBreak/>
        <w:t>Threats:</w:t>
      </w:r>
    </w:p>
    <w:p w14:paraId="7FACB91A"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Financial Insecurity:</w:t>
      </w:r>
      <w:r w:rsidRPr="00A74E9D">
        <w:rPr>
          <w:rFonts w:ascii="Times New Roman" w:eastAsia="Times New Roman" w:hAnsi="Times New Roman"/>
          <w:color w:val="000000" w:themeColor="text1"/>
          <w:sz w:val="24"/>
          <w:szCs w:val="24"/>
        </w:rPr>
        <w:t xml:space="preserve"> Macroeconomic perils such as inflation, depreciating currency and interest rate fluctuation may have an impact on the banking sector.</w:t>
      </w:r>
    </w:p>
    <w:p w14:paraId="204627FD" w14:textId="77777777" w:rsidR="00A74E9D" w:rsidRPr="00A74E9D" w:rsidRDefault="00A74E9D" w:rsidP="00DA1DC8">
      <w:pPr>
        <w:numPr>
          <w:ilvl w:val="0"/>
          <w:numId w:val="7"/>
        </w:numPr>
        <w:spacing w:before="100" w:beforeAutospacing="1" w:after="100" w:afterAutospacing="1" w:line="360" w:lineRule="auto"/>
        <w:jc w:val="both"/>
        <w:rPr>
          <w:rFonts w:ascii="Times New Roman" w:eastAsia="Times New Roman" w:hAnsi="Times New Roman"/>
          <w:color w:val="000000" w:themeColor="text1"/>
          <w:sz w:val="24"/>
          <w:szCs w:val="24"/>
        </w:rPr>
      </w:pPr>
      <w:r w:rsidRPr="007E36FE">
        <w:rPr>
          <w:rFonts w:ascii="Times New Roman" w:eastAsia="Times New Roman" w:hAnsi="Times New Roman"/>
          <w:b/>
          <w:color w:val="000000" w:themeColor="text1"/>
          <w:sz w:val="24"/>
          <w:szCs w:val="24"/>
        </w:rPr>
        <w:t>Cybersecurity Risks:</w:t>
      </w:r>
      <w:r w:rsidRPr="00A74E9D">
        <w:rPr>
          <w:rFonts w:ascii="Times New Roman" w:eastAsia="Times New Roman" w:hAnsi="Times New Roman"/>
          <w:color w:val="000000" w:themeColor="text1"/>
          <w:sz w:val="24"/>
          <w:szCs w:val="24"/>
        </w:rPr>
        <w:t xml:space="preserve"> In this era of increasing levels of internet banking online, cybercrime presents a risk for the industry by way of significant financial loss and reputational damage.</w:t>
      </w:r>
    </w:p>
    <w:p w14:paraId="3E78CD08" w14:textId="77777777" w:rsidR="00015F25" w:rsidRPr="00015F25" w:rsidRDefault="00A74E9D" w:rsidP="00DA1DC8">
      <w:pPr>
        <w:numPr>
          <w:ilvl w:val="0"/>
          <w:numId w:val="7"/>
        </w:numPr>
        <w:spacing w:before="100" w:beforeAutospacing="1" w:after="100" w:afterAutospacing="1" w:line="360" w:lineRule="auto"/>
        <w:jc w:val="both"/>
        <w:rPr>
          <w:rFonts w:ascii="Times New Roman" w:eastAsia="Times New Roman" w:hAnsi="Times New Roman"/>
          <w:sz w:val="24"/>
          <w:szCs w:val="24"/>
        </w:rPr>
      </w:pPr>
      <w:r w:rsidRPr="007E36FE">
        <w:rPr>
          <w:rFonts w:ascii="Times New Roman" w:eastAsia="Times New Roman" w:hAnsi="Times New Roman"/>
          <w:b/>
          <w:color w:val="000000" w:themeColor="text1"/>
          <w:sz w:val="24"/>
          <w:szCs w:val="24"/>
        </w:rPr>
        <w:t>NBFIs Competition:</w:t>
      </w:r>
      <w:r w:rsidRPr="00A74E9D">
        <w:rPr>
          <w:rFonts w:ascii="Times New Roman" w:eastAsia="Times New Roman" w:hAnsi="Times New Roman"/>
          <w:color w:val="000000" w:themeColor="text1"/>
          <w:sz w:val="24"/>
          <w:szCs w:val="24"/>
        </w:rPr>
        <w:t xml:space="preserve"> Traditional banks are competing for loans, payment services and investment businesses with nonbanking financial institutions (NBFIs) or some FinTech players that can quickly develop alternative financial services.</w:t>
      </w:r>
    </w:p>
    <w:p w14:paraId="3B5E879E" w14:textId="77777777" w:rsidR="00015F25" w:rsidRDefault="00015F25" w:rsidP="00015F25">
      <w:pPr>
        <w:rPr>
          <w:rFonts w:asciiTheme="majorHAnsi" w:eastAsiaTheme="majorEastAsia" w:hAnsiTheme="majorHAnsi" w:cstheme="majorBidi"/>
          <w:color w:val="000000" w:themeColor="text1"/>
          <w:spacing w:val="5"/>
          <w:kern w:val="28"/>
          <w:sz w:val="52"/>
          <w:szCs w:val="52"/>
        </w:rPr>
      </w:pPr>
    </w:p>
    <w:p w14:paraId="34859ED4" w14:textId="77777777" w:rsidR="00015F25" w:rsidRDefault="00015F25" w:rsidP="00015F25"/>
    <w:p w14:paraId="052AEA1C" w14:textId="77777777" w:rsidR="00015F25" w:rsidRDefault="00015F25" w:rsidP="00015F25"/>
    <w:p w14:paraId="5A63E566" w14:textId="77777777" w:rsidR="00015F25" w:rsidRDefault="00015F25" w:rsidP="00015F25"/>
    <w:p w14:paraId="456460DB" w14:textId="77777777" w:rsidR="00015F25" w:rsidRDefault="00015F25" w:rsidP="00015F25"/>
    <w:p w14:paraId="36E4937E" w14:textId="77777777" w:rsidR="00015F25" w:rsidRDefault="00015F25" w:rsidP="00015F25"/>
    <w:p w14:paraId="79FB0BC2" w14:textId="77777777" w:rsidR="00015F25" w:rsidRDefault="00015F25" w:rsidP="00015F25"/>
    <w:p w14:paraId="2EFEFA27" w14:textId="77777777" w:rsidR="00015F25" w:rsidRDefault="00015F25" w:rsidP="00015F25"/>
    <w:p w14:paraId="06CF7A92" w14:textId="77777777" w:rsidR="00015F25" w:rsidRDefault="00015F25" w:rsidP="00015F25"/>
    <w:p w14:paraId="609DE2B1" w14:textId="77777777" w:rsidR="00015F25" w:rsidRDefault="00015F25" w:rsidP="00015F25"/>
    <w:p w14:paraId="240E8E39" w14:textId="77777777" w:rsidR="00015F25" w:rsidRDefault="00015F25" w:rsidP="00015F25"/>
    <w:p w14:paraId="5D72E617" w14:textId="77777777" w:rsidR="00015F25" w:rsidRPr="00015F25" w:rsidRDefault="00015F25" w:rsidP="00015F25"/>
    <w:p w14:paraId="1BF1E1D7" w14:textId="77777777" w:rsidR="00015F25" w:rsidRDefault="00015F25" w:rsidP="00AE74C0">
      <w:pPr>
        <w:pStyle w:val="Title"/>
        <w:rPr>
          <w:color w:val="000000" w:themeColor="text1"/>
        </w:rPr>
      </w:pPr>
    </w:p>
    <w:p w14:paraId="2971B4A5" w14:textId="77777777" w:rsidR="00015F25" w:rsidRDefault="00015F25" w:rsidP="00AE74C0">
      <w:pPr>
        <w:pStyle w:val="Title"/>
        <w:rPr>
          <w:color w:val="000000" w:themeColor="text1"/>
        </w:rPr>
      </w:pPr>
    </w:p>
    <w:p w14:paraId="0A2BF8FC" w14:textId="77777777" w:rsidR="00015F25" w:rsidRDefault="00015F25" w:rsidP="00AE74C0">
      <w:pPr>
        <w:pStyle w:val="Title"/>
        <w:rPr>
          <w:color w:val="000000" w:themeColor="text1"/>
        </w:rPr>
      </w:pPr>
    </w:p>
    <w:p w14:paraId="53FB8342" w14:textId="77777777" w:rsidR="00015F25" w:rsidRDefault="00015F25" w:rsidP="00AE74C0">
      <w:pPr>
        <w:pStyle w:val="Title"/>
        <w:rPr>
          <w:color w:val="000000" w:themeColor="text1"/>
        </w:rPr>
      </w:pPr>
    </w:p>
    <w:p w14:paraId="72E75F27" w14:textId="77777777" w:rsidR="00015F25" w:rsidRDefault="00015F25" w:rsidP="00AE74C0">
      <w:pPr>
        <w:pStyle w:val="Title"/>
        <w:rPr>
          <w:color w:val="000000" w:themeColor="text1"/>
        </w:rPr>
      </w:pPr>
    </w:p>
    <w:p w14:paraId="313A55C0" w14:textId="77777777" w:rsidR="000002EE" w:rsidRDefault="000002EE" w:rsidP="00AE74C0">
      <w:pPr>
        <w:pStyle w:val="Title"/>
        <w:rPr>
          <w:color w:val="000000" w:themeColor="text1"/>
        </w:rPr>
      </w:pPr>
    </w:p>
    <w:p w14:paraId="25F886E3" w14:textId="77777777" w:rsidR="000002EE" w:rsidRDefault="000002EE" w:rsidP="00AE74C0">
      <w:pPr>
        <w:pStyle w:val="Title"/>
        <w:rPr>
          <w:color w:val="000000" w:themeColor="text1"/>
        </w:rPr>
      </w:pPr>
    </w:p>
    <w:p w14:paraId="4A5B67AA" w14:textId="77777777" w:rsidR="000002EE" w:rsidRDefault="000002EE" w:rsidP="00AE74C0">
      <w:pPr>
        <w:pStyle w:val="Title"/>
        <w:rPr>
          <w:color w:val="000000" w:themeColor="text1"/>
        </w:rPr>
      </w:pPr>
    </w:p>
    <w:p w14:paraId="2FA4BD40" w14:textId="77777777" w:rsidR="00AE74C0" w:rsidRPr="00AE74C0" w:rsidRDefault="00AE74C0" w:rsidP="00AE74C0">
      <w:pPr>
        <w:pStyle w:val="Title"/>
        <w:rPr>
          <w:color w:val="000000" w:themeColor="text1"/>
        </w:rPr>
      </w:pPr>
      <w:r w:rsidRPr="00AE74C0">
        <w:rPr>
          <w:color w:val="000000" w:themeColor="text1"/>
        </w:rPr>
        <w:t>CHAPTER: 3</w:t>
      </w:r>
    </w:p>
    <w:p w14:paraId="5DFD0795" w14:textId="77777777" w:rsidR="00AE74C0" w:rsidRPr="00AE74C0" w:rsidRDefault="00AE74C0" w:rsidP="00AE74C0">
      <w:pPr>
        <w:pStyle w:val="Title"/>
        <w:rPr>
          <w:color w:val="0070C0"/>
        </w:rPr>
      </w:pPr>
      <w:r w:rsidRPr="00AE74C0">
        <w:rPr>
          <w:color w:val="0070C0"/>
        </w:rPr>
        <w:t>INTERNSHIP EXPERIENCE</w:t>
      </w:r>
    </w:p>
    <w:p w14:paraId="4F18B5F8" w14:textId="77777777" w:rsidR="009648A0" w:rsidRDefault="009648A0" w:rsidP="00AE74C0"/>
    <w:p w14:paraId="0209D8F1" w14:textId="77777777" w:rsidR="00AE74C0" w:rsidRDefault="00AE74C0" w:rsidP="00AE74C0"/>
    <w:p w14:paraId="4ED453F7" w14:textId="77777777" w:rsidR="00AE74C0" w:rsidRDefault="00AE74C0" w:rsidP="00AE74C0"/>
    <w:p w14:paraId="42A61056" w14:textId="77777777" w:rsidR="00AE74C0" w:rsidRDefault="00AE74C0" w:rsidP="00AE74C0"/>
    <w:p w14:paraId="77CD8968" w14:textId="77777777" w:rsidR="00AE74C0" w:rsidRDefault="00AE74C0" w:rsidP="00AE74C0"/>
    <w:p w14:paraId="231D56A4" w14:textId="77777777" w:rsidR="00AE74C0" w:rsidRDefault="00AE74C0" w:rsidP="00AE74C0"/>
    <w:p w14:paraId="37918ECC" w14:textId="77777777" w:rsidR="00AE74C0" w:rsidRDefault="00AE74C0" w:rsidP="00AE74C0"/>
    <w:p w14:paraId="661FEAF2" w14:textId="77777777" w:rsidR="00AE74C0" w:rsidRDefault="00AE74C0" w:rsidP="00AE74C0"/>
    <w:p w14:paraId="718520A6" w14:textId="77777777" w:rsidR="00AE74C0" w:rsidRDefault="00AE74C0" w:rsidP="00AE74C0"/>
    <w:p w14:paraId="1B427F3C" w14:textId="77777777" w:rsidR="00AE74C0" w:rsidRDefault="00AE74C0" w:rsidP="00AE74C0"/>
    <w:p w14:paraId="6117EF3F" w14:textId="77777777" w:rsidR="00AE74C0" w:rsidRDefault="00AE74C0" w:rsidP="00AE74C0"/>
    <w:p w14:paraId="6E42248B" w14:textId="77777777" w:rsidR="00AE74C0" w:rsidRDefault="00AE74C0" w:rsidP="00AE74C0"/>
    <w:p w14:paraId="7A80CE78" w14:textId="77777777" w:rsidR="00AE74C0" w:rsidRDefault="00AE74C0" w:rsidP="00AE74C0"/>
    <w:p w14:paraId="3A7DDA0A" w14:textId="77777777" w:rsidR="00AE74C0" w:rsidRDefault="00AE74C0" w:rsidP="00AE74C0"/>
    <w:p w14:paraId="092282A2" w14:textId="77777777" w:rsidR="00AE74C0" w:rsidRDefault="00AE74C0" w:rsidP="00AE74C0"/>
    <w:p w14:paraId="0BFA41E5" w14:textId="77777777" w:rsidR="00AE74C0" w:rsidRDefault="00AE74C0" w:rsidP="00AE74C0"/>
    <w:p w14:paraId="1ABE94C8" w14:textId="77777777" w:rsidR="00AD6078" w:rsidRPr="00635579" w:rsidRDefault="00AD6078" w:rsidP="00015F25">
      <w:pPr>
        <w:pStyle w:val="Heading1"/>
        <w:jc w:val="left"/>
        <w:rPr>
          <w:rFonts w:ascii="Times New Roman" w:hAnsi="Times New Roman" w:cs="Times New Roman"/>
          <w:sz w:val="28"/>
        </w:rPr>
      </w:pPr>
      <w:bookmarkStart w:id="34" w:name="_Toc214949026"/>
      <w:r w:rsidRPr="00635579">
        <w:rPr>
          <w:rFonts w:ascii="Times New Roman" w:hAnsi="Times New Roman" w:cs="Times New Roman"/>
          <w:sz w:val="28"/>
        </w:rPr>
        <w:lastRenderedPageBreak/>
        <w:t>3.1 Position, Duties, and Responsibilities</w:t>
      </w:r>
      <w:bookmarkEnd w:id="34"/>
    </w:p>
    <w:p w14:paraId="1C5E850A" w14:textId="77777777" w:rsidR="00635579" w:rsidRPr="00635579" w:rsidRDefault="00635579" w:rsidP="00635579">
      <w:pPr>
        <w:spacing w:before="100" w:beforeAutospacing="1" w:after="100" w:afterAutospacing="1" w:line="360" w:lineRule="auto"/>
        <w:jc w:val="both"/>
        <w:outlineLvl w:val="3"/>
        <w:rPr>
          <w:rFonts w:ascii="Times New Roman" w:eastAsia="Times New Roman" w:hAnsi="Times New Roman"/>
          <w:sz w:val="24"/>
          <w:szCs w:val="24"/>
        </w:rPr>
      </w:pPr>
      <w:r w:rsidRPr="00635579">
        <w:rPr>
          <w:rFonts w:ascii="Times New Roman" w:eastAsia="Times New Roman" w:hAnsi="Times New Roman"/>
          <w:sz w:val="24"/>
          <w:szCs w:val="24"/>
        </w:rPr>
        <w:t>In my 3 month-long internship at CPC Trade Operations of Dhaka Bank LTD I have worked in the Foreign Trade Department; which looks after import and export operations. I was assigned to various teams, offering its contributor a variety of domain experience:</w:t>
      </w:r>
    </w:p>
    <w:p w14:paraId="712295F0" w14:textId="77777777" w:rsidR="00635579" w:rsidRPr="00182B0D" w:rsidRDefault="00635579" w:rsidP="00182B0D">
      <w:pPr>
        <w:pStyle w:val="ListParagraph"/>
        <w:numPr>
          <w:ilvl w:val="0"/>
          <w:numId w:val="33"/>
        </w:numPr>
        <w:spacing w:before="100" w:beforeAutospacing="1" w:after="100" w:afterAutospacing="1" w:line="360" w:lineRule="auto"/>
        <w:jc w:val="both"/>
        <w:outlineLvl w:val="3"/>
        <w:rPr>
          <w:rFonts w:ascii="Times New Roman" w:eastAsia="Times New Roman" w:hAnsi="Times New Roman"/>
          <w:sz w:val="24"/>
          <w:szCs w:val="24"/>
        </w:rPr>
      </w:pPr>
      <w:r w:rsidRPr="00182B0D">
        <w:rPr>
          <w:rFonts w:ascii="Times New Roman" w:eastAsia="Times New Roman" w:hAnsi="Times New Roman"/>
          <w:b/>
          <w:sz w:val="24"/>
          <w:szCs w:val="24"/>
        </w:rPr>
        <w:t>L/C Procedure Team:</w:t>
      </w:r>
      <w:r w:rsidRPr="00182B0D">
        <w:rPr>
          <w:rFonts w:ascii="Times New Roman" w:eastAsia="Times New Roman" w:hAnsi="Times New Roman"/>
          <w:sz w:val="24"/>
          <w:szCs w:val="24"/>
        </w:rPr>
        <w:t xml:space="preserve"> I was responsible for helping in the critical review of L/C procedure. Originally, I was assigned to evaluate the details and ensure that the letters of credit documentation met requirements.</w:t>
      </w:r>
    </w:p>
    <w:p w14:paraId="56DF1910" w14:textId="77777777" w:rsidR="00635579" w:rsidRPr="00182B0D" w:rsidRDefault="00635579" w:rsidP="00182B0D">
      <w:pPr>
        <w:pStyle w:val="ListParagraph"/>
        <w:numPr>
          <w:ilvl w:val="0"/>
          <w:numId w:val="33"/>
        </w:numPr>
        <w:spacing w:before="100" w:beforeAutospacing="1" w:after="100" w:afterAutospacing="1" w:line="360" w:lineRule="auto"/>
        <w:jc w:val="both"/>
        <w:outlineLvl w:val="3"/>
        <w:rPr>
          <w:rFonts w:ascii="Times New Roman" w:eastAsia="Times New Roman" w:hAnsi="Times New Roman"/>
          <w:sz w:val="24"/>
          <w:szCs w:val="24"/>
        </w:rPr>
      </w:pPr>
      <w:r w:rsidRPr="00182B0D">
        <w:rPr>
          <w:rFonts w:ascii="Times New Roman" w:eastAsia="Times New Roman" w:hAnsi="Times New Roman"/>
          <w:b/>
          <w:sz w:val="24"/>
          <w:szCs w:val="24"/>
        </w:rPr>
        <w:t>Reporting Team:</w:t>
      </w:r>
      <w:r w:rsidRPr="00182B0D">
        <w:rPr>
          <w:rFonts w:ascii="Times New Roman" w:eastAsia="Times New Roman" w:hAnsi="Times New Roman"/>
          <w:sz w:val="24"/>
          <w:szCs w:val="24"/>
        </w:rPr>
        <w:t xml:space="preserve"> I was a member of this team where I took up responsibilities for imports and exports processes as well as </w:t>
      </w:r>
      <w:r w:rsidR="00182B0D" w:rsidRPr="00182B0D">
        <w:rPr>
          <w:rFonts w:ascii="Times New Roman" w:eastAsia="Times New Roman" w:hAnsi="Times New Roman"/>
          <w:sz w:val="24"/>
          <w:szCs w:val="24"/>
        </w:rPr>
        <w:t>analyzed</w:t>
      </w:r>
      <w:r w:rsidRPr="00182B0D">
        <w:rPr>
          <w:rFonts w:ascii="Times New Roman" w:eastAsia="Times New Roman" w:hAnsi="Times New Roman"/>
          <w:sz w:val="24"/>
          <w:szCs w:val="24"/>
        </w:rPr>
        <w:t xml:space="preserve"> documentation. A major responsibility was to download from</w:t>
      </w:r>
      <w:r w:rsidR="00182B0D">
        <w:rPr>
          <w:rFonts w:ascii="Times New Roman" w:eastAsia="Times New Roman" w:hAnsi="Times New Roman"/>
          <w:sz w:val="24"/>
          <w:szCs w:val="24"/>
        </w:rPr>
        <w:t xml:space="preserve"> the ASYCUDA system, an ASYCUDA </w:t>
      </w:r>
      <w:r w:rsidRPr="00182B0D">
        <w:rPr>
          <w:rFonts w:ascii="Times New Roman" w:eastAsia="Times New Roman" w:hAnsi="Times New Roman"/>
          <w:sz w:val="24"/>
          <w:szCs w:val="24"/>
        </w:rPr>
        <w:t>‐ mandatory custom clearance document for imports and exports called Bill of Entry.</w:t>
      </w:r>
    </w:p>
    <w:p w14:paraId="47D164D6" w14:textId="77777777" w:rsidR="00635579" w:rsidRPr="00182B0D" w:rsidRDefault="00635579" w:rsidP="00182B0D">
      <w:pPr>
        <w:pStyle w:val="ListParagraph"/>
        <w:numPr>
          <w:ilvl w:val="0"/>
          <w:numId w:val="33"/>
        </w:numPr>
        <w:spacing w:before="100" w:beforeAutospacing="1" w:after="100" w:afterAutospacing="1" w:line="360" w:lineRule="auto"/>
        <w:jc w:val="both"/>
        <w:outlineLvl w:val="3"/>
        <w:rPr>
          <w:rFonts w:ascii="Times New Roman" w:eastAsia="Times New Roman" w:hAnsi="Times New Roman"/>
          <w:sz w:val="24"/>
          <w:szCs w:val="24"/>
        </w:rPr>
      </w:pPr>
      <w:r w:rsidRPr="00182B0D">
        <w:rPr>
          <w:rFonts w:ascii="Times New Roman" w:eastAsia="Times New Roman" w:hAnsi="Times New Roman"/>
          <w:b/>
          <w:sz w:val="24"/>
          <w:szCs w:val="24"/>
        </w:rPr>
        <w:t>Statement &amp; Analysis Team:</w:t>
      </w:r>
      <w:r w:rsidRPr="00182B0D">
        <w:rPr>
          <w:rFonts w:ascii="Times New Roman" w:eastAsia="Times New Roman" w:hAnsi="Times New Roman"/>
          <w:sz w:val="24"/>
          <w:szCs w:val="24"/>
        </w:rPr>
        <w:t xml:space="preserve"> I was in charge of posting L/Cs into the system for reporting purposes to ensure all transactions are properly accounted and detailed out internal and external usage. The soft copies of DOCUDEX and the Amendment that were passed on to the bank's web by me after </w:t>
      </w:r>
      <w:r w:rsidR="00182B0D" w:rsidRPr="00182B0D">
        <w:rPr>
          <w:rFonts w:ascii="Times New Roman" w:eastAsia="Times New Roman" w:hAnsi="Times New Roman"/>
          <w:sz w:val="24"/>
          <w:szCs w:val="24"/>
        </w:rPr>
        <w:t>checking</w:t>
      </w:r>
      <w:r w:rsidRPr="00182B0D">
        <w:rPr>
          <w:rFonts w:ascii="Times New Roman" w:eastAsia="Times New Roman" w:hAnsi="Times New Roman"/>
          <w:sz w:val="24"/>
          <w:szCs w:val="24"/>
        </w:rPr>
        <w:t xml:space="preserve"> with our flying object (docudex, </w:t>
      </w:r>
      <w:r w:rsidR="00182B0D" w:rsidRPr="00182B0D">
        <w:rPr>
          <w:rFonts w:ascii="Times New Roman" w:eastAsia="Times New Roman" w:hAnsi="Times New Roman"/>
          <w:sz w:val="24"/>
          <w:szCs w:val="24"/>
        </w:rPr>
        <w:t>SWIFT</w:t>
      </w:r>
      <w:r w:rsidRPr="00182B0D">
        <w:rPr>
          <w:rFonts w:ascii="Times New Roman" w:eastAsia="Times New Roman" w:hAnsi="Times New Roman"/>
          <w:sz w:val="24"/>
          <w:szCs w:val="24"/>
        </w:rPr>
        <w:t>).</w:t>
      </w:r>
    </w:p>
    <w:p w14:paraId="47164068" w14:textId="77777777" w:rsidR="00AD6078" w:rsidRPr="00182B0D" w:rsidRDefault="00635579" w:rsidP="00182B0D">
      <w:pPr>
        <w:pStyle w:val="ListParagraph"/>
        <w:numPr>
          <w:ilvl w:val="0"/>
          <w:numId w:val="33"/>
        </w:numPr>
        <w:spacing w:before="100" w:beforeAutospacing="1" w:after="100" w:afterAutospacing="1" w:line="360" w:lineRule="auto"/>
        <w:jc w:val="both"/>
        <w:outlineLvl w:val="3"/>
        <w:rPr>
          <w:rFonts w:ascii="Times New Roman" w:eastAsia="Times New Roman" w:hAnsi="Times New Roman"/>
          <w:b/>
          <w:bCs/>
          <w:sz w:val="24"/>
          <w:szCs w:val="24"/>
        </w:rPr>
      </w:pPr>
      <w:r w:rsidRPr="00182B0D">
        <w:rPr>
          <w:rFonts w:ascii="Times New Roman" w:eastAsia="Times New Roman" w:hAnsi="Times New Roman"/>
          <w:b/>
          <w:sz w:val="24"/>
          <w:szCs w:val="24"/>
        </w:rPr>
        <w:t>Foreign Export Team:</w:t>
      </w:r>
      <w:r w:rsidRPr="00182B0D">
        <w:rPr>
          <w:rFonts w:ascii="Times New Roman" w:eastAsia="Times New Roman" w:hAnsi="Times New Roman"/>
          <w:sz w:val="24"/>
          <w:szCs w:val="24"/>
        </w:rPr>
        <w:t xml:space="preserve"> I navigated the FOREX site, contributed to basic duties and learned trading components of FX.</w:t>
      </w:r>
    </w:p>
    <w:p w14:paraId="3BB1A761" w14:textId="77777777" w:rsidR="00015F25" w:rsidRPr="00B0669C" w:rsidRDefault="00AD6078" w:rsidP="00B0669C">
      <w:pPr>
        <w:pStyle w:val="Heading1"/>
        <w:spacing w:line="360" w:lineRule="auto"/>
        <w:jc w:val="both"/>
        <w:rPr>
          <w:rFonts w:ascii="Times New Roman" w:hAnsi="Times New Roman" w:cs="Times New Roman"/>
          <w:sz w:val="28"/>
        </w:rPr>
      </w:pPr>
      <w:bookmarkStart w:id="35" w:name="_Toc214949027"/>
      <w:r w:rsidRPr="00182B0D">
        <w:rPr>
          <w:rFonts w:ascii="Times New Roman" w:hAnsi="Times New Roman" w:cs="Times New Roman"/>
          <w:sz w:val="28"/>
        </w:rPr>
        <w:t>3.2 Training &amp; Development</w:t>
      </w:r>
      <w:bookmarkEnd w:id="35"/>
    </w:p>
    <w:p w14:paraId="296F06A9" w14:textId="77777777" w:rsidR="00182B0D" w:rsidRPr="00182B0D" w:rsidRDefault="00182B0D" w:rsidP="00B0669C">
      <w:pPr>
        <w:spacing w:before="100" w:beforeAutospacing="1" w:after="100" w:afterAutospacing="1" w:line="360" w:lineRule="auto"/>
        <w:contextualSpacing/>
        <w:jc w:val="both"/>
        <w:outlineLvl w:val="3"/>
        <w:rPr>
          <w:rFonts w:ascii="Times New Roman" w:eastAsia="Times New Roman" w:hAnsi="Times New Roman"/>
          <w:sz w:val="24"/>
          <w:szCs w:val="24"/>
        </w:rPr>
      </w:pPr>
      <w:r w:rsidRPr="00182B0D">
        <w:rPr>
          <w:rFonts w:ascii="Times New Roman" w:eastAsia="Times New Roman" w:hAnsi="Times New Roman"/>
          <w:sz w:val="24"/>
          <w:szCs w:val="24"/>
        </w:rPr>
        <w:t>I obtained significant practical training during my internship, and I learned about the real financial system. The bank supplied me with:</w:t>
      </w:r>
    </w:p>
    <w:p w14:paraId="235F53BE" w14:textId="77777777" w:rsidR="00182B0D" w:rsidRPr="00182B0D" w:rsidRDefault="00B0669C" w:rsidP="00B0669C">
      <w:pPr>
        <w:numPr>
          <w:ilvl w:val="0"/>
          <w:numId w:val="9"/>
        </w:numPr>
        <w:spacing w:before="100" w:beforeAutospacing="1" w:after="100" w:afterAutospacing="1" w:line="360" w:lineRule="auto"/>
        <w:contextualSpacing/>
        <w:jc w:val="both"/>
        <w:outlineLvl w:val="3"/>
        <w:rPr>
          <w:rFonts w:ascii="Times New Roman" w:eastAsia="Times New Roman" w:hAnsi="Times New Roman"/>
          <w:sz w:val="24"/>
          <w:szCs w:val="24"/>
        </w:rPr>
      </w:pPr>
      <w:r w:rsidRPr="00B0669C">
        <w:rPr>
          <w:rFonts w:ascii="Times New Roman" w:eastAsia="Times New Roman" w:hAnsi="Times New Roman"/>
          <w:b/>
          <w:sz w:val="24"/>
          <w:szCs w:val="24"/>
        </w:rPr>
        <w:t xml:space="preserve">Hands on training in </w:t>
      </w:r>
      <w:r w:rsidR="00182B0D" w:rsidRPr="00B0669C">
        <w:rPr>
          <w:rFonts w:ascii="Times New Roman" w:eastAsia="Times New Roman" w:hAnsi="Times New Roman"/>
          <w:b/>
          <w:sz w:val="24"/>
          <w:szCs w:val="24"/>
        </w:rPr>
        <w:t>Systems:</w:t>
      </w:r>
      <w:r w:rsidR="00182B0D" w:rsidRPr="00182B0D">
        <w:rPr>
          <w:rFonts w:ascii="Times New Roman" w:eastAsia="Times New Roman" w:hAnsi="Times New Roman"/>
          <w:sz w:val="24"/>
          <w:szCs w:val="24"/>
        </w:rPr>
        <w:t xml:space="preserve"> I was trained on several banking systems and </w:t>
      </w:r>
      <w:r>
        <w:rPr>
          <w:rFonts w:ascii="Times New Roman" w:eastAsia="Times New Roman" w:hAnsi="Times New Roman"/>
          <w:sz w:val="24"/>
          <w:szCs w:val="24"/>
        </w:rPr>
        <w:t>soft</w:t>
      </w:r>
      <w:r w:rsidRPr="00182B0D">
        <w:rPr>
          <w:rFonts w:ascii="Times New Roman" w:eastAsia="Times New Roman" w:hAnsi="Times New Roman"/>
          <w:sz w:val="24"/>
          <w:szCs w:val="24"/>
        </w:rPr>
        <w:t>ware</w:t>
      </w:r>
      <w:r>
        <w:rPr>
          <w:rFonts w:ascii="Times New Roman" w:eastAsia="Times New Roman" w:hAnsi="Times New Roman"/>
          <w:sz w:val="24"/>
          <w:szCs w:val="24"/>
        </w:rPr>
        <w:t xml:space="preserve">. One of them </w:t>
      </w:r>
      <w:r w:rsidR="00182B0D" w:rsidRPr="00182B0D">
        <w:rPr>
          <w:rFonts w:ascii="Times New Roman" w:eastAsia="Times New Roman" w:hAnsi="Times New Roman"/>
          <w:sz w:val="24"/>
          <w:szCs w:val="24"/>
        </w:rPr>
        <w:t xml:space="preserve">ASYCUDA for Bill of Entry </w:t>
      </w:r>
      <w:r w:rsidRPr="00182B0D">
        <w:rPr>
          <w:rFonts w:ascii="Times New Roman" w:eastAsia="Times New Roman" w:hAnsi="Times New Roman"/>
          <w:sz w:val="24"/>
          <w:szCs w:val="24"/>
        </w:rPr>
        <w:t>lodgment</w:t>
      </w:r>
      <w:r w:rsidR="00182B0D" w:rsidRPr="00182B0D">
        <w:rPr>
          <w:rFonts w:ascii="Times New Roman" w:eastAsia="Times New Roman" w:hAnsi="Times New Roman"/>
          <w:sz w:val="24"/>
          <w:szCs w:val="24"/>
        </w:rPr>
        <w:t>; internal Letter of Credit posting system etc. This class has developed my understanding of the automation and tech</w:t>
      </w:r>
      <w:r>
        <w:rPr>
          <w:rFonts w:ascii="Times New Roman" w:eastAsia="Times New Roman" w:hAnsi="Times New Roman"/>
          <w:sz w:val="24"/>
          <w:szCs w:val="24"/>
        </w:rPr>
        <w:t>nology behind trade operations.</w:t>
      </w:r>
    </w:p>
    <w:p w14:paraId="1B1C6B67" w14:textId="77777777" w:rsidR="00182B0D" w:rsidRPr="00182B0D" w:rsidRDefault="00182B0D" w:rsidP="00B0669C">
      <w:pPr>
        <w:numPr>
          <w:ilvl w:val="0"/>
          <w:numId w:val="9"/>
        </w:numPr>
        <w:spacing w:before="100" w:beforeAutospacing="1" w:after="100" w:afterAutospacing="1" w:line="360" w:lineRule="auto"/>
        <w:contextualSpacing/>
        <w:jc w:val="both"/>
        <w:outlineLvl w:val="3"/>
        <w:rPr>
          <w:rFonts w:ascii="Times New Roman" w:eastAsia="Times New Roman" w:hAnsi="Times New Roman"/>
          <w:sz w:val="24"/>
          <w:szCs w:val="24"/>
        </w:rPr>
      </w:pPr>
      <w:r w:rsidRPr="00B0669C">
        <w:rPr>
          <w:rFonts w:ascii="Times New Roman" w:eastAsia="Times New Roman" w:hAnsi="Times New Roman"/>
          <w:b/>
          <w:sz w:val="24"/>
          <w:szCs w:val="24"/>
        </w:rPr>
        <w:t>Team Work:</w:t>
      </w:r>
      <w:r w:rsidRPr="00182B0D">
        <w:rPr>
          <w:rFonts w:ascii="Times New Roman" w:eastAsia="Times New Roman" w:hAnsi="Times New Roman"/>
          <w:sz w:val="24"/>
          <w:szCs w:val="24"/>
        </w:rPr>
        <w:t xml:space="preserve"> I worked with cross functional teams and learned from senior logistical experts. I attended various meetings and briefing on L / C procedures, export-import </w:t>
      </w:r>
      <w:r w:rsidRPr="00182B0D">
        <w:rPr>
          <w:rFonts w:ascii="Times New Roman" w:eastAsia="Times New Roman" w:hAnsi="Times New Roman"/>
          <w:sz w:val="24"/>
          <w:szCs w:val="24"/>
        </w:rPr>
        <w:lastRenderedPageBreak/>
        <w:t>documentation and reporting norms which were conducive to understand the bank's operating procedures.</w:t>
      </w:r>
    </w:p>
    <w:p w14:paraId="2C511DEB" w14:textId="77777777" w:rsidR="00AD6078" w:rsidRPr="00AD6078" w:rsidRDefault="00182B0D" w:rsidP="00B0669C">
      <w:pPr>
        <w:numPr>
          <w:ilvl w:val="0"/>
          <w:numId w:val="9"/>
        </w:numPr>
        <w:spacing w:before="100" w:beforeAutospacing="1" w:after="100" w:afterAutospacing="1" w:line="360" w:lineRule="auto"/>
        <w:contextualSpacing/>
        <w:jc w:val="both"/>
        <w:outlineLvl w:val="3"/>
        <w:rPr>
          <w:rFonts w:ascii="Times New Roman" w:eastAsia="Times New Roman" w:hAnsi="Times New Roman"/>
          <w:sz w:val="24"/>
          <w:szCs w:val="24"/>
        </w:rPr>
      </w:pPr>
      <w:r w:rsidRPr="00B0669C">
        <w:rPr>
          <w:rFonts w:ascii="Times New Roman" w:eastAsia="Times New Roman" w:hAnsi="Times New Roman"/>
          <w:b/>
          <w:sz w:val="24"/>
          <w:szCs w:val="24"/>
        </w:rPr>
        <w:t>Skills gained:</w:t>
      </w:r>
      <w:r w:rsidRPr="00182B0D">
        <w:rPr>
          <w:rFonts w:ascii="Times New Roman" w:eastAsia="Times New Roman" w:hAnsi="Times New Roman"/>
          <w:sz w:val="24"/>
          <w:szCs w:val="24"/>
        </w:rPr>
        <w:t xml:space="preserve"> Developed skills in things such as problem solving, accuracy of data entry and understanding complex banking systems and financial papers. This internship honed my communication skills, especially in working with others and explaining issues related to international trade documentation.</w:t>
      </w:r>
    </w:p>
    <w:p w14:paraId="3EF58F7F" w14:textId="77777777" w:rsidR="00AD6078" w:rsidRPr="00E952CD" w:rsidRDefault="00AD6078" w:rsidP="00015F25">
      <w:pPr>
        <w:pStyle w:val="Heading1"/>
        <w:jc w:val="left"/>
        <w:rPr>
          <w:rFonts w:ascii="Times New Roman" w:hAnsi="Times New Roman" w:cs="Times New Roman"/>
          <w:sz w:val="28"/>
        </w:rPr>
      </w:pPr>
      <w:bookmarkStart w:id="36" w:name="_Toc214949028"/>
      <w:r w:rsidRPr="00E952CD">
        <w:rPr>
          <w:rFonts w:ascii="Times New Roman" w:hAnsi="Times New Roman" w:cs="Times New Roman"/>
          <w:sz w:val="28"/>
        </w:rPr>
        <w:t>3.3 Contribution to Organization / Operations</w:t>
      </w:r>
      <w:bookmarkEnd w:id="36"/>
    </w:p>
    <w:p w14:paraId="6D8ECDC8" w14:textId="77777777" w:rsidR="00677A53" w:rsidRPr="00677A53" w:rsidRDefault="00677A53" w:rsidP="00677A53">
      <w:pPr>
        <w:spacing w:before="100" w:beforeAutospacing="1" w:after="100" w:afterAutospacing="1" w:line="360" w:lineRule="auto"/>
        <w:contextualSpacing/>
        <w:jc w:val="both"/>
        <w:outlineLvl w:val="3"/>
        <w:rPr>
          <w:rFonts w:ascii="Times New Roman" w:eastAsia="Times New Roman" w:hAnsi="Times New Roman"/>
          <w:sz w:val="24"/>
          <w:szCs w:val="24"/>
        </w:rPr>
      </w:pPr>
      <w:r w:rsidRPr="00677A53">
        <w:rPr>
          <w:rFonts w:ascii="Times New Roman" w:eastAsia="Times New Roman" w:hAnsi="Times New Roman"/>
          <w:sz w:val="24"/>
          <w:szCs w:val="24"/>
        </w:rPr>
        <w:t>While interning, I performed a wide range of operations work that contributed value in the following ways:</w:t>
      </w:r>
    </w:p>
    <w:p w14:paraId="1A7958E9" w14:textId="77777777" w:rsidR="00677A53" w:rsidRPr="00677A53" w:rsidRDefault="00677A53" w:rsidP="00677A53">
      <w:pPr>
        <w:numPr>
          <w:ilvl w:val="0"/>
          <w:numId w:val="10"/>
        </w:numPr>
        <w:spacing w:before="100" w:beforeAutospacing="1" w:after="100" w:afterAutospacing="1" w:line="360" w:lineRule="auto"/>
        <w:contextualSpacing/>
        <w:jc w:val="both"/>
        <w:outlineLvl w:val="3"/>
        <w:rPr>
          <w:rFonts w:ascii="Times New Roman" w:eastAsia="Times New Roman" w:hAnsi="Times New Roman"/>
          <w:sz w:val="24"/>
          <w:szCs w:val="24"/>
        </w:rPr>
      </w:pPr>
      <w:r w:rsidRPr="00677A53">
        <w:rPr>
          <w:rFonts w:ascii="Times New Roman" w:eastAsia="Times New Roman" w:hAnsi="Times New Roman"/>
          <w:b/>
          <w:sz w:val="24"/>
          <w:szCs w:val="24"/>
        </w:rPr>
        <w:t>Better Compliance:</w:t>
      </w:r>
      <w:r w:rsidRPr="00677A53">
        <w:rPr>
          <w:rFonts w:ascii="Times New Roman" w:eastAsia="Times New Roman" w:hAnsi="Times New Roman"/>
          <w:sz w:val="24"/>
          <w:szCs w:val="24"/>
        </w:rPr>
        <w:t xml:space="preserve"> With checklists, I streamlined day-to-day tasks such as Bill of Entry return, L/C transaction processing and uploading documentation to compliance standards at increased efficiency allowing teams to focus on more complex work flows.</w:t>
      </w:r>
    </w:p>
    <w:p w14:paraId="3C54A1CF" w14:textId="77777777" w:rsidR="00677A53" w:rsidRPr="00677A53" w:rsidRDefault="00677A53" w:rsidP="00677A53">
      <w:pPr>
        <w:numPr>
          <w:ilvl w:val="0"/>
          <w:numId w:val="10"/>
        </w:numPr>
        <w:spacing w:before="100" w:beforeAutospacing="1" w:after="100" w:afterAutospacing="1" w:line="360" w:lineRule="auto"/>
        <w:contextualSpacing/>
        <w:jc w:val="both"/>
        <w:outlineLvl w:val="3"/>
        <w:rPr>
          <w:rFonts w:ascii="Times New Roman" w:eastAsia="Times New Roman" w:hAnsi="Times New Roman"/>
          <w:sz w:val="24"/>
          <w:szCs w:val="24"/>
        </w:rPr>
      </w:pPr>
      <w:r w:rsidRPr="00677A53">
        <w:rPr>
          <w:rFonts w:ascii="Times New Roman" w:eastAsia="Times New Roman" w:hAnsi="Times New Roman"/>
          <w:b/>
          <w:sz w:val="24"/>
          <w:szCs w:val="24"/>
        </w:rPr>
        <w:t>Reporting accuracy:</w:t>
      </w:r>
      <w:r w:rsidRPr="00677A53">
        <w:rPr>
          <w:rFonts w:ascii="Times New Roman" w:eastAsia="Times New Roman" w:hAnsi="Times New Roman"/>
          <w:sz w:val="24"/>
          <w:szCs w:val="24"/>
        </w:rPr>
        <w:t xml:space="preserve"> positioned in the reporting and statement team, my thorough focus on detail check contributed to accurately booking of L/Cs and that also all amend documents matched with the original hard copies. This made it easier to obtain financial records, which were crucial for internal auditing and compliance.</w:t>
      </w:r>
    </w:p>
    <w:p w14:paraId="15D060C3" w14:textId="77777777" w:rsidR="00AD6078" w:rsidRPr="00AD6078" w:rsidRDefault="00677A53" w:rsidP="00677A53">
      <w:pPr>
        <w:numPr>
          <w:ilvl w:val="0"/>
          <w:numId w:val="10"/>
        </w:numPr>
        <w:spacing w:before="100" w:beforeAutospacing="1" w:after="100" w:afterAutospacing="1" w:line="360" w:lineRule="auto"/>
        <w:contextualSpacing/>
        <w:jc w:val="both"/>
        <w:outlineLvl w:val="3"/>
        <w:rPr>
          <w:rFonts w:ascii="Times New Roman" w:eastAsia="Times New Roman" w:hAnsi="Times New Roman"/>
          <w:sz w:val="24"/>
          <w:szCs w:val="24"/>
        </w:rPr>
      </w:pPr>
      <w:r w:rsidRPr="00677A53">
        <w:rPr>
          <w:rFonts w:ascii="Times New Roman" w:eastAsia="Times New Roman" w:hAnsi="Times New Roman"/>
          <w:b/>
          <w:sz w:val="24"/>
          <w:szCs w:val="24"/>
        </w:rPr>
        <w:t>Assisting Foreign Export Procedures:</w:t>
      </w:r>
      <w:r w:rsidRPr="00677A53">
        <w:rPr>
          <w:rFonts w:ascii="Times New Roman" w:eastAsia="Times New Roman" w:hAnsi="Times New Roman"/>
          <w:sz w:val="24"/>
          <w:szCs w:val="24"/>
        </w:rPr>
        <w:t xml:space="preserve"> I assisted with foreign export operations by enabling accurate and timely processing of export documentation, which is vital to ensuring the smooth motion of international trade transactions.</w:t>
      </w:r>
    </w:p>
    <w:p w14:paraId="761CD527" w14:textId="77777777" w:rsidR="00AD6078" w:rsidRPr="000002EE" w:rsidRDefault="00AD6078" w:rsidP="00015F25">
      <w:pPr>
        <w:pStyle w:val="Heading1"/>
        <w:jc w:val="left"/>
        <w:rPr>
          <w:rFonts w:ascii="Times New Roman" w:hAnsi="Times New Roman" w:cs="Times New Roman"/>
          <w:sz w:val="28"/>
        </w:rPr>
      </w:pPr>
      <w:bookmarkStart w:id="37" w:name="_Toc214949029"/>
      <w:r w:rsidRPr="000002EE">
        <w:rPr>
          <w:rFonts w:ascii="Times New Roman" w:hAnsi="Times New Roman" w:cs="Times New Roman"/>
          <w:sz w:val="28"/>
        </w:rPr>
        <w:t>3.4 Evaluation</w:t>
      </w:r>
      <w:bookmarkEnd w:id="37"/>
    </w:p>
    <w:p w14:paraId="4B2A41D6" w14:textId="77777777" w:rsidR="000002EE" w:rsidRPr="000002EE" w:rsidRDefault="000002EE" w:rsidP="000002EE">
      <w:pPr>
        <w:spacing w:before="100" w:beforeAutospacing="1" w:after="100" w:afterAutospacing="1" w:line="360" w:lineRule="auto"/>
        <w:jc w:val="both"/>
        <w:outlineLvl w:val="3"/>
        <w:rPr>
          <w:rFonts w:ascii="Times New Roman" w:eastAsia="Times New Roman" w:hAnsi="Times New Roman"/>
          <w:sz w:val="24"/>
          <w:szCs w:val="24"/>
        </w:rPr>
      </w:pPr>
      <w:r w:rsidRPr="000002EE">
        <w:rPr>
          <w:rFonts w:ascii="Times New Roman" w:eastAsia="Times New Roman" w:hAnsi="Times New Roman"/>
          <w:sz w:val="24"/>
          <w:szCs w:val="24"/>
        </w:rPr>
        <w:t>I found myself enjoying and learning quite</w:t>
      </w:r>
      <w:r w:rsidRPr="000002EE">
        <w:rPr>
          <w:rFonts w:ascii="Times New Roman" w:eastAsia="Times New Roman" w:hAnsi="Times New Roman"/>
          <w:sz w:val="24"/>
          <w:szCs w:val="24"/>
        </w:rPr>
        <w:t> </w:t>
      </w:r>
      <w:r w:rsidRPr="000002EE">
        <w:rPr>
          <w:rFonts w:ascii="Times New Roman" w:eastAsia="Times New Roman" w:hAnsi="Times New Roman"/>
          <w:sz w:val="24"/>
          <w:szCs w:val="24"/>
        </w:rPr>
        <w:t xml:space="preserve">a bit about </w:t>
      </w:r>
      <w:r>
        <w:rPr>
          <w:rFonts w:ascii="Times New Roman" w:eastAsia="Times New Roman" w:hAnsi="Times New Roman"/>
          <w:sz w:val="24"/>
          <w:szCs w:val="24"/>
        </w:rPr>
        <w:t>the b</w:t>
      </w:r>
      <w:r w:rsidRPr="000002EE">
        <w:rPr>
          <w:rFonts w:ascii="Times New Roman" w:eastAsia="Times New Roman" w:hAnsi="Times New Roman"/>
          <w:sz w:val="24"/>
          <w:szCs w:val="24"/>
        </w:rPr>
        <w:t>anking</w:t>
      </w:r>
      <w:r>
        <w:rPr>
          <w:rFonts w:ascii="Times New Roman" w:eastAsia="Times New Roman" w:hAnsi="Times New Roman"/>
          <w:sz w:val="24"/>
          <w:szCs w:val="24"/>
        </w:rPr>
        <w:t xml:space="preserve"> industry</w:t>
      </w:r>
      <w:r w:rsidRPr="000002EE">
        <w:rPr>
          <w:rFonts w:ascii="Times New Roman" w:eastAsia="Times New Roman" w:hAnsi="Times New Roman"/>
          <w:sz w:val="24"/>
          <w:szCs w:val="24"/>
        </w:rPr>
        <w:t xml:space="preserve"> during my internship at Dhaka Bank. My supervisors liked the work I</w:t>
      </w:r>
      <w:r w:rsidRPr="000002EE">
        <w:rPr>
          <w:rFonts w:ascii="Times New Roman" w:eastAsia="Times New Roman" w:hAnsi="Times New Roman"/>
          <w:sz w:val="24"/>
          <w:szCs w:val="24"/>
        </w:rPr>
        <w:t> </w:t>
      </w:r>
      <w:r w:rsidRPr="000002EE">
        <w:rPr>
          <w:rFonts w:ascii="Times New Roman" w:eastAsia="Times New Roman" w:hAnsi="Times New Roman"/>
          <w:sz w:val="24"/>
          <w:szCs w:val="24"/>
        </w:rPr>
        <w:t>produced. They did appreciate my</w:t>
      </w:r>
      <w:r w:rsidRPr="000002EE">
        <w:rPr>
          <w:rFonts w:ascii="Times New Roman" w:eastAsia="Times New Roman" w:hAnsi="Times New Roman"/>
          <w:sz w:val="24"/>
          <w:szCs w:val="24"/>
        </w:rPr>
        <w:t> </w:t>
      </w:r>
      <w:r w:rsidRPr="000002EE">
        <w:rPr>
          <w:rFonts w:ascii="Times New Roman" w:eastAsia="Times New Roman" w:hAnsi="Times New Roman"/>
          <w:sz w:val="24"/>
          <w:szCs w:val="24"/>
        </w:rPr>
        <w:t>precision-oriented mindset, ability to pick up concepts in a short amount of time and be proa</w:t>
      </w:r>
      <w:r>
        <w:rPr>
          <w:rFonts w:ascii="Times New Roman" w:eastAsia="Times New Roman" w:hAnsi="Times New Roman"/>
          <w:sz w:val="24"/>
          <w:szCs w:val="24"/>
        </w:rPr>
        <w:t xml:space="preserve">ctive in helping out the teams. </w:t>
      </w:r>
      <w:r w:rsidRPr="000002EE">
        <w:rPr>
          <w:rFonts w:ascii="Times New Roman" w:eastAsia="Times New Roman" w:hAnsi="Times New Roman"/>
          <w:sz w:val="24"/>
          <w:szCs w:val="24"/>
        </w:rPr>
        <w:t>Yet, they perceived there were opportunities for improvement, such as management of time</w:t>
      </w:r>
      <w:r w:rsidRPr="000002EE">
        <w:rPr>
          <w:rFonts w:ascii="Times New Roman" w:eastAsia="Times New Roman" w:hAnsi="Times New Roman"/>
          <w:sz w:val="24"/>
          <w:szCs w:val="24"/>
        </w:rPr>
        <w:t> </w:t>
      </w:r>
      <w:r w:rsidRPr="000002EE">
        <w:rPr>
          <w:rFonts w:ascii="Times New Roman" w:eastAsia="Times New Roman" w:hAnsi="Times New Roman"/>
          <w:sz w:val="24"/>
          <w:szCs w:val="24"/>
        </w:rPr>
        <w:t>with competing responsibilities or to maintain sufficiently complete notes in a busy environment. The constructive criticism</w:t>
      </w:r>
      <w:r w:rsidRPr="000002EE">
        <w:rPr>
          <w:rFonts w:ascii="Times New Roman" w:eastAsia="Times New Roman" w:hAnsi="Times New Roman"/>
          <w:sz w:val="24"/>
          <w:szCs w:val="24"/>
        </w:rPr>
        <w:t> </w:t>
      </w:r>
      <w:r w:rsidRPr="000002EE">
        <w:rPr>
          <w:rFonts w:ascii="Times New Roman" w:eastAsia="Times New Roman" w:hAnsi="Times New Roman"/>
          <w:sz w:val="24"/>
          <w:szCs w:val="24"/>
        </w:rPr>
        <w:t>enabled me to build on organizational and time management skills which have been translated into future professional obligations.</w:t>
      </w:r>
    </w:p>
    <w:p w14:paraId="2F2C9492" w14:textId="77777777" w:rsidR="00AD6078" w:rsidRPr="002469A9" w:rsidRDefault="00AD6078" w:rsidP="00015F25">
      <w:pPr>
        <w:pStyle w:val="Heading1"/>
        <w:jc w:val="left"/>
        <w:rPr>
          <w:rFonts w:ascii="Times New Roman" w:hAnsi="Times New Roman" w:cs="Times New Roman"/>
          <w:sz w:val="28"/>
        </w:rPr>
      </w:pPr>
      <w:bookmarkStart w:id="38" w:name="_Toc214949030"/>
      <w:r w:rsidRPr="002469A9">
        <w:rPr>
          <w:rFonts w:ascii="Times New Roman" w:hAnsi="Times New Roman" w:cs="Times New Roman"/>
          <w:sz w:val="28"/>
        </w:rPr>
        <w:lastRenderedPageBreak/>
        <w:t>3.5 Skills Applied</w:t>
      </w:r>
      <w:bookmarkEnd w:id="38"/>
    </w:p>
    <w:p w14:paraId="5C4C791B" w14:textId="77777777" w:rsidR="00F04F45" w:rsidRPr="00F04F45" w:rsidRDefault="00F04F45" w:rsidP="00F04F45">
      <w:p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sz w:val="24"/>
          <w:szCs w:val="24"/>
        </w:rPr>
        <w:t>During my internship, I applied a</w:t>
      </w:r>
      <w:r w:rsidRPr="00F04F45">
        <w:rPr>
          <w:rFonts w:ascii="Times New Roman" w:eastAsia="Times New Roman" w:hAnsi="Times New Roman"/>
          <w:sz w:val="24"/>
          <w:szCs w:val="24"/>
        </w:rPr>
        <w:t> </w:t>
      </w:r>
      <w:r w:rsidRPr="00F04F45">
        <w:rPr>
          <w:rFonts w:ascii="Times New Roman" w:eastAsia="Times New Roman" w:hAnsi="Times New Roman"/>
          <w:sz w:val="24"/>
          <w:szCs w:val="24"/>
        </w:rPr>
        <w:t>multitude of skills that I learned in my academic studies and internships.</w:t>
      </w:r>
    </w:p>
    <w:p w14:paraId="7CCEF95D" w14:textId="77777777" w:rsidR="00F04F45" w:rsidRPr="00F04F45" w:rsidRDefault="00F04F45" w:rsidP="00F04F45">
      <w:pPr>
        <w:pStyle w:val="ListParagraph"/>
        <w:numPr>
          <w:ilvl w:val="0"/>
          <w:numId w:val="34"/>
        </w:num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b/>
          <w:sz w:val="24"/>
          <w:szCs w:val="24"/>
        </w:rPr>
        <w:t>Analytical abilities:</w:t>
      </w:r>
      <w:r w:rsidRPr="00F04F45">
        <w:rPr>
          <w:rFonts w:ascii="Times New Roman" w:eastAsia="Times New Roman" w:hAnsi="Times New Roman"/>
          <w:sz w:val="24"/>
          <w:szCs w:val="24"/>
        </w:rPr>
        <w:t xml:space="preserve"> Working in</w:t>
      </w:r>
      <w:r w:rsidRPr="00F04F45">
        <w:rPr>
          <w:rFonts w:ascii="Times New Roman" w:hAnsi="Times New Roman"/>
          <w:sz w:val="24"/>
          <w:szCs w:val="24"/>
        </w:rPr>
        <w:t> </w:t>
      </w:r>
      <w:r w:rsidRPr="00F04F45">
        <w:rPr>
          <w:rFonts w:ascii="Times New Roman" w:eastAsia="Times New Roman" w:hAnsi="Times New Roman"/>
          <w:sz w:val="24"/>
          <w:szCs w:val="24"/>
        </w:rPr>
        <w:t>L/C Procedure Team, I was involved in critical scrutiny wherein we would subject the financial documents to analysis and authenticate them. So much better for</w:t>
      </w:r>
      <w:r w:rsidRPr="00F04F45">
        <w:rPr>
          <w:rFonts w:ascii="Times New Roman" w:hAnsi="Times New Roman"/>
          <w:sz w:val="24"/>
          <w:szCs w:val="24"/>
        </w:rPr>
        <w:t> </w:t>
      </w:r>
      <w:r w:rsidRPr="00F04F45">
        <w:rPr>
          <w:rFonts w:ascii="Times New Roman" w:eastAsia="Times New Roman" w:hAnsi="Times New Roman"/>
          <w:sz w:val="24"/>
          <w:szCs w:val="24"/>
        </w:rPr>
        <w:t>my critical thinking!</w:t>
      </w:r>
    </w:p>
    <w:p w14:paraId="2B416EF4" w14:textId="77777777" w:rsidR="00F04F45" w:rsidRPr="00F04F45" w:rsidRDefault="00F04F45" w:rsidP="00F04F45">
      <w:pPr>
        <w:pStyle w:val="ListParagraph"/>
        <w:numPr>
          <w:ilvl w:val="0"/>
          <w:numId w:val="34"/>
        </w:num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b/>
          <w:sz w:val="24"/>
          <w:szCs w:val="24"/>
        </w:rPr>
        <w:t>Pay attention to details:</w:t>
      </w:r>
      <w:r w:rsidRPr="00F04F45">
        <w:rPr>
          <w:rFonts w:ascii="Times New Roman" w:eastAsia="Times New Roman" w:hAnsi="Times New Roman"/>
          <w:sz w:val="24"/>
          <w:szCs w:val="24"/>
        </w:rPr>
        <w:t xml:space="preserve"> Accuracy was the rule when pulling Bills of Entry or uploading DOCUDEX</w:t>
      </w:r>
      <w:r w:rsidRPr="00F04F45">
        <w:rPr>
          <w:rFonts w:ascii="Times New Roman" w:hAnsi="Times New Roman"/>
          <w:sz w:val="24"/>
          <w:szCs w:val="24"/>
        </w:rPr>
        <w:t> </w:t>
      </w:r>
      <w:r w:rsidRPr="00F04F45">
        <w:rPr>
          <w:rFonts w:ascii="Times New Roman" w:eastAsia="Times New Roman" w:hAnsi="Times New Roman"/>
          <w:sz w:val="24"/>
          <w:szCs w:val="24"/>
        </w:rPr>
        <w:t>documents. This skill has played a key role in preventing errors</w:t>
      </w:r>
      <w:r w:rsidRPr="00F04F45">
        <w:rPr>
          <w:rFonts w:ascii="Times New Roman" w:hAnsi="Times New Roman"/>
          <w:sz w:val="24"/>
          <w:szCs w:val="24"/>
        </w:rPr>
        <w:t> </w:t>
      </w:r>
      <w:r w:rsidRPr="00F04F45">
        <w:rPr>
          <w:rFonts w:ascii="Times New Roman" w:eastAsia="Times New Roman" w:hAnsi="Times New Roman"/>
          <w:sz w:val="24"/>
          <w:szCs w:val="24"/>
        </w:rPr>
        <w:t>and keeping the workflow smooth among team members.</w:t>
      </w:r>
    </w:p>
    <w:p w14:paraId="084A5E63" w14:textId="77777777" w:rsidR="00F04F45" w:rsidRPr="00F04F45" w:rsidRDefault="00F04F45" w:rsidP="00F04F45">
      <w:pPr>
        <w:pStyle w:val="ListParagraph"/>
        <w:numPr>
          <w:ilvl w:val="0"/>
          <w:numId w:val="34"/>
        </w:num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b/>
          <w:sz w:val="24"/>
          <w:szCs w:val="24"/>
        </w:rPr>
        <w:t>Problem Solving &amp; Risk Management:</w:t>
      </w:r>
      <w:r w:rsidRPr="00F04F45">
        <w:rPr>
          <w:rFonts w:ascii="Times New Roman" w:eastAsia="Times New Roman" w:hAnsi="Times New Roman"/>
          <w:sz w:val="24"/>
          <w:szCs w:val="24"/>
        </w:rPr>
        <w:t xml:space="preserve"> I learned how institutions analyse risk related to letters of credit, such as credit, documentation discrepancy</w:t>
      </w:r>
      <w:r w:rsidRPr="00F04F45">
        <w:rPr>
          <w:rFonts w:ascii="Times New Roman" w:hAnsi="Times New Roman"/>
          <w:sz w:val="24"/>
          <w:szCs w:val="24"/>
        </w:rPr>
        <w:t> </w:t>
      </w:r>
      <w:r w:rsidRPr="00F04F45">
        <w:rPr>
          <w:rFonts w:ascii="Times New Roman" w:eastAsia="Times New Roman" w:hAnsi="Times New Roman"/>
          <w:sz w:val="24"/>
          <w:szCs w:val="24"/>
        </w:rPr>
        <w:t>and non-payment risk. I also improved my problem-solving skills by</w:t>
      </w:r>
      <w:r w:rsidRPr="00F04F45">
        <w:rPr>
          <w:rFonts w:ascii="Times New Roman" w:hAnsi="Times New Roman"/>
          <w:sz w:val="24"/>
          <w:szCs w:val="24"/>
        </w:rPr>
        <w:t> </w:t>
      </w:r>
      <w:r w:rsidRPr="00F04F45">
        <w:rPr>
          <w:rFonts w:ascii="Times New Roman" w:eastAsia="Times New Roman" w:hAnsi="Times New Roman"/>
          <w:sz w:val="24"/>
          <w:szCs w:val="24"/>
        </w:rPr>
        <w:t>witnessing the discrepancy and dispute settlement in the letter of credit cycle.</w:t>
      </w:r>
    </w:p>
    <w:p w14:paraId="2813A3FA" w14:textId="77777777" w:rsidR="00F04F45" w:rsidRPr="00F04F45" w:rsidRDefault="00F04F45" w:rsidP="00F04F45">
      <w:pPr>
        <w:pStyle w:val="ListParagraph"/>
        <w:numPr>
          <w:ilvl w:val="0"/>
          <w:numId w:val="34"/>
        </w:num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b/>
          <w:sz w:val="24"/>
          <w:szCs w:val="24"/>
        </w:rPr>
        <w:t>Technical Abilities:</w:t>
      </w:r>
      <w:r w:rsidRPr="00F04F45">
        <w:rPr>
          <w:rFonts w:ascii="Times New Roman" w:eastAsia="Times New Roman" w:hAnsi="Times New Roman"/>
          <w:sz w:val="24"/>
          <w:szCs w:val="24"/>
        </w:rPr>
        <w:t xml:space="preserve"> I used the bank software application (ASYCUDA, Bank’s internal website) to be able</w:t>
      </w:r>
      <w:r w:rsidRPr="00F04F45">
        <w:rPr>
          <w:rFonts w:ascii="Times New Roman" w:hAnsi="Times New Roman"/>
          <w:sz w:val="24"/>
          <w:szCs w:val="24"/>
        </w:rPr>
        <w:t> </w:t>
      </w:r>
      <w:r w:rsidRPr="00F04F45">
        <w:rPr>
          <w:rFonts w:ascii="Times New Roman" w:eastAsia="Times New Roman" w:hAnsi="Times New Roman"/>
          <w:sz w:val="24"/>
          <w:szCs w:val="24"/>
        </w:rPr>
        <w:t>to submit the documents. My acquaintance with the</w:t>
      </w:r>
      <w:r w:rsidRPr="00F04F45">
        <w:rPr>
          <w:rFonts w:ascii="Times New Roman" w:hAnsi="Times New Roman"/>
          <w:sz w:val="24"/>
          <w:szCs w:val="24"/>
        </w:rPr>
        <w:t> </w:t>
      </w:r>
      <w:r w:rsidRPr="00F04F45">
        <w:rPr>
          <w:rFonts w:ascii="Times New Roman" w:eastAsia="Times New Roman" w:hAnsi="Times New Roman"/>
          <w:sz w:val="24"/>
          <w:szCs w:val="24"/>
        </w:rPr>
        <w:t>banking software system increased, and my technical skills were raised.</w:t>
      </w:r>
    </w:p>
    <w:p w14:paraId="14868783" w14:textId="77777777" w:rsidR="00F04F45" w:rsidRPr="00F04F45" w:rsidRDefault="00F04F45" w:rsidP="00F04F45">
      <w:pPr>
        <w:pStyle w:val="ListParagraph"/>
        <w:numPr>
          <w:ilvl w:val="0"/>
          <w:numId w:val="34"/>
        </w:num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b/>
          <w:sz w:val="24"/>
          <w:szCs w:val="24"/>
        </w:rPr>
        <w:t>Communication:</w:t>
      </w:r>
      <w:r w:rsidRPr="00F04F45">
        <w:rPr>
          <w:rFonts w:ascii="Times New Roman" w:eastAsia="Times New Roman" w:hAnsi="Times New Roman"/>
          <w:sz w:val="24"/>
          <w:szCs w:val="24"/>
        </w:rPr>
        <w:t xml:space="preserve"> Working in diverse teams</w:t>
      </w:r>
      <w:r w:rsidRPr="00F04F45">
        <w:rPr>
          <w:rFonts w:ascii="Times New Roman" w:hAnsi="Times New Roman"/>
          <w:sz w:val="24"/>
          <w:szCs w:val="24"/>
        </w:rPr>
        <w:t> </w:t>
      </w:r>
      <w:r w:rsidRPr="00F04F45">
        <w:rPr>
          <w:rFonts w:ascii="Times New Roman" w:eastAsia="Times New Roman" w:hAnsi="Times New Roman"/>
          <w:sz w:val="24"/>
          <w:szCs w:val="24"/>
        </w:rPr>
        <w:t>required clear and frequent communication. I worked with the colleagues and senior personnel to clarify tasks, report</w:t>
      </w:r>
      <w:r w:rsidRPr="00F04F45">
        <w:rPr>
          <w:rFonts w:ascii="Times New Roman" w:hAnsi="Times New Roman"/>
          <w:sz w:val="24"/>
          <w:szCs w:val="24"/>
        </w:rPr>
        <w:t> </w:t>
      </w:r>
      <w:r w:rsidRPr="00F04F45">
        <w:rPr>
          <w:rFonts w:ascii="Times New Roman" w:eastAsia="Times New Roman" w:hAnsi="Times New Roman"/>
          <w:sz w:val="24"/>
          <w:szCs w:val="24"/>
        </w:rPr>
        <w:t>on progress, and get things sorted out as necessary. My ability work well as a team “player” and my</w:t>
      </w:r>
      <w:r w:rsidRPr="00F04F45">
        <w:rPr>
          <w:rFonts w:ascii="Times New Roman" w:hAnsi="Times New Roman"/>
          <w:sz w:val="24"/>
          <w:szCs w:val="24"/>
        </w:rPr>
        <w:t> </w:t>
      </w:r>
      <w:r w:rsidRPr="00F04F45">
        <w:rPr>
          <w:rFonts w:ascii="Times New Roman" w:eastAsia="Times New Roman" w:hAnsi="Times New Roman"/>
          <w:sz w:val="24"/>
          <w:szCs w:val="24"/>
        </w:rPr>
        <w:t>skills to communicate at the professional level were enforced by this experience.</w:t>
      </w:r>
    </w:p>
    <w:p w14:paraId="08097054" w14:textId="77777777" w:rsidR="00F04F45" w:rsidRPr="00F04F45" w:rsidRDefault="00F04F45" w:rsidP="00F04F45">
      <w:pPr>
        <w:pStyle w:val="ListParagraph"/>
        <w:numPr>
          <w:ilvl w:val="0"/>
          <w:numId w:val="34"/>
        </w:numPr>
        <w:spacing w:before="100" w:beforeAutospacing="1" w:after="100" w:afterAutospacing="1" w:line="360" w:lineRule="auto"/>
        <w:jc w:val="both"/>
        <w:rPr>
          <w:rFonts w:ascii="Times New Roman" w:eastAsia="Times New Roman" w:hAnsi="Times New Roman"/>
          <w:sz w:val="24"/>
          <w:szCs w:val="24"/>
        </w:rPr>
      </w:pPr>
      <w:r w:rsidRPr="00F04F45">
        <w:rPr>
          <w:rFonts w:ascii="Times New Roman" w:eastAsia="Times New Roman" w:hAnsi="Times New Roman"/>
          <w:b/>
          <w:sz w:val="24"/>
          <w:szCs w:val="24"/>
        </w:rPr>
        <w:t>Time management:</w:t>
      </w:r>
      <w:r w:rsidRPr="00F04F45">
        <w:rPr>
          <w:rFonts w:ascii="Times New Roman" w:eastAsia="Times New Roman" w:hAnsi="Times New Roman"/>
          <w:sz w:val="24"/>
          <w:szCs w:val="24"/>
        </w:rPr>
        <w:t xml:space="preserve"> Handling several tasks and deadlines allowed</w:t>
      </w:r>
      <w:r w:rsidRPr="00F04F45">
        <w:rPr>
          <w:rFonts w:ascii="Times New Roman" w:hAnsi="Times New Roman"/>
          <w:sz w:val="24"/>
          <w:szCs w:val="24"/>
        </w:rPr>
        <w:t> </w:t>
      </w:r>
      <w:r w:rsidRPr="00F04F45">
        <w:rPr>
          <w:rFonts w:ascii="Times New Roman" w:eastAsia="Times New Roman" w:hAnsi="Times New Roman"/>
          <w:sz w:val="24"/>
          <w:szCs w:val="24"/>
        </w:rPr>
        <w:t>me to further develop my time management skills. This is especially critical</w:t>
      </w:r>
      <w:r w:rsidRPr="00F04F45">
        <w:rPr>
          <w:rFonts w:ascii="Times New Roman" w:hAnsi="Times New Roman"/>
          <w:sz w:val="24"/>
          <w:szCs w:val="24"/>
        </w:rPr>
        <w:t> </w:t>
      </w:r>
      <w:r w:rsidRPr="00F04F45">
        <w:rPr>
          <w:rFonts w:ascii="Times New Roman" w:eastAsia="Times New Roman" w:hAnsi="Times New Roman"/>
          <w:sz w:val="24"/>
          <w:szCs w:val="24"/>
        </w:rPr>
        <w:t>for the banking industry, where tasks often are time-sensitive and require immediate processing.</w:t>
      </w:r>
    </w:p>
    <w:p w14:paraId="6D2701C8" w14:textId="77777777" w:rsidR="000002EE" w:rsidRDefault="000002EE" w:rsidP="00F16DF5">
      <w:pPr>
        <w:pStyle w:val="Title"/>
        <w:rPr>
          <w:color w:val="000000" w:themeColor="text1"/>
        </w:rPr>
      </w:pPr>
    </w:p>
    <w:p w14:paraId="0C7C4980" w14:textId="77777777" w:rsidR="000002EE" w:rsidRDefault="000002EE" w:rsidP="00F16DF5">
      <w:pPr>
        <w:pStyle w:val="Title"/>
        <w:rPr>
          <w:color w:val="000000" w:themeColor="text1"/>
        </w:rPr>
      </w:pPr>
    </w:p>
    <w:p w14:paraId="171C6016" w14:textId="77777777" w:rsidR="000002EE" w:rsidRDefault="000002EE" w:rsidP="00F16DF5">
      <w:pPr>
        <w:pStyle w:val="Title"/>
        <w:rPr>
          <w:color w:val="000000" w:themeColor="text1"/>
        </w:rPr>
      </w:pPr>
    </w:p>
    <w:p w14:paraId="369EE264" w14:textId="77777777" w:rsidR="000002EE" w:rsidRDefault="000002EE" w:rsidP="00F16DF5">
      <w:pPr>
        <w:pStyle w:val="Title"/>
        <w:rPr>
          <w:color w:val="000000" w:themeColor="text1"/>
        </w:rPr>
      </w:pPr>
    </w:p>
    <w:p w14:paraId="085FEB3A" w14:textId="77777777" w:rsidR="000002EE" w:rsidRDefault="000002EE" w:rsidP="00F16DF5">
      <w:pPr>
        <w:pStyle w:val="Title"/>
        <w:rPr>
          <w:color w:val="000000" w:themeColor="text1"/>
        </w:rPr>
      </w:pPr>
    </w:p>
    <w:p w14:paraId="62CFBBD4" w14:textId="77777777" w:rsidR="00224EA7" w:rsidRDefault="00224EA7" w:rsidP="00F16DF5">
      <w:pPr>
        <w:pStyle w:val="Title"/>
        <w:rPr>
          <w:color w:val="000000" w:themeColor="text1"/>
        </w:rPr>
      </w:pPr>
    </w:p>
    <w:p w14:paraId="566590DA" w14:textId="77777777" w:rsidR="00224EA7" w:rsidRDefault="00224EA7" w:rsidP="00F16DF5">
      <w:pPr>
        <w:pStyle w:val="Title"/>
        <w:rPr>
          <w:color w:val="000000" w:themeColor="text1"/>
        </w:rPr>
      </w:pPr>
    </w:p>
    <w:p w14:paraId="1172D710" w14:textId="77777777" w:rsidR="00224EA7" w:rsidRDefault="00224EA7" w:rsidP="00F16DF5">
      <w:pPr>
        <w:pStyle w:val="Title"/>
        <w:rPr>
          <w:color w:val="000000" w:themeColor="text1"/>
        </w:rPr>
      </w:pPr>
    </w:p>
    <w:p w14:paraId="7DB12872" w14:textId="77777777" w:rsidR="00224EA7" w:rsidRDefault="00224EA7" w:rsidP="00F16DF5">
      <w:pPr>
        <w:pStyle w:val="Title"/>
        <w:rPr>
          <w:color w:val="000000" w:themeColor="text1"/>
        </w:rPr>
      </w:pPr>
    </w:p>
    <w:p w14:paraId="1069A0FE" w14:textId="77777777" w:rsidR="00F16DF5" w:rsidRPr="00F16DF5" w:rsidRDefault="00F16DF5" w:rsidP="00F16DF5">
      <w:pPr>
        <w:pStyle w:val="Title"/>
        <w:rPr>
          <w:color w:val="000000" w:themeColor="text1"/>
        </w:rPr>
      </w:pPr>
      <w:r w:rsidRPr="00F16DF5">
        <w:rPr>
          <w:color w:val="000000" w:themeColor="text1"/>
        </w:rPr>
        <w:t>CHAPTER: 4</w:t>
      </w:r>
    </w:p>
    <w:p w14:paraId="3F51E240" w14:textId="77777777" w:rsidR="00F16DF5" w:rsidRPr="00F16DF5" w:rsidRDefault="00F16DF5" w:rsidP="00F16DF5">
      <w:pPr>
        <w:pStyle w:val="Title"/>
        <w:rPr>
          <w:color w:val="0070C0"/>
        </w:rPr>
      </w:pPr>
      <w:r w:rsidRPr="00F16DF5">
        <w:rPr>
          <w:color w:val="0070C0"/>
        </w:rPr>
        <w:t>Analysis on Risk Management Practices of Dhaka Bank PLC</w:t>
      </w:r>
    </w:p>
    <w:p w14:paraId="43619102" w14:textId="77777777" w:rsidR="00F86E55" w:rsidRPr="00F86E55" w:rsidRDefault="00F86E55" w:rsidP="00F86E55"/>
    <w:p w14:paraId="1104D8D0" w14:textId="77777777" w:rsidR="00BD524F" w:rsidRDefault="00BD524F">
      <w:pPr>
        <w:jc w:val="center"/>
        <w:rPr>
          <w:rFonts w:ascii="Arial" w:hAnsi="Arial" w:cs="Arial"/>
          <w:sz w:val="24"/>
          <w:szCs w:val="24"/>
        </w:rPr>
      </w:pPr>
    </w:p>
    <w:p w14:paraId="01FE6A4D" w14:textId="77777777" w:rsidR="00BD524F" w:rsidRDefault="00BD524F"/>
    <w:p w14:paraId="1840AB12" w14:textId="77777777" w:rsidR="00BD524F" w:rsidRDefault="00BD524F"/>
    <w:p w14:paraId="03EF93A2" w14:textId="77777777" w:rsidR="00BD524F" w:rsidRDefault="00BD524F"/>
    <w:p w14:paraId="18FF59EA" w14:textId="77777777" w:rsidR="00BD524F" w:rsidRDefault="00BD524F"/>
    <w:p w14:paraId="172911FE" w14:textId="77777777" w:rsidR="00BD524F" w:rsidRDefault="00BD524F"/>
    <w:p w14:paraId="1DA408A7" w14:textId="77777777" w:rsidR="00BD524F" w:rsidRDefault="00BD524F"/>
    <w:p w14:paraId="38ECBE2B" w14:textId="77777777" w:rsidR="00BD524F" w:rsidRDefault="00BD524F"/>
    <w:p w14:paraId="6D4846BE" w14:textId="77777777" w:rsidR="00BD524F" w:rsidRDefault="00BD524F"/>
    <w:p w14:paraId="08CEE009" w14:textId="77777777" w:rsidR="00BD524F" w:rsidRDefault="00BD524F"/>
    <w:p w14:paraId="03757A3D" w14:textId="77777777" w:rsidR="00BD524F" w:rsidRDefault="00BD524F"/>
    <w:p w14:paraId="4CDF15C8" w14:textId="77777777" w:rsidR="00BD524F" w:rsidRDefault="00BD524F"/>
    <w:p w14:paraId="25536629" w14:textId="77777777" w:rsidR="00BD524F" w:rsidRDefault="00BD524F"/>
    <w:p w14:paraId="0B82F7D5" w14:textId="77777777" w:rsidR="00015F25" w:rsidRDefault="00015F25" w:rsidP="00F16DF5">
      <w:pPr>
        <w:spacing w:line="360" w:lineRule="auto"/>
        <w:jc w:val="both"/>
        <w:rPr>
          <w:rFonts w:ascii="Times New Roman" w:hAnsi="Times New Roman"/>
          <w:bCs/>
          <w:sz w:val="24"/>
          <w:szCs w:val="24"/>
        </w:rPr>
      </w:pPr>
    </w:p>
    <w:p w14:paraId="3A6A5E0D" w14:textId="77777777" w:rsidR="007C1670" w:rsidRPr="000050A3" w:rsidRDefault="007C1670" w:rsidP="004626B4">
      <w:pPr>
        <w:spacing w:before="100" w:beforeAutospacing="1" w:after="100" w:afterAutospacing="1" w:line="360" w:lineRule="auto"/>
        <w:jc w:val="both"/>
        <w:rPr>
          <w:rFonts w:ascii="Times New Roman" w:eastAsia="Times New Roman" w:hAnsi="Times New Roman"/>
          <w:sz w:val="24"/>
          <w:szCs w:val="24"/>
        </w:rPr>
      </w:pPr>
      <w:r w:rsidRPr="000050A3">
        <w:rPr>
          <w:rFonts w:ascii="Times New Roman" w:eastAsia="Times New Roman" w:hAnsi="Times New Roman"/>
          <w:sz w:val="24"/>
          <w:szCs w:val="24"/>
        </w:rPr>
        <w:lastRenderedPageBreak/>
        <w:t>This part bridges the</w:t>
      </w:r>
      <w:r w:rsidRPr="000050A3">
        <w:rPr>
          <w:rFonts w:ascii="Times New Roman" w:eastAsia="Times New Roman" w:hAnsi="Times New Roman"/>
          <w:sz w:val="24"/>
          <w:szCs w:val="24"/>
        </w:rPr>
        <w:t> </w:t>
      </w:r>
      <w:r w:rsidRPr="000050A3">
        <w:rPr>
          <w:rFonts w:ascii="Times New Roman" w:eastAsia="Times New Roman" w:hAnsi="Times New Roman"/>
          <w:sz w:val="24"/>
          <w:szCs w:val="24"/>
        </w:rPr>
        <w:t>gap between theory and practice by discussing how Dhaka bank practices risk management in various risk categories.</w:t>
      </w:r>
    </w:p>
    <w:p w14:paraId="1DA6F0FE" w14:textId="77777777" w:rsidR="00F16DF5" w:rsidRDefault="00F16DF5" w:rsidP="00E94B0F">
      <w:pPr>
        <w:pStyle w:val="Heading1"/>
        <w:jc w:val="left"/>
        <w:rPr>
          <w:rFonts w:ascii="Times New Roman" w:hAnsi="Times New Roman" w:cs="Times New Roman"/>
          <w:sz w:val="28"/>
        </w:rPr>
      </w:pPr>
      <w:bookmarkStart w:id="39" w:name="_Toc214949031"/>
      <w:r w:rsidRPr="003C682B">
        <w:rPr>
          <w:rFonts w:ascii="Times New Roman" w:hAnsi="Times New Roman" w:cs="Times New Roman"/>
          <w:sz w:val="28"/>
        </w:rPr>
        <w:t>4.1 Credit Risk Management</w:t>
      </w:r>
      <w:bookmarkEnd w:id="39"/>
    </w:p>
    <w:p w14:paraId="2877F2B4" w14:textId="77777777" w:rsidR="004626B4" w:rsidRPr="004626B4" w:rsidRDefault="004626B4" w:rsidP="004626B4"/>
    <w:p w14:paraId="1CA6A03C" w14:textId="77777777" w:rsidR="007C1670" w:rsidRPr="00197D22" w:rsidRDefault="007C1670" w:rsidP="00197D22">
      <w:pPr>
        <w:spacing w:line="360" w:lineRule="auto"/>
        <w:jc w:val="both"/>
        <w:rPr>
          <w:rFonts w:ascii="Times New Roman" w:hAnsi="Times New Roman"/>
          <w:sz w:val="24"/>
          <w:szCs w:val="24"/>
        </w:rPr>
      </w:pPr>
      <w:r w:rsidRPr="00197D22">
        <w:rPr>
          <w:rFonts w:ascii="Times New Roman" w:hAnsi="Times New Roman"/>
          <w:sz w:val="24"/>
          <w:szCs w:val="24"/>
        </w:rPr>
        <w:t>Because loans and advances represent the largest group of assets, credit risk is Dhaka</w:t>
      </w:r>
      <w:r w:rsidRPr="00197D22">
        <w:rPr>
          <w:rFonts w:ascii="Times New Roman" w:hAnsi="Times New Roman"/>
          <w:sz w:val="24"/>
          <w:szCs w:val="24"/>
        </w:rPr>
        <w:t> </w:t>
      </w:r>
      <w:r w:rsidRPr="00197D22">
        <w:rPr>
          <w:rFonts w:ascii="Times New Roman" w:hAnsi="Times New Roman"/>
          <w:sz w:val="24"/>
          <w:szCs w:val="24"/>
        </w:rPr>
        <w:t>Bank's key risk. To manage this risk through the life-cycle of credits,</w:t>
      </w:r>
      <w:r w:rsidRPr="00197D22">
        <w:rPr>
          <w:rFonts w:ascii="Times New Roman" w:hAnsi="Times New Roman"/>
          <w:sz w:val="24"/>
          <w:szCs w:val="24"/>
        </w:rPr>
        <w:t> </w:t>
      </w:r>
      <w:r w:rsidRPr="00197D22">
        <w:rPr>
          <w:rFonts w:ascii="Times New Roman" w:hAnsi="Times New Roman"/>
          <w:sz w:val="24"/>
          <w:szCs w:val="24"/>
        </w:rPr>
        <w:t>the bank has developed voluminous policies and procedures.</w:t>
      </w:r>
    </w:p>
    <w:p w14:paraId="3F5DE428" w14:textId="77777777" w:rsidR="00F16DF5" w:rsidRPr="003C682B" w:rsidRDefault="00F16DF5" w:rsidP="00E94B0F">
      <w:pPr>
        <w:pStyle w:val="Heading2"/>
        <w:rPr>
          <w:rFonts w:ascii="Times New Roman" w:hAnsi="Times New Roman" w:cs="Times New Roman"/>
          <w:b/>
          <w:sz w:val="24"/>
          <w:szCs w:val="24"/>
        </w:rPr>
      </w:pPr>
      <w:bookmarkStart w:id="40" w:name="_Toc214949032"/>
      <w:r w:rsidRPr="003C682B">
        <w:rPr>
          <w:rFonts w:ascii="Times New Roman" w:hAnsi="Times New Roman" w:cs="Times New Roman"/>
          <w:b/>
          <w:sz w:val="24"/>
          <w:szCs w:val="24"/>
        </w:rPr>
        <w:t>4.1.1 Loan Approval Process</w:t>
      </w:r>
      <w:bookmarkEnd w:id="40"/>
    </w:p>
    <w:p w14:paraId="10069B84" w14:textId="77777777" w:rsidR="007C1670" w:rsidRPr="007C1670" w:rsidRDefault="007C1670" w:rsidP="007C1670">
      <w:pPr>
        <w:spacing w:line="360" w:lineRule="auto"/>
        <w:jc w:val="both"/>
        <w:rPr>
          <w:rFonts w:ascii="Times New Roman" w:hAnsi="Times New Roman"/>
          <w:bCs/>
          <w:sz w:val="24"/>
          <w:szCs w:val="24"/>
        </w:rPr>
      </w:pPr>
      <w:r w:rsidRPr="007C1670">
        <w:rPr>
          <w:rFonts w:ascii="Times New Roman" w:hAnsi="Times New Roman"/>
          <w:bCs/>
          <w:sz w:val="24"/>
          <w:szCs w:val="24"/>
        </w:rPr>
        <w:t>The structured and multi layered process of credit approval of Dhaka Bank is designed</w:t>
      </w:r>
      <w:r w:rsidRPr="007C1670">
        <w:rPr>
          <w:rFonts w:ascii="Times New Roman" w:hAnsi="Times New Roman"/>
          <w:bCs/>
          <w:sz w:val="24"/>
          <w:szCs w:val="24"/>
        </w:rPr>
        <w:t> </w:t>
      </w:r>
      <w:r w:rsidRPr="007C1670">
        <w:rPr>
          <w:rFonts w:ascii="Times New Roman" w:hAnsi="Times New Roman"/>
          <w:bCs/>
          <w:sz w:val="24"/>
          <w:szCs w:val="24"/>
        </w:rPr>
        <w:t>to have a prudent assessment and proper monitoring:</w:t>
      </w:r>
    </w:p>
    <w:p w14:paraId="6888C748" w14:textId="77777777" w:rsidR="007C1670" w:rsidRPr="007C1670" w:rsidRDefault="00F16DF5" w:rsidP="007C1670">
      <w:pPr>
        <w:spacing w:line="360" w:lineRule="auto"/>
        <w:jc w:val="both"/>
        <w:rPr>
          <w:rFonts w:ascii="Times New Roman" w:hAnsi="Times New Roman"/>
          <w:bCs/>
          <w:sz w:val="24"/>
          <w:szCs w:val="24"/>
        </w:rPr>
      </w:pPr>
      <w:r w:rsidRPr="006751AF">
        <w:rPr>
          <w:rFonts w:ascii="Times New Roman" w:hAnsi="Times New Roman"/>
          <w:b/>
          <w:bCs/>
          <w:sz w:val="24"/>
          <w:szCs w:val="24"/>
        </w:rPr>
        <w:t>Initial Assessment:</w:t>
      </w:r>
      <w:r w:rsidRPr="006751AF">
        <w:rPr>
          <w:rFonts w:ascii="Times New Roman" w:hAnsi="Times New Roman"/>
          <w:bCs/>
          <w:sz w:val="24"/>
          <w:szCs w:val="24"/>
        </w:rPr>
        <w:t xml:space="preserve"> </w:t>
      </w:r>
      <w:r w:rsidR="007C1670" w:rsidRPr="007C1670">
        <w:rPr>
          <w:rFonts w:ascii="Times New Roman" w:hAnsi="Times New Roman"/>
          <w:bCs/>
          <w:sz w:val="24"/>
          <w:szCs w:val="24"/>
        </w:rPr>
        <w:t>A Corporate Relationship Manager provides early level of assessment by way of preliminary screening when a customer comes to bank for credit, to judge the basic feasibility i.e., business visits, legality of business, regulatory guidelines and alignment with banks internal</w:t>
      </w:r>
      <w:r w:rsidR="007C1670" w:rsidRPr="007C1670">
        <w:rPr>
          <w:rFonts w:ascii="Times New Roman" w:hAnsi="Times New Roman"/>
          <w:bCs/>
          <w:sz w:val="24"/>
          <w:szCs w:val="24"/>
        </w:rPr>
        <w:t> </w:t>
      </w:r>
      <w:r w:rsidR="007C1670" w:rsidRPr="007C1670">
        <w:rPr>
          <w:rFonts w:ascii="Times New Roman" w:hAnsi="Times New Roman"/>
          <w:bCs/>
          <w:sz w:val="24"/>
          <w:szCs w:val="24"/>
        </w:rPr>
        <w:t>credit policy etc. This step also includes sanctions and anti-money</w:t>
      </w:r>
      <w:r w:rsidR="007C1670" w:rsidRPr="007C1670">
        <w:rPr>
          <w:rFonts w:ascii="Times New Roman" w:hAnsi="Times New Roman"/>
          <w:bCs/>
          <w:sz w:val="24"/>
          <w:szCs w:val="24"/>
        </w:rPr>
        <w:t> </w:t>
      </w:r>
      <w:r w:rsidR="007C1670" w:rsidRPr="007C1670">
        <w:rPr>
          <w:rFonts w:ascii="Times New Roman" w:hAnsi="Times New Roman"/>
          <w:bCs/>
          <w:sz w:val="24"/>
          <w:szCs w:val="24"/>
        </w:rPr>
        <w:t>laundering screening.</w:t>
      </w:r>
    </w:p>
    <w:tbl>
      <w:tblPr>
        <w:tblW w:w="8100" w:type="dxa"/>
        <w:jc w:val="center"/>
        <w:tblLook w:val="04A0" w:firstRow="1" w:lastRow="0" w:firstColumn="1" w:lastColumn="0" w:noHBand="0" w:noVBand="1"/>
      </w:tblPr>
      <w:tblGrid>
        <w:gridCol w:w="3300"/>
        <w:gridCol w:w="960"/>
        <w:gridCol w:w="960"/>
        <w:gridCol w:w="960"/>
        <w:gridCol w:w="960"/>
        <w:gridCol w:w="960"/>
      </w:tblGrid>
      <w:tr w:rsidR="00F16DF5" w:rsidRPr="006751AF" w14:paraId="2EA6FC11" w14:textId="77777777" w:rsidTr="001E3E58">
        <w:trPr>
          <w:trHeight w:val="300"/>
          <w:jc w:val="center"/>
        </w:trPr>
        <w:tc>
          <w:tcPr>
            <w:tcW w:w="3300" w:type="dxa"/>
            <w:tcBorders>
              <w:top w:val="single" w:sz="4" w:space="0" w:color="auto"/>
              <w:left w:val="single" w:sz="4" w:space="0" w:color="auto"/>
              <w:bottom w:val="single" w:sz="4" w:space="0" w:color="auto"/>
              <w:right w:val="single" w:sz="4" w:space="0" w:color="auto"/>
            </w:tcBorders>
            <w:vAlign w:val="center"/>
            <w:hideMark/>
          </w:tcPr>
          <w:p w14:paraId="6251F510"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KPI</w:t>
            </w:r>
          </w:p>
        </w:tc>
        <w:tc>
          <w:tcPr>
            <w:tcW w:w="960" w:type="dxa"/>
            <w:tcBorders>
              <w:top w:val="single" w:sz="4" w:space="0" w:color="auto"/>
              <w:left w:val="nil"/>
              <w:bottom w:val="single" w:sz="4" w:space="0" w:color="auto"/>
              <w:right w:val="single" w:sz="4" w:space="0" w:color="auto"/>
            </w:tcBorders>
            <w:vAlign w:val="center"/>
            <w:hideMark/>
          </w:tcPr>
          <w:p w14:paraId="7D3353D4"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vAlign w:val="center"/>
            <w:hideMark/>
          </w:tcPr>
          <w:p w14:paraId="3523F73C"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vAlign w:val="center"/>
            <w:hideMark/>
          </w:tcPr>
          <w:p w14:paraId="3FD07F28"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vAlign w:val="center"/>
            <w:hideMark/>
          </w:tcPr>
          <w:p w14:paraId="3CAAEA83"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vAlign w:val="center"/>
            <w:hideMark/>
          </w:tcPr>
          <w:p w14:paraId="03F37A49"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4A01C318" w14:textId="77777777" w:rsidTr="001E3E58">
        <w:trPr>
          <w:trHeight w:val="300"/>
          <w:jc w:val="center"/>
        </w:trPr>
        <w:tc>
          <w:tcPr>
            <w:tcW w:w="3300" w:type="dxa"/>
            <w:tcBorders>
              <w:top w:val="nil"/>
              <w:left w:val="single" w:sz="4" w:space="0" w:color="auto"/>
              <w:bottom w:val="single" w:sz="4" w:space="0" w:color="auto"/>
              <w:right w:val="single" w:sz="4" w:space="0" w:color="auto"/>
            </w:tcBorders>
            <w:vAlign w:val="center"/>
            <w:hideMark/>
          </w:tcPr>
          <w:p w14:paraId="5720DED5"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Initial Assessment Approval Rate</w:t>
            </w:r>
          </w:p>
        </w:tc>
        <w:tc>
          <w:tcPr>
            <w:tcW w:w="960" w:type="dxa"/>
            <w:tcBorders>
              <w:top w:val="nil"/>
              <w:left w:val="nil"/>
              <w:bottom w:val="single" w:sz="4" w:space="0" w:color="auto"/>
              <w:right w:val="single" w:sz="4" w:space="0" w:color="auto"/>
            </w:tcBorders>
            <w:vAlign w:val="center"/>
            <w:hideMark/>
          </w:tcPr>
          <w:p w14:paraId="2311763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85%</w:t>
            </w:r>
          </w:p>
        </w:tc>
        <w:tc>
          <w:tcPr>
            <w:tcW w:w="960" w:type="dxa"/>
            <w:tcBorders>
              <w:top w:val="nil"/>
              <w:left w:val="nil"/>
              <w:bottom w:val="single" w:sz="4" w:space="0" w:color="auto"/>
              <w:right w:val="single" w:sz="4" w:space="0" w:color="auto"/>
            </w:tcBorders>
            <w:vAlign w:val="center"/>
            <w:hideMark/>
          </w:tcPr>
          <w:p w14:paraId="6FF1A20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80%</w:t>
            </w:r>
          </w:p>
        </w:tc>
        <w:tc>
          <w:tcPr>
            <w:tcW w:w="960" w:type="dxa"/>
            <w:tcBorders>
              <w:top w:val="nil"/>
              <w:left w:val="nil"/>
              <w:bottom w:val="single" w:sz="4" w:space="0" w:color="auto"/>
              <w:right w:val="single" w:sz="4" w:space="0" w:color="auto"/>
            </w:tcBorders>
            <w:vAlign w:val="center"/>
            <w:hideMark/>
          </w:tcPr>
          <w:p w14:paraId="23E0E1C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88%</w:t>
            </w:r>
          </w:p>
        </w:tc>
        <w:tc>
          <w:tcPr>
            <w:tcW w:w="960" w:type="dxa"/>
            <w:tcBorders>
              <w:top w:val="nil"/>
              <w:left w:val="nil"/>
              <w:bottom w:val="single" w:sz="4" w:space="0" w:color="auto"/>
              <w:right w:val="single" w:sz="4" w:space="0" w:color="auto"/>
            </w:tcBorders>
            <w:vAlign w:val="center"/>
            <w:hideMark/>
          </w:tcPr>
          <w:p w14:paraId="0542218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90%</w:t>
            </w:r>
          </w:p>
        </w:tc>
        <w:tc>
          <w:tcPr>
            <w:tcW w:w="960" w:type="dxa"/>
            <w:tcBorders>
              <w:top w:val="nil"/>
              <w:left w:val="nil"/>
              <w:bottom w:val="single" w:sz="4" w:space="0" w:color="auto"/>
              <w:right w:val="single" w:sz="4" w:space="0" w:color="auto"/>
            </w:tcBorders>
            <w:vAlign w:val="center"/>
            <w:hideMark/>
          </w:tcPr>
          <w:p w14:paraId="550C0AA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92%</w:t>
            </w:r>
          </w:p>
        </w:tc>
      </w:tr>
    </w:tbl>
    <w:p w14:paraId="40A6576B" w14:textId="77777777" w:rsidR="007C1670" w:rsidRPr="007C1670" w:rsidRDefault="007C1670" w:rsidP="007C1670">
      <w:pPr>
        <w:spacing w:line="360" w:lineRule="auto"/>
        <w:jc w:val="both"/>
        <w:rPr>
          <w:rFonts w:ascii="Times New Roman" w:hAnsi="Times New Roman"/>
          <w:bCs/>
          <w:sz w:val="24"/>
          <w:szCs w:val="24"/>
        </w:rPr>
      </w:pPr>
      <w:r w:rsidRPr="007C1670">
        <w:rPr>
          <w:rFonts w:ascii="Times New Roman" w:hAnsi="Times New Roman"/>
          <w:bCs/>
          <w:sz w:val="24"/>
          <w:szCs w:val="24"/>
        </w:rPr>
        <w:t>Up particularly over</w:t>
      </w:r>
      <w:r w:rsidRPr="007C1670">
        <w:rPr>
          <w:rFonts w:ascii="Times New Roman" w:hAnsi="Times New Roman"/>
          <w:bCs/>
          <w:sz w:val="24"/>
          <w:szCs w:val="24"/>
        </w:rPr>
        <w:t> </w:t>
      </w:r>
      <w:r w:rsidRPr="007C1670">
        <w:rPr>
          <w:rFonts w:ascii="Times New Roman" w:hAnsi="Times New Roman"/>
          <w:bCs/>
          <w:sz w:val="24"/>
          <w:szCs w:val="24"/>
        </w:rPr>
        <w:t>the years with better client segmentation and reduced process.</w:t>
      </w:r>
    </w:p>
    <w:p w14:paraId="48748CB2" w14:textId="77777777" w:rsidR="007C1670" w:rsidRPr="007C1670" w:rsidRDefault="00F16DF5" w:rsidP="007C1670">
      <w:pPr>
        <w:spacing w:line="360" w:lineRule="auto"/>
        <w:jc w:val="both"/>
        <w:rPr>
          <w:rFonts w:ascii="Times New Roman" w:hAnsi="Times New Roman"/>
          <w:bCs/>
          <w:sz w:val="24"/>
          <w:szCs w:val="24"/>
        </w:rPr>
      </w:pPr>
      <w:r w:rsidRPr="006751AF">
        <w:rPr>
          <w:rFonts w:ascii="Times New Roman" w:hAnsi="Times New Roman"/>
          <w:b/>
          <w:bCs/>
          <w:sz w:val="24"/>
          <w:szCs w:val="24"/>
        </w:rPr>
        <w:t xml:space="preserve">Credit Analysis: </w:t>
      </w:r>
      <w:r w:rsidR="007C1670" w:rsidRPr="007C1670">
        <w:rPr>
          <w:rFonts w:ascii="Times New Roman" w:hAnsi="Times New Roman"/>
          <w:bCs/>
          <w:sz w:val="24"/>
          <w:szCs w:val="24"/>
        </w:rPr>
        <w:t>A complete credit investigation is conducted for eligible applications evaluating the standing of borrower’s industry, quality of management, feasibility and viability of business, and the repayment capacity. The analysis considers market conditions, cash flow projections, historical financial statements and</w:t>
      </w:r>
      <w:r w:rsidR="007C1670" w:rsidRPr="007C1670">
        <w:rPr>
          <w:rFonts w:ascii="Times New Roman" w:hAnsi="Times New Roman"/>
          <w:bCs/>
          <w:sz w:val="24"/>
          <w:szCs w:val="24"/>
        </w:rPr>
        <w:t> </w:t>
      </w:r>
      <w:r w:rsidR="007C1670" w:rsidRPr="007C1670">
        <w:rPr>
          <w:rFonts w:ascii="Times New Roman" w:hAnsi="Times New Roman"/>
          <w:bCs/>
          <w:sz w:val="24"/>
          <w:szCs w:val="24"/>
        </w:rPr>
        <w:t>the adequacy of collateral. For</w:t>
      </w:r>
      <w:r w:rsidR="007C1670" w:rsidRPr="007C1670">
        <w:rPr>
          <w:rFonts w:ascii="Times New Roman" w:hAnsi="Times New Roman"/>
          <w:bCs/>
          <w:sz w:val="24"/>
          <w:szCs w:val="24"/>
        </w:rPr>
        <w:t> </w:t>
      </w:r>
      <w:r w:rsidR="007C1670" w:rsidRPr="007C1670">
        <w:rPr>
          <w:rFonts w:ascii="Times New Roman" w:hAnsi="Times New Roman"/>
          <w:bCs/>
          <w:sz w:val="24"/>
          <w:szCs w:val="24"/>
        </w:rPr>
        <w:t>consistency, the bank leverages financial spreading software and standardized forms.</w:t>
      </w:r>
    </w:p>
    <w:tbl>
      <w:tblPr>
        <w:tblW w:w="8100" w:type="dxa"/>
        <w:jc w:val="center"/>
        <w:tblLook w:val="04A0" w:firstRow="1" w:lastRow="0" w:firstColumn="1" w:lastColumn="0" w:noHBand="0" w:noVBand="1"/>
      </w:tblPr>
      <w:tblGrid>
        <w:gridCol w:w="3300"/>
        <w:gridCol w:w="960"/>
        <w:gridCol w:w="960"/>
        <w:gridCol w:w="960"/>
        <w:gridCol w:w="960"/>
        <w:gridCol w:w="960"/>
      </w:tblGrid>
      <w:tr w:rsidR="00F16DF5" w:rsidRPr="006751AF" w14:paraId="51D209B7" w14:textId="77777777" w:rsidTr="001E3E58">
        <w:trPr>
          <w:trHeight w:val="300"/>
          <w:jc w:val="center"/>
        </w:trPr>
        <w:tc>
          <w:tcPr>
            <w:tcW w:w="3300" w:type="dxa"/>
            <w:tcBorders>
              <w:top w:val="single" w:sz="4" w:space="0" w:color="auto"/>
              <w:left w:val="single" w:sz="4" w:space="0" w:color="auto"/>
              <w:bottom w:val="single" w:sz="4" w:space="0" w:color="auto"/>
              <w:right w:val="single" w:sz="4" w:space="0" w:color="auto"/>
            </w:tcBorders>
            <w:vAlign w:val="center"/>
            <w:hideMark/>
          </w:tcPr>
          <w:p w14:paraId="3A4666ED"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KPI</w:t>
            </w:r>
          </w:p>
        </w:tc>
        <w:tc>
          <w:tcPr>
            <w:tcW w:w="960" w:type="dxa"/>
            <w:tcBorders>
              <w:top w:val="single" w:sz="4" w:space="0" w:color="auto"/>
              <w:left w:val="nil"/>
              <w:bottom w:val="single" w:sz="4" w:space="0" w:color="auto"/>
              <w:right w:val="single" w:sz="4" w:space="0" w:color="auto"/>
            </w:tcBorders>
            <w:vAlign w:val="center"/>
            <w:hideMark/>
          </w:tcPr>
          <w:p w14:paraId="39E758E8"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vAlign w:val="center"/>
            <w:hideMark/>
          </w:tcPr>
          <w:p w14:paraId="7B4A88B4"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vAlign w:val="center"/>
            <w:hideMark/>
          </w:tcPr>
          <w:p w14:paraId="756B6C14"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vAlign w:val="center"/>
            <w:hideMark/>
          </w:tcPr>
          <w:p w14:paraId="351E43DC"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vAlign w:val="center"/>
            <w:hideMark/>
          </w:tcPr>
          <w:p w14:paraId="651E2DDB"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2E632790" w14:textId="77777777" w:rsidTr="001E3E58">
        <w:trPr>
          <w:trHeight w:val="300"/>
          <w:jc w:val="center"/>
        </w:trPr>
        <w:tc>
          <w:tcPr>
            <w:tcW w:w="3300" w:type="dxa"/>
            <w:tcBorders>
              <w:top w:val="nil"/>
              <w:left w:val="single" w:sz="4" w:space="0" w:color="auto"/>
              <w:bottom w:val="single" w:sz="4" w:space="0" w:color="auto"/>
              <w:right w:val="single" w:sz="4" w:space="0" w:color="auto"/>
            </w:tcBorders>
            <w:vAlign w:val="center"/>
            <w:hideMark/>
          </w:tcPr>
          <w:p w14:paraId="01CBA58C"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Credit Analysis Completion Rate</w:t>
            </w:r>
          </w:p>
        </w:tc>
        <w:tc>
          <w:tcPr>
            <w:tcW w:w="960" w:type="dxa"/>
            <w:tcBorders>
              <w:top w:val="nil"/>
              <w:left w:val="nil"/>
              <w:bottom w:val="single" w:sz="4" w:space="0" w:color="auto"/>
              <w:right w:val="single" w:sz="4" w:space="0" w:color="auto"/>
            </w:tcBorders>
            <w:vAlign w:val="center"/>
            <w:hideMark/>
          </w:tcPr>
          <w:p w14:paraId="7C9AAD3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75%</w:t>
            </w:r>
          </w:p>
        </w:tc>
        <w:tc>
          <w:tcPr>
            <w:tcW w:w="960" w:type="dxa"/>
            <w:tcBorders>
              <w:top w:val="nil"/>
              <w:left w:val="nil"/>
              <w:bottom w:val="single" w:sz="4" w:space="0" w:color="auto"/>
              <w:right w:val="single" w:sz="4" w:space="0" w:color="auto"/>
            </w:tcBorders>
            <w:vAlign w:val="center"/>
            <w:hideMark/>
          </w:tcPr>
          <w:p w14:paraId="54F33FF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70%</w:t>
            </w:r>
          </w:p>
        </w:tc>
        <w:tc>
          <w:tcPr>
            <w:tcW w:w="960" w:type="dxa"/>
            <w:tcBorders>
              <w:top w:val="nil"/>
              <w:left w:val="nil"/>
              <w:bottom w:val="single" w:sz="4" w:space="0" w:color="auto"/>
              <w:right w:val="single" w:sz="4" w:space="0" w:color="auto"/>
            </w:tcBorders>
            <w:vAlign w:val="center"/>
            <w:hideMark/>
          </w:tcPr>
          <w:p w14:paraId="12EAC22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78%</w:t>
            </w:r>
          </w:p>
        </w:tc>
        <w:tc>
          <w:tcPr>
            <w:tcW w:w="960" w:type="dxa"/>
            <w:tcBorders>
              <w:top w:val="nil"/>
              <w:left w:val="nil"/>
              <w:bottom w:val="single" w:sz="4" w:space="0" w:color="auto"/>
              <w:right w:val="single" w:sz="4" w:space="0" w:color="auto"/>
            </w:tcBorders>
            <w:vAlign w:val="center"/>
            <w:hideMark/>
          </w:tcPr>
          <w:p w14:paraId="5327F61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80%</w:t>
            </w:r>
          </w:p>
        </w:tc>
        <w:tc>
          <w:tcPr>
            <w:tcW w:w="960" w:type="dxa"/>
            <w:tcBorders>
              <w:top w:val="nil"/>
              <w:left w:val="nil"/>
              <w:bottom w:val="single" w:sz="4" w:space="0" w:color="auto"/>
              <w:right w:val="single" w:sz="4" w:space="0" w:color="auto"/>
            </w:tcBorders>
            <w:vAlign w:val="center"/>
            <w:hideMark/>
          </w:tcPr>
          <w:p w14:paraId="3F189D9B"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82%</w:t>
            </w:r>
          </w:p>
        </w:tc>
      </w:tr>
    </w:tbl>
    <w:p w14:paraId="2CF19A80" w14:textId="77777777" w:rsidR="00F16DF5" w:rsidRDefault="00F16DF5" w:rsidP="00F16DF5">
      <w:pPr>
        <w:spacing w:line="360" w:lineRule="auto"/>
        <w:jc w:val="both"/>
        <w:rPr>
          <w:rFonts w:ascii="Times New Roman" w:hAnsi="Times New Roman"/>
          <w:bCs/>
          <w:sz w:val="24"/>
          <w:szCs w:val="24"/>
        </w:rPr>
      </w:pPr>
    </w:p>
    <w:p w14:paraId="4BC0FC83" w14:textId="77777777" w:rsidR="00F16DF5" w:rsidRDefault="00F16DF5" w:rsidP="00F16DF5">
      <w:pPr>
        <w:spacing w:line="360" w:lineRule="auto"/>
        <w:jc w:val="center"/>
        <w:rPr>
          <w:rFonts w:ascii="Times New Roman" w:hAnsi="Times New Roman"/>
          <w:bCs/>
          <w:sz w:val="24"/>
          <w:szCs w:val="24"/>
        </w:rPr>
      </w:pPr>
      <w:r>
        <w:rPr>
          <w:noProof/>
        </w:rPr>
        <w:lastRenderedPageBreak/>
        <w:drawing>
          <wp:inline distT="0" distB="0" distL="0" distR="0" wp14:anchorId="1B9CAF34" wp14:editId="64FA3135">
            <wp:extent cx="3981450" cy="2447925"/>
            <wp:effectExtent l="0" t="0" r="1905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5A40987" w14:textId="77777777" w:rsidR="007C1670" w:rsidRPr="007C1670" w:rsidRDefault="007C1670" w:rsidP="007C1670">
      <w:pPr>
        <w:spacing w:line="360" w:lineRule="auto"/>
        <w:jc w:val="both"/>
        <w:rPr>
          <w:rFonts w:ascii="Times New Roman" w:hAnsi="Times New Roman"/>
          <w:bCs/>
          <w:sz w:val="24"/>
          <w:szCs w:val="24"/>
        </w:rPr>
      </w:pPr>
      <w:r w:rsidRPr="007C1670">
        <w:rPr>
          <w:rFonts w:ascii="Times New Roman" w:hAnsi="Times New Roman"/>
          <w:bCs/>
          <w:sz w:val="24"/>
          <w:szCs w:val="24"/>
        </w:rPr>
        <w:t>Rises gradually as the bank upgrades to more sophisticated credit</w:t>
      </w:r>
      <w:r w:rsidRPr="007C1670">
        <w:rPr>
          <w:rFonts w:ascii="Times New Roman" w:hAnsi="Times New Roman"/>
          <w:bCs/>
          <w:sz w:val="24"/>
          <w:szCs w:val="24"/>
        </w:rPr>
        <w:t> </w:t>
      </w:r>
      <w:r w:rsidRPr="007C1670">
        <w:rPr>
          <w:rFonts w:ascii="Times New Roman" w:hAnsi="Times New Roman"/>
          <w:bCs/>
          <w:sz w:val="24"/>
          <w:szCs w:val="24"/>
        </w:rPr>
        <w:t>analysis tools.</w:t>
      </w:r>
    </w:p>
    <w:p w14:paraId="410E5503" w14:textId="77777777" w:rsidR="00116602" w:rsidRPr="00116602" w:rsidRDefault="00F16DF5" w:rsidP="00116602">
      <w:pPr>
        <w:spacing w:line="360" w:lineRule="auto"/>
        <w:jc w:val="both"/>
        <w:rPr>
          <w:rFonts w:ascii="Times New Roman" w:hAnsi="Times New Roman"/>
          <w:bCs/>
          <w:sz w:val="24"/>
          <w:szCs w:val="24"/>
        </w:rPr>
      </w:pPr>
      <w:r w:rsidRPr="006751AF">
        <w:rPr>
          <w:rFonts w:ascii="Times New Roman" w:hAnsi="Times New Roman"/>
          <w:b/>
          <w:bCs/>
          <w:sz w:val="24"/>
          <w:szCs w:val="24"/>
        </w:rPr>
        <w:t>Credit Risk Rating:</w:t>
      </w:r>
      <w:r w:rsidRPr="006751AF">
        <w:rPr>
          <w:rFonts w:ascii="Times New Roman" w:eastAsia="Times New Roman" w:hAnsi="Times New Roman"/>
          <w:sz w:val="24"/>
          <w:szCs w:val="24"/>
        </w:rPr>
        <w:t xml:space="preserve"> </w:t>
      </w:r>
      <w:r w:rsidR="00116602" w:rsidRPr="00116602">
        <w:rPr>
          <w:rFonts w:ascii="Times New Roman" w:hAnsi="Times New Roman"/>
          <w:bCs/>
          <w:sz w:val="24"/>
          <w:szCs w:val="24"/>
        </w:rPr>
        <w:t xml:space="preserve">Credit Risk </w:t>
      </w:r>
      <w:r w:rsidR="00116602">
        <w:rPr>
          <w:rFonts w:ascii="Times New Roman" w:hAnsi="Times New Roman"/>
          <w:bCs/>
          <w:sz w:val="24"/>
          <w:szCs w:val="24"/>
        </w:rPr>
        <w:t xml:space="preserve">Rating </w:t>
      </w:r>
      <w:r w:rsidR="00116602" w:rsidRPr="00116602">
        <w:rPr>
          <w:rFonts w:ascii="Times New Roman" w:hAnsi="Times New Roman"/>
          <w:bCs/>
          <w:sz w:val="24"/>
          <w:szCs w:val="24"/>
        </w:rPr>
        <w:t>is a collective definition based</w:t>
      </w:r>
      <w:r w:rsidR="00116602" w:rsidRPr="00116602">
        <w:rPr>
          <w:rFonts w:ascii="Times New Roman" w:hAnsi="Times New Roman"/>
          <w:bCs/>
          <w:sz w:val="24"/>
          <w:szCs w:val="24"/>
        </w:rPr>
        <w:t> </w:t>
      </w:r>
      <w:r w:rsidR="00116602" w:rsidRPr="00116602">
        <w:rPr>
          <w:rFonts w:ascii="Times New Roman" w:hAnsi="Times New Roman"/>
          <w:bCs/>
          <w:sz w:val="24"/>
          <w:szCs w:val="24"/>
        </w:rPr>
        <w:t>on pre-specified scale and reflects the underlying credit-risk for a given exposure In case of Dhaka Bank Limited, we use the following basis for determining and managing credit risk. Ratings, with associated default</w:t>
      </w:r>
      <w:r w:rsidR="00116602" w:rsidRPr="00116602">
        <w:rPr>
          <w:rFonts w:ascii="Times New Roman" w:hAnsi="Times New Roman"/>
          <w:bCs/>
          <w:sz w:val="24"/>
          <w:szCs w:val="24"/>
        </w:rPr>
        <w:t> </w:t>
      </w:r>
      <w:r w:rsidR="00116602" w:rsidRPr="00116602">
        <w:rPr>
          <w:rFonts w:ascii="Times New Roman" w:hAnsi="Times New Roman"/>
          <w:bCs/>
          <w:sz w:val="24"/>
          <w:szCs w:val="24"/>
        </w:rPr>
        <w:t>probability, vary from superior to default.</w:t>
      </w:r>
    </w:p>
    <w:tbl>
      <w:tblPr>
        <w:tblW w:w="8020" w:type="dxa"/>
        <w:jc w:val="center"/>
        <w:tblLook w:val="04A0" w:firstRow="1" w:lastRow="0" w:firstColumn="1" w:lastColumn="0" w:noHBand="0" w:noVBand="1"/>
      </w:tblPr>
      <w:tblGrid>
        <w:gridCol w:w="3220"/>
        <w:gridCol w:w="960"/>
        <w:gridCol w:w="960"/>
        <w:gridCol w:w="960"/>
        <w:gridCol w:w="960"/>
        <w:gridCol w:w="960"/>
      </w:tblGrid>
      <w:tr w:rsidR="00F16DF5" w:rsidRPr="006751AF" w14:paraId="352BB326" w14:textId="77777777" w:rsidTr="001E3E58">
        <w:trPr>
          <w:trHeight w:val="300"/>
          <w:jc w:val="center"/>
        </w:trPr>
        <w:tc>
          <w:tcPr>
            <w:tcW w:w="3220" w:type="dxa"/>
            <w:tcBorders>
              <w:top w:val="single" w:sz="4" w:space="0" w:color="auto"/>
              <w:left w:val="single" w:sz="4" w:space="0" w:color="auto"/>
              <w:bottom w:val="single" w:sz="4" w:space="0" w:color="auto"/>
              <w:right w:val="single" w:sz="4" w:space="0" w:color="auto"/>
            </w:tcBorders>
            <w:vAlign w:val="center"/>
            <w:hideMark/>
          </w:tcPr>
          <w:p w14:paraId="5DE02D2E"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Credit Risk Rating Distribution</w:t>
            </w:r>
          </w:p>
        </w:tc>
        <w:tc>
          <w:tcPr>
            <w:tcW w:w="960" w:type="dxa"/>
            <w:tcBorders>
              <w:top w:val="single" w:sz="4" w:space="0" w:color="auto"/>
              <w:left w:val="nil"/>
              <w:bottom w:val="single" w:sz="4" w:space="0" w:color="auto"/>
              <w:right w:val="single" w:sz="4" w:space="0" w:color="auto"/>
            </w:tcBorders>
            <w:vAlign w:val="center"/>
            <w:hideMark/>
          </w:tcPr>
          <w:p w14:paraId="7C32166C"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vAlign w:val="center"/>
            <w:hideMark/>
          </w:tcPr>
          <w:p w14:paraId="28932FD6"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vAlign w:val="center"/>
            <w:hideMark/>
          </w:tcPr>
          <w:p w14:paraId="319EEF4C"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vAlign w:val="center"/>
            <w:hideMark/>
          </w:tcPr>
          <w:p w14:paraId="394F062F"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vAlign w:val="center"/>
            <w:hideMark/>
          </w:tcPr>
          <w:p w14:paraId="27AD0F2B"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110E37DA" w14:textId="77777777" w:rsidTr="001E3E58">
        <w:trPr>
          <w:trHeight w:val="300"/>
          <w:jc w:val="center"/>
        </w:trPr>
        <w:tc>
          <w:tcPr>
            <w:tcW w:w="3220" w:type="dxa"/>
            <w:tcBorders>
              <w:top w:val="nil"/>
              <w:left w:val="single" w:sz="4" w:space="0" w:color="auto"/>
              <w:bottom w:val="single" w:sz="4" w:space="0" w:color="auto"/>
              <w:right w:val="single" w:sz="4" w:space="0" w:color="auto"/>
            </w:tcBorders>
            <w:vAlign w:val="center"/>
            <w:hideMark/>
          </w:tcPr>
          <w:p w14:paraId="68847A11"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Superior</w:t>
            </w:r>
          </w:p>
        </w:tc>
        <w:tc>
          <w:tcPr>
            <w:tcW w:w="960" w:type="dxa"/>
            <w:tcBorders>
              <w:top w:val="nil"/>
              <w:left w:val="nil"/>
              <w:bottom w:val="single" w:sz="4" w:space="0" w:color="auto"/>
              <w:right w:val="single" w:sz="4" w:space="0" w:color="auto"/>
            </w:tcBorders>
            <w:vAlign w:val="center"/>
            <w:hideMark/>
          </w:tcPr>
          <w:p w14:paraId="3D4BC00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10%</w:t>
            </w:r>
          </w:p>
        </w:tc>
        <w:tc>
          <w:tcPr>
            <w:tcW w:w="960" w:type="dxa"/>
            <w:tcBorders>
              <w:top w:val="nil"/>
              <w:left w:val="nil"/>
              <w:bottom w:val="single" w:sz="4" w:space="0" w:color="auto"/>
              <w:right w:val="single" w:sz="4" w:space="0" w:color="auto"/>
            </w:tcBorders>
            <w:vAlign w:val="center"/>
            <w:hideMark/>
          </w:tcPr>
          <w:p w14:paraId="1E12D54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w:t>
            </w:r>
          </w:p>
        </w:tc>
        <w:tc>
          <w:tcPr>
            <w:tcW w:w="960" w:type="dxa"/>
            <w:tcBorders>
              <w:top w:val="nil"/>
              <w:left w:val="nil"/>
              <w:bottom w:val="single" w:sz="4" w:space="0" w:color="auto"/>
              <w:right w:val="single" w:sz="4" w:space="0" w:color="auto"/>
            </w:tcBorders>
            <w:vAlign w:val="center"/>
            <w:hideMark/>
          </w:tcPr>
          <w:p w14:paraId="538D3E5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w:t>
            </w:r>
          </w:p>
        </w:tc>
        <w:tc>
          <w:tcPr>
            <w:tcW w:w="960" w:type="dxa"/>
            <w:tcBorders>
              <w:top w:val="nil"/>
              <w:left w:val="nil"/>
              <w:bottom w:val="single" w:sz="4" w:space="0" w:color="auto"/>
              <w:right w:val="single" w:sz="4" w:space="0" w:color="auto"/>
            </w:tcBorders>
            <w:vAlign w:val="center"/>
            <w:hideMark/>
          </w:tcPr>
          <w:p w14:paraId="6C9C795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13%</w:t>
            </w:r>
          </w:p>
        </w:tc>
        <w:tc>
          <w:tcPr>
            <w:tcW w:w="960" w:type="dxa"/>
            <w:tcBorders>
              <w:top w:val="nil"/>
              <w:left w:val="nil"/>
              <w:bottom w:val="single" w:sz="4" w:space="0" w:color="auto"/>
              <w:right w:val="single" w:sz="4" w:space="0" w:color="auto"/>
            </w:tcBorders>
            <w:vAlign w:val="center"/>
            <w:hideMark/>
          </w:tcPr>
          <w:p w14:paraId="49E92A7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15%</w:t>
            </w:r>
          </w:p>
        </w:tc>
      </w:tr>
      <w:tr w:rsidR="00F16DF5" w:rsidRPr="006751AF" w14:paraId="7830B80B" w14:textId="77777777" w:rsidTr="001E3E58">
        <w:trPr>
          <w:trHeight w:val="300"/>
          <w:jc w:val="center"/>
        </w:trPr>
        <w:tc>
          <w:tcPr>
            <w:tcW w:w="3220" w:type="dxa"/>
            <w:tcBorders>
              <w:top w:val="nil"/>
              <w:left w:val="single" w:sz="4" w:space="0" w:color="auto"/>
              <w:bottom w:val="single" w:sz="4" w:space="0" w:color="auto"/>
              <w:right w:val="single" w:sz="4" w:space="0" w:color="auto"/>
            </w:tcBorders>
            <w:vAlign w:val="center"/>
            <w:hideMark/>
          </w:tcPr>
          <w:p w14:paraId="698150E7"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Good</w:t>
            </w:r>
          </w:p>
        </w:tc>
        <w:tc>
          <w:tcPr>
            <w:tcW w:w="960" w:type="dxa"/>
            <w:tcBorders>
              <w:top w:val="nil"/>
              <w:left w:val="nil"/>
              <w:bottom w:val="single" w:sz="4" w:space="0" w:color="auto"/>
              <w:right w:val="single" w:sz="4" w:space="0" w:color="auto"/>
            </w:tcBorders>
            <w:vAlign w:val="center"/>
            <w:hideMark/>
          </w:tcPr>
          <w:p w14:paraId="21099C4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40%</w:t>
            </w:r>
          </w:p>
        </w:tc>
        <w:tc>
          <w:tcPr>
            <w:tcW w:w="960" w:type="dxa"/>
            <w:tcBorders>
              <w:top w:val="nil"/>
              <w:left w:val="nil"/>
              <w:bottom w:val="single" w:sz="4" w:space="0" w:color="auto"/>
              <w:right w:val="single" w:sz="4" w:space="0" w:color="auto"/>
            </w:tcBorders>
            <w:vAlign w:val="center"/>
            <w:hideMark/>
          </w:tcPr>
          <w:p w14:paraId="08BD8BB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38%</w:t>
            </w:r>
          </w:p>
        </w:tc>
        <w:tc>
          <w:tcPr>
            <w:tcW w:w="960" w:type="dxa"/>
            <w:tcBorders>
              <w:top w:val="nil"/>
              <w:left w:val="nil"/>
              <w:bottom w:val="single" w:sz="4" w:space="0" w:color="auto"/>
              <w:right w:val="single" w:sz="4" w:space="0" w:color="auto"/>
            </w:tcBorders>
            <w:vAlign w:val="center"/>
            <w:hideMark/>
          </w:tcPr>
          <w:p w14:paraId="6AA5B43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42%</w:t>
            </w:r>
          </w:p>
        </w:tc>
        <w:tc>
          <w:tcPr>
            <w:tcW w:w="960" w:type="dxa"/>
            <w:tcBorders>
              <w:top w:val="nil"/>
              <w:left w:val="nil"/>
              <w:bottom w:val="single" w:sz="4" w:space="0" w:color="auto"/>
              <w:right w:val="single" w:sz="4" w:space="0" w:color="auto"/>
            </w:tcBorders>
            <w:vAlign w:val="center"/>
            <w:hideMark/>
          </w:tcPr>
          <w:p w14:paraId="720049F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45%</w:t>
            </w:r>
          </w:p>
        </w:tc>
        <w:tc>
          <w:tcPr>
            <w:tcW w:w="960" w:type="dxa"/>
            <w:tcBorders>
              <w:top w:val="nil"/>
              <w:left w:val="nil"/>
              <w:bottom w:val="single" w:sz="4" w:space="0" w:color="auto"/>
              <w:right w:val="single" w:sz="4" w:space="0" w:color="auto"/>
            </w:tcBorders>
            <w:vAlign w:val="center"/>
            <w:hideMark/>
          </w:tcPr>
          <w:p w14:paraId="1021B530"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47%</w:t>
            </w:r>
          </w:p>
        </w:tc>
      </w:tr>
      <w:tr w:rsidR="00F16DF5" w:rsidRPr="006751AF" w14:paraId="75337BF8" w14:textId="77777777" w:rsidTr="001E3E58">
        <w:trPr>
          <w:trHeight w:val="300"/>
          <w:jc w:val="center"/>
        </w:trPr>
        <w:tc>
          <w:tcPr>
            <w:tcW w:w="3220" w:type="dxa"/>
            <w:tcBorders>
              <w:top w:val="nil"/>
              <w:left w:val="single" w:sz="4" w:space="0" w:color="auto"/>
              <w:bottom w:val="single" w:sz="4" w:space="0" w:color="auto"/>
              <w:right w:val="single" w:sz="4" w:space="0" w:color="auto"/>
            </w:tcBorders>
            <w:vAlign w:val="center"/>
            <w:hideMark/>
          </w:tcPr>
          <w:p w14:paraId="00117463"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Average</w:t>
            </w:r>
          </w:p>
        </w:tc>
        <w:tc>
          <w:tcPr>
            <w:tcW w:w="960" w:type="dxa"/>
            <w:tcBorders>
              <w:top w:val="nil"/>
              <w:left w:val="nil"/>
              <w:bottom w:val="single" w:sz="4" w:space="0" w:color="auto"/>
              <w:right w:val="single" w:sz="4" w:space="0" w:color="auto"/>
            </w:tcBorders>
            <w:vAlign w:val="center"/>
            <w:hideMark/>
          </w:tcPr>
          <w:p w14:paraId="38AAAD2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35%</w:t>
            </w:r>
          </w:p>
        </w:tc>
        <w:tc>
          <w:tcPr>
            <w:tcW w:w="960" w:type="dxa"/>
            <w:tcBorders>
              <w:top w:val="nil"/>
              <w:left w:val="nil"/>
              <w:bottom w:val="single" w:sz="4" w:space="0" w:color="auto"/>
              <w:right w:val="single" w:sz="4" w:space="0" w:color="auto"/>
            </w:tcBorders>
            <w:vAlign w:val="center"/>
            <w:hideMark/>
          </w:tcPr>
          <w:p w14:paraId="06C11A3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40%</w:t>
            </w:r>
          </w:p>
        </w:tc>
        <w:tc>
          <w:tcPr>
            <w:tcW w:w="960" w:type="dxa"/>
            <w:tcBorders>
              <w:top w:val="nil"/>
              <w:left w:val="nil"/>
              <w:bottom w:val="single" w:sz="4" w:space="0" w:color="auto"/>
              <w:right w:val="single" w:sz="4" w:space="0" w:color="auto"/>
            </w:tcBorders>
            <w:vAlign w:val="center"/>
            <w:hideMark/>
          </w:tcPr>
          <w:p w14:paraId="39188DA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30%</w:t>
            </w:r>
          </w:p>
        </w:tc>
        <w:tc>
          <w:tcPr>
            <w:tcW w:w="960" w:type="dxa"/>
            <w:tcBorders>
              <w:top w:val="nil"/>
              <w:left w:val="nil"/>
              <w:bottom w:val="single" w:sz="4" w:space="0" w:color="auto"/>
              <w:right w:val="single" w:sz="4" w:space="0" w:color="auto"/>
            </w:tcBorders>
            <w:vAlign w:val="center"/>
            <w:hideMark/>
          </w:tcPr>
          <w:p w14:paraId="7DFFCE7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28%</w:t>
            </w:r>
          </w:p>
        </w:tc>
        <w:tc>
          <w:tcPr>
            <w:tcW w:w="960" w:type="dxa"/>
            <w:tcBorders>
              <w:top w:val="nil"/>
              <w:left w:val="nil"/>
              <w:bottom w:val="single" w:sz="4" w:space="0" w:color="auto"/>
              <w:right w:val="single" w:sz="4" w:space="0" w:color="auto"/>
            </w:tcBorders>
            <w:vAlign w:val="center"/>
            <w:hideMark/>
          </w:tcPr>
          <w:p w14:paraId="59A0499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25%</w:t>
            </w:r>
          </w:p>
        </w:tc>
      </w:tr>
      <w:tr w:rsidR="00F16DF5" w:rsidRPr="006751AF" w14:paraId="68769631" w14:textId="77777777" w:rsidTr="001E3E58">
        <w:trPr>
          <w:trHeight w:val="300"/>
          <w:jc w:val="center"/>
        </w:trPr>
        <w:tc>
          <w:tcPr>
            <w:tcW w:w="3220" w:type="dxa"/>
            <w:tcBorders>
              <w:top w:val="nil"/>
              <w:left w:val="single" w:sz="4" w:space="0" w:color="auto"/>
              <w:bottom w:val="single" w:sz="4" w:space="0" w:color="auto"/>
              <w:right w:val="single" w:sz="4" w:space="0" w:color="auto"/>
            </w:tcBorders>
            <w:vAlign w:val="center"/>
            <w:hideMark/>
          </w:tcPr>
          <w:p w14:paraId="5327C4B1"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High Risk</w:t>
            </w:r>
          </w:p>
        </w:tc>
        <w:tc>
          <w:tcPr>
            <w:tcW w:w="960" w:type="dxa"/>
            <w:tcBorders>
              <w:top w:val="nil"/>
              <w:left w:val="nil"/>
              <w:bottom w:val="single" w:sz="4" w:space="0" w:color="auto"/>
              <w:right w:val="single" w:sz="4" w:space="0" w:color="auto"/>
            </w:tcBorders>
            <w:vAlign w:val="center"/>
            <w:hideMark/>
          </w:tcPr>
          <w:p w14:paraId="37B18DD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w:t>
            </w:r>
          </w:p>
        </w:tc>
        <w:tc>
          <w:tcPr>
            <w:tcW w:w="960" w:type="dxa"/>
            <w:tcBorders>
              <w:top w:val="nil"/>
              <w:left w:val="nil"/>
              <w:bottom w:val="single" w:sz="4" w:space="0" w:color="auto"/>
              <w:right w:val="single" w:sz="4" w:space="0" w:color="auto"/>
            </w:tcBorders>
            <w:vAlign w:val="center"/>
            <w:hideMark/>
          </w:tcPr>
          <w:p w14:paraId="319B859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13%</w:t>
            </w:r>
          </w:p>
        </w:tc>
        <w:tc>
          <w:tcPr>
            <w:tcW w:w="960" w:type="dxa"/>
            <w:tcBorders>
              <w:top w:val="nil"/>
              <w:left w:val="nil"/>
              <w:bottom w:val="single" w:sz="4" w:space="0" w:color="auto"/>
              <w:right w:val="single" w:sz="4" w:space="0" w:color="auto"/>
            </w:tcBorders>
            <w:vAlign w:val="center"/>
            <w:hideMark/>
          </w:tcPr>
          <w:p w14:paraId="3661B25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13%</w:t>
            </w:r>
          </w:p>
        </w:tc>
        <w:tc>
          <w:tcPr>
            <w:tcW w:w="960" w:type="dxa"/>
            <w:tcBorders>
              <w:top w:val="nil"/>
              <w:left w:val="nil"/>
              <w:bottom w:val="single" w:sz="4" w:space="0" w:color="auto"/>
              <w:right w:val="single" w:sz="4" w:space="0" w:color="auto"/>
            </w:tcBorders>
            <w:vAlign w:val="center"/>
            <w:hideMark/>
          </w:tcPr>
          <w:p w14:paraId="5D02EF4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w:t>
            </w:r>
          </w:p>
        </w:tc>
        <w:tc>
          <w:tcPr>
            <w:tcW w:w="960" w:type="dxa"/>
            <w:tcBorders>
              <w:top w:val="nil"/>
              <w:left w:val="nil"/>
              <w:bottom w:val="single" w:sz="4" w:space="0" w:color="auto"/>
              <w:right w:val="single" w:sz="4" w:space="0" w:color="auto"/>
            </w:tcBorders>
            <w:vAlign w:val="center"/>
            <w:hideMark/>
          </w:tcPr>
          <w:p w14:paraId="54A2111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10%</w:t>
            </w:r>
          </w:p>
        </w:tc>
      </w:tr>
      <w:tr w:rsidR="00F16DF5" w:rsidRPr="006751AF" w14:paraId="120D45F4" w14:textId="77777777" w:rsidTr="001E3E58">
        <w:trPr>
          <w:trHeight w:val="300"/>
          <w:jc w:val="center"/>
        </w:trPr>
        <w:tc>
          <w:tcPr>
            <w:tcW w:w="3220" w:type="dxa"/>
            <w:tcBorders>
              <w:top w:val="nil"/>
              <w:left w:val="single" w:sz="4" w:space="0" w:color="auto"/>
              <w:bottom w:val="single" w:sz="4" w:space="0" w:color="auto"/>
              <w:right w:val="single" w:sz="4" w:space="0" w:color="auto"/>
            </w:tcBorders>
            <w:vAlign w:val="center"/>
            <w:hideMark/>
          </w:tcPr>
          <w:p w14:paraId="286CB2CA"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Default</w:t>
            </w:r>
          </w:p>
        </w:tc>
        <w:tc>
          <w:tcPr>
            <w:tcW w:w="960" w:type="dxa"/>
            <w:tcBorders>
              <w:top w:val="nil"/>
              <w:left w:val="nil"/>
              <w:bottom w:val="single" w:sz="4" w:space="0" w:color="auto"/>
              <w:right w:val="single" w:sz="4" w:space="0" w:color="auto"/>
            </w:tcBorders>
            <w:vAlign w:val="center"/>
            <w:hideMark/>
          </w:tcPr>
          <w:p w14:paraId="6D13B2D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w:t>
            </w:r>
          </w:p>
        </w:tc>
        <w:tc>
          <w:tcPr>
            <w:tcW w:w="960" w:type="dxa"/>
            <w:tcBorders>
              <w:top w:val="nil"/>
              <w:left w:val="nil"/>
              <w:bottom w:val="single" w:sz="4" w:space="0" w:color="auto"/>
              <w:right w:val="single" w:sz="4" w:space="0" w:color="auto"/>
            </w:tcBorders>
            <w:vAlign w:val="center"/>
            <w:hideMark/>
          </w:tcPr>
          <w:p w14:paraId="27BFE80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w:t>
            </w:r>
          </w:p>
        </w:tc>
        <w:tc>
          <w:tcPr>
            <w:tcW w:w="960" w:type="dxa"/>
            <w:tcBorders>
              <w:top w:val="nil"/>
              <w:left w:val="nil"/>
              <w:bottom w:val="single" w:sz="4" w:space="0" w:color="auto"/>
              <w:right w:val="single" w:sz="4" w:space="0" w:color="auto"/>
            </w:tcBorders>
            <w:vAlign w:val="center"/>
            <w:hideMark/>
          </w:tcPr>
          <w:p w14:paraId="0835F26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w:t>
            </w:r>
          </w:p>
        </w:tc>
        <w:tc>
          <w:tcPr>
            <w:tcW w:w="960" w:type="dxa"/>
            <w:tcBorders>
              <w:top w:val="nil"/>
              <w:left w:val="nil"/>
              <w:bottom w:val="single" w:sz="4" w:space="0" w:color="auto"/>
              <w:right w:val="single" w:sz="4" w:space="0" w:color="auto"/>
            </w:tcBorders>
            <w:vAlign w:val="center"/>
            <w:hideMark/>
          </w:tcPr>
          <w:p w14:paraId="18A0E4F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w:t>
            </w:r>
          </w:p>
        </w:tc>
        <w:tc>
          <w:tcPr>
            <w:tcW w:w="960" w:type="dxa"/>
            <w:tcBorders>
              <w:top w:val="nil"/>
              <w:left w:val="nil"/>
              <w:bottom w:val="single" w:sz="4" w:space="0" w:color="auto"/>
              <w:right w:val="single" w:sz="4" w:space="0" w:color="auto"/>
            </w:tcBorders>
            <w:vAlign w:val="center"/>
            <w:hideMark/>
          </w:tcPr>
          <w:p w14:paraId="6F7C63CB"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w:t>
            </w:r>
          </w:p>
        </w:tc>
      </w:tr>
    </w:tbl>
    <w:p w14:paraId="22416800" w14:textId="77777777" w:rsidR="00116602" w:rsidRPr="00116602" w:rsidRDefault="00116602" w:rsidP="00116602">
      <w:pPr>
        <w:spacing w:line="360" w:lineRule="auto"/>
        <w:jc w:val="both"/>
        <w:rPr>
          <w:rFonts w:ascii="Times New Roman" w:hAnsi="Times New Roman"/>
          <w:bCs/>
          <w:sz w:val="24"/>
          <w:szCs w:val="24"/>
        </w:rPr>
      </w:pPr>
      <w:r w:rsidRPr="00116602">
        <w:rPr>
          <w:rFonts w:ascii="Times New Roman" w:hAnsi="Times New Roman"/>
          <w:bCs/>
          <w:sz w:val="24"/>
          <w:szCs w:val="24"/>
        </w:rPr>
        <w:t>Some slight migration of ratings toward “Superior” and “Good” as the bank refocuses on a more reliable customer base</w:t>
      </w:r>
      <w:r w:rsidRPr="00116602">
        <w:rPr>
          <w:rFonts w:ascii="Times New Roman" w:hAnsi="Times New Roman"/>
          <w:bCs/>
          <w:sz w:val="24"/>
          <w:szCs w:val="24"/>
        </w:rPr>
        <w:t> </w:t>
      </w:r>
      <w:r w:rsidRPr="00116602">
        <w:rPr>
          <w:rFonts w:ascii="Times New Roman" w:hAnsi="Times New Roman"/>
          <w:bCs/>
          <w:sz w:val="24"/>
          <w:szCs w:val="24"/>
        </w:rPr>
        <w:t>following 2020. Due to better risk management, the fraction of loans in</w:t>
      </w:r>
      <w:r w:rsidRPr="00116602">
        <w:rPr>
          <w:rFonts w:ascii="Times New Roman" w:hAnsi="Times New Roman"/>
          <w:bCs/>
          <w:sz w:val="24"/>
          <w:szCs w:val="24"/>
        </w:rPr>
        <w:t> </w:t>
      </w:r>
      <w:r w:rsidRPr="00116602">
        <w:rPr>
          <w:rFonts w:ascii="Times New Roman" w:hAnsi="Times New Roman"/>
          <w:bCs/>
          <w:sz w:val="24"/>
          <w:szCs w:val="24"/>
        </w:rPr>
        <w:t>“Default” remain quite low.</w:t>
      </w:r>
    </w:p>
    <w:p w14:paraId="423F90FB" w14:textId="77777777" w:rsidR="00116602" w:rsidRDefault="00F16DF5" w:rsidP="00116602">
      <w:pPr>
        <w:spacing w:line="360" w:lineRule="auto"/>
        <w:jc w:val="both"/>
        <w:rPr>
          <w:rFonts w:ascii="Times New Roman" w:hAnsi="Times New Roman"/>
          <w:bCs/>
          <w:sz w:val="24"/>
          <w:szCs w:val="24"/>
        </w:rPr>
      </w:pPr>
      <w:r w:rsidRPr="006751AF">
        <w:rPr>
          <w:rFonts w:ascii="Times New Roman" w:hAnsi="Times New Roman"/>
          <w:b/>
          <w:bCs/>
          <w:sz w:val="24"/>
          <w:szCs w:val="24"/>
        </w:rPr>
        <w:t>Approval Authority:</w:t>
      </w:r>
      <w:r w:rsidRPr="006751AF">
        <w:rPr>
          <w:rFonts w:ascii="Times New Roman" w:hAnsi="Times New Roman"/>
          <w:bCs/>
          <w:sz w:val="24"/>
          <w:szCs w:val="24"/>
        </w:rPr>
        <w:t xml:space="preserve"> </w:t>
      </w:r>
      <w:r w:rsidR="00116602" w:rsidRPr="00116602">
        <w:rPr>
          <w:rFonts w:ascii="Times New Roman" w:hAnsi="Times New Roman"/>
          <w:bCs/>
          <w:sz w:val="24"/>
          <w:szCs w:val="24"/>
        </w:rPr>
        <w:t>Credit decisions are approved</w:t>
      </w:r>
      <w:r w:rsidR="00116602" w:rsidRPr="00116602">
        <w:rPr>
          <w:rFonts w:ascii="Times New Roman" w:hAnsi="Times New Roman"/>
          <w:bCs/>
          <w:sz w:val="24"/>
          <w:szCs w:val="24"/>
        </w:rPr>
        <w:t> </w:t>
      </w:r>
      <w:r w:rsidR="00116602" w:rsidRPr="00116602">
        <w:rPr>
          <w:rFonts w:ascii="Times New Roman" w:hAnsi="Times New Roman"/>
          <w:bCs/>
          <w:sz w:val="24"/>
          <w:szCs w:val="24"/>
        </w:rPr>
        <w:t>through the delegated authority structure with consideration of risk and exposure. Small, low risk credits are approved by the branch, medium exposures are approved by region/divisionsal head while</w:t>
      </w:r>
      <w:r w:rsidR="00116602" w:rsidRPr="00116602">
        <w:rPr>
          <w:rFonts w:ascii="Times New Roman" w:hAnsi="Times New Roman"/>
          <w:bCs/>
          <w:sz w:val="24"/>
          <w:szCs w:val="24"/>
        </w:rPr>
        <w:t> </w:t>
      </w:r>
      <w:r w:rsidR="00116602" w:rsidRPr="00116602">
        <w:rPr>
          <w:rFonts w:ascii="Times New Roman" w:hAnsi="Times New Roman"/>
          <w:bCs/>
          <w:sz w:val="24"/>
          <w:szCs w:val="24"/>
        </w:rPr>
        <w:t>larger facilities (credit committee), and those well above prudential limits or to related parties where audit committee approval is required.</w:t>
      </w:r>
    </w:p>
    <w:p w14:paraId="1BA9C3E1" w14:textId="77777777" w:rsidR="009074DA" w:rsidRPr="00116602" w:rsidRDefault="009074DA" w:rsidP="00116602">
      <w:pPr>
        <w:spacing w:line="360" w:lineRule="auto"/>
        <w:jc w:val="both"/>
        <w:rPr>
          <w:rFonts w:ascii="Times New Roman" w:hAnsi="Times New Roman"/>
          <w:bCs/>
          <w:sz w:val="24"/>
          <w:szCs w:val="24"/>
        </w:rPr>
      </w:pPr>
    </w:p>
    <w:tbl>
      <w:tblPr>
        <w:tblW w:w="8100" w:type="dxa"/>
        <w:jc w:val="center"/>
        <w:tblLook w:val="04A0" w:firstRow="1" w:lastRow="0" w:firstColumn="1" w:lastColumn="0" w:noHBand="0" w:noVBand="1"/>
      </w:tblPr>
      <w:tblGrid>
        <w:gridCol w:w="3300"/>
        <w:gridCol w:w="960"/>
        <w:gridCol w:w="960"/>
        <w:gridCol w:w="960"/>
        <w:gridCol w:w="960"/>
        <w:gridCol w:w="960"/>
      </w:tblGrid>
      <w:tr w:rsidR="00F16DF5" w:rsidRPr="006751AF" w14:paraId="2BB5FC21" w14:textId="77777777" w:rsidTr="001E3E58">
        <w:trPr>
          <w:trHeight w:val="300"/>
          <w:jc w:val="center"/>
        </w:trPr>
        <w:tc>
          <w:tcPr>
            <w:tcW w:w="3300" w:type="dxa"/>
            <w:tcBorders>
              <w:top w:val="single" w:sz="4" w:space="0" w:color="auto"/>
              <w:left w:val="single" w:sz="4" w:space="0" w:color="auto"/>
              <w:bottom w:val="single" w:sz="4" w:space="0" w:color="auto"/>
              <w:right w:val="single" w:sz="4" w:space="0" w:color="auto"/>
            </w:tcBorders>
            <w:vAlign w:val="center"/>
            <w:hideMark/>
          </w:tcPr>
          <w:p w14:paraId="5ACC4848"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lastRenderedPageBreak/>
              <w:t>Approval Rate by Authority</w:t>
            </w:r>
          </w:p>
        </w:tc>
        <w:tc>
          <w:tcPr>
            <w:tcW w:w="960" w:type="dxa"/>
            <w:tcBorders>
              <w:top w:val="single" w:sz="4" w:space="0" w:color="auto"/>
              <w:left w:val="nil"/>
              <w:bottom w:val="single" w:sz="4" w:space="0" w:color="auto"/>
              <w:right w:val="single" w:sz="4" w:space="0" w:color="auto"/>
            </w:tcBorders>
            <w:vAlign w:val="center"/>
            <w:hideMark/>
          </w:tcPr>
          <w:p w14:paraId="69FDDF2D"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vAlign w:val="center"/>
            <w:hideMark/>
          </w:tcPr>
          <w:p w14:paraId="4B67A633"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vAlign w:val="center"/>
            <w:hideMark/>
          </w:tcPr>
          <w:p w14:paraId="625FDF19"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vAlign w:val="center"/>
            <w:hideMark/>
          </w:tcPr>
          <w:p w14:paraId="12FEA37E"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vAlign w:val="center"/>
            <w:hideMark/>
          </w:tcPr>
          <w:p w14:paraId="4DD2D158"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76E042EC" w14:textId="77777777" w:rsidTr="001E3E58">
        <w:trPr>
          <w:trHeight w:val="300"/>
          <w:jc w:val="center"/>
        </w:trPr>
        <w:tc>
          <w:tcPr>
            <w:tcW w:w="3300" w:type="dxa"/>
            <w:tcBorders>
              <w:top w:val="nil"/>
              <w:left w:val="single" w:sz="4" w:space="0" w:color="auto"/>
              <w:bottom w:val="single" w:sz="4" w:space="0" w:color="auto"/>
              <w:right w:val="single" w:sz="4" w:space="0" w:color="auto"/>
            </w:tcBorders>
            <w:vAlign w:val="center"/>
            <w:hideMark/>
          </w:tcPr>
          <w:p w14:paraId="7F964BAF"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Branch Approval</w:t>
            </w:r>
          </w:p>
        </w:tc>
        <w:tc>
          <w:tcPr>
            <w:tcW w:w="960" w:type="dxa"/>
            <w:tcBorders>
              <w:top w:val="nil"/>
              <w:left w:val="nil"/>
              <w:bottom w:val="single" w:sz="4" w:space="0" w:color="auto"/>
              <w:right w:val="single" w:sz="4" w:space="0" w:color="auto"/>
            </w:tcBorders>
            <w:vAlign w:val="center"/>
            <w:hideMark/>
          </w:tcPr>
          <w:p w14:paraId="43E286A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60%</w:t>
            </w:r>
          </w:p>
        </w:tc>
        <w:tc>
          <w:tcPr>
            <w:tcW w:w="960" w:type="dxa"/>
            <w:tcBorders>
              <w:top w:val="nil"/>
              <w:left w:val="nil"/>
              <w:bottom w:val="single" w:sz="4" w:space="0" w:color="auto"/>
              <w:right w:val="single" w:sz="4" w:space="0" w:color="auto"/>
            </w:tcBorders>
            <w:vAlign w:val="center"/>
            <w:hideMark/>
          </w:tcPr>
          <w:p w14:paraId="6454040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55%</w:t>
            </w:r>
          </w:p>
        </w:tc>
        <w:tc>
          <w:tcPr>
            <w:tcW w:w="960" w:type="dxa"/>
            <w:tcBorders>
              <w:top w:val="nil"/>
              <w:left w:val="nil"/>
              <w:bottom w:val="single" w:sz="4" w:space="0" w:color="auto"/>
              <w:right w:val="single" w:sz="4" w:space="0" w:color="auto"/>
            </w:tcBorders>
            <w:vAlign w:val="center"/>
            <w:hideMark/>
          </w:tcPr>
          <w:p w14:paraId="062BD1E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58%</w:t>
            </w:r>
          </w:p>
        </w:tc>
        <w:tc>
          <w:tcPr>
            <w:tcW w:w="960" w:type="dxa"/>
            <w:tcBorders>
              <w:top w:val="nil"/>
              <w:left w:val="nil"/>
              <w:bottom w:val="single" w:sz="4" w:space="0" w:color="auto"/>
              <w:right w:val="single" w:sz="4" w:space="0" w:color="auto"/>
            </w:tcBorders>
            <w:vAlign w:val="center"/>
            <w:hideMark/>
          </w:tcPr>
          <w:p w14:paraId="5A2004F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60%</w:t>
            </w:r>
          </w:p>
        </w:tc>
        <w:tc>
          <w:tcPr>
            <w:tcW w:w="960" w:type="dxa"/>
            <w:tcBorders>
              <w:top w:val="nil"/>
              <w:left w:val="nil"/>
              <w:bottom w:val="single" w:sz="4" w:space="0" w:color="auto"/>
              <w:right w:val="single" w:sz="4" w:space="0" w:color="auto"/>
            </w:tcBorders>
            <w:vAlign w:val="center"/>
            <w:hideMark/>
          </w:tcPr>
          <w:p w14:paraId="196C9D6E"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62%</w:t>
            </w:r>
          </w:p>
        </w:tc>
      </w:tr>
      <w:tr w:rsidR="00F16DF5" w:rsidRPr="006751AF" w14:paraId="111E75B8" w14:textId="77777777" w:rsidTr="001E3E58">
        <w:trPr>
          <w:trHeight w:val="300"/>
          <w:jc w:val="center"/>
        </w:trPr>
        <w:tc>
          <w:tcPr>
            <w:tcW w:w="3300" w:type="dxa"/>
            <w:tcBorders>
              <w:top w:val="nil"/>
              <w:left w:val="single" w:sz="4" w:space="0" w:color="auto"/>
              <w:bottom w:val="single" w:sz="4" w:space="0" w:color="auto"/>
              <w:right w:val="single" w:sz="4" w:space="0" w:color="auto"/>
            </w:tcBorders>
            <w:vAlign w:val="center"/>
            <w:hideMark/>
          </w:tcPr>
          <w:p w14:paraId="14746042"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Divisional Approval</w:t>
            </w:r>
          </w:p>
        </w:tc>
        <w:tc>
          <w:tcPr>
            <w:tcW w:w="960" w:type="dxa"/>
            <w:tcBorders>
              <w:top w:val="nil"/>
              <w:left w:val="nil"/>
              <w:bottom w:val="single" w:sz="4" w:space="0" w:color="auto"/>
              <w:right w:val="single" w:sz="4" w:space="0" w:color="auto"/>
            </w:tcBorders>
            <w:vAlign w:val="center"/>
            <w:hideMark/>
          </w:tcPr>
          <w:p w14:paraId="4F9D75A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25%</w:t>
            </w:r>
          </w:p>
        </w:tc>
        <w:tc>
          <w:tcPr>
            <w:tcW w:w="960" w:type="dxa"/>
            <w:tcBorders>
              <w:top w:val="nil"/>
              <w:left w:val="nil"/>
              <w:bottom w:val="single" w:sz="4" w:space="0" w:color="auto"/>
              <w:right w:val="single" w:sz="4" w:space="0" w:color="auto"/>
            </w:tcBorders>
            <w:vAlign w:val="center"/>
            <w:hideMark/>
          </w:tcPr>
          <w:p w14:paraId="66B771E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28%</w:t>
            </w:r>
          </w:p>
        </w:tc>
        <w:tc>
          <w:tcPr>
            <w:tcW w:w="960" w:type="dxa"/>
            <w:tcBorders>
              <w:top w:val="nil"/>
              <w:left w:val="nil"/>
              <w:bottom w:val="single" w:sz="4" w:space="0" w:color="auto"/>
              <w:right w:val="single" w:sz="4" w:space="0" w:color="auto"/>
            </w:tcBorders>
            <w:vAlign w:val="center"/>
            <w:hideMark/>
          </w:tcPr>
          <w:p w14:paraId="269A0D9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30%</w:t>
            </w:r>
          </w:p>
        </w:tc>
        <w:tc>
          <w:tcPr>
            <w:tcW w:w="960" w:type="dxa"/>
            <w:tcBorders>
              <w:top w:val="nil"/>
              <w:left w:val="nil"/>
              <w:bottom w:val="single" w:sz="4" w:space="0" w:color="auto"/>
              <w:right w:val="single" w:sz="4" w:space="0" w:color="auto"/>
            </w:tcBorders>
            <w:vAlign w:val="center"/>
            <w:hideMark/>
          </w:tcPr>
          <w:p w14:paraId="7F07ABF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32%</w:t>
            </w:r>
          </w:p>
        </w:tc>
        <w:tc>
          <w:tcPr>
            <w:tcW w:w="960" w:type="dxa"/>
            <w:tcBorders>
              <w:top w:val="nil"/>
              <w:left w:val="nil"/>
              <w:bottom w:val="single" w:sz="4" w:space="0" w:color="auto"/>
              <w:right w:val="single" w:sz="4" w:space="0" w:color="auto"/>
            </w:tcBorders>
            <w:vAlign w:val="center"/>
            <w:hideMark/>
          </w:tcPr>
          <w:p w14:paraId="645E4F8B"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35%</w:t>
            </w:r>
          </w:p>
        </w:tc>
      </w:tr>
      <w:tr w:rsidR="00F16DF5" w:rsidRPr="006751AF" w14:paraId="531F6E9E" w14:textId="77777777" w:rsidTr="001E3E58">
        <w:trPr>
          <w:trHeight w:val="300"/>
          <w:jc w:val="center"/>
        </w:trPr>
        <w:tc>
          <w:tcPr>
            <w:tcW w:w="3300" w:type="dxa"/>
            <w:tcBorders>
              <w:top w:val="nil"/>
              <w:left w:val="single" w:sz="4" w:space="0" w:color="auto"/>
              <w:bottom w:val="single" w:sz="4" w:space="0" w:color="auto"/>
              <w:right w:val="single" w:sz="4" w:space="0" w:color="auto"/>
            </w:tcBorders>
            <w:vAlign w:val="center"/>
            <w:hideMark/>
          </w:tcPr>
          <w:p w14:paraId="5896CEBC"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Credit Committee Approval</w:t>
            </w:r>
          </w:p>
        </w:tc>
        <w:tc>
          <w:tcPr>
            <w:tcW w:w="960" w:type="dxa"/>
            <w:tcBorders>
              <w:top w:val="nil"/>
              <w:left w:val="nil"/>
              <w:bottom w:val="single" w:sz="4" w:space="0" w:color="auto"/>
              <w:right w:val="single" w:sz="4" w:space="0" w:color="auto"/>
            </w:tcBorders>
            <w:vAlign w:val="center"/>
            <w:hideMark/>
          </w:tcPr>
          <w:p w14:paraId="2C85F9A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10%</w:t>
            </w:r>
          </w:p>
        </w:tc>
        <w:tc>
          <w:tcPr>
            <w:tcW w:w="960" w:type="dxa"/>
            <w:tcBorders>
              <w:top w:val="nil"/>
              <w:left w:val="nil"/>
              <w:bottom w:val="single" w:sz="4" w:space="0" w:color="auto"/>
              <w:right w:val="single" w:sz="4" w:space="0" w:color="auto"/>
            </w:tcBorders>
            <w:vAlign w:val="center"/>
            <w:hideMark/>
          </w:tcPr>
          <w:p w14:paraId="2AC7896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w:t>
            </w:r>
          </w:p>
        </w:tc>
        <w:tc>
          <w:tcPr>
            <w:tcW w:w="960" w:type="dxa"/>
            <w:tcBorders>
              <w:top w:val="nil"/>
              <w:left w:val="nil"/>
              <w:bottom w:val="single" w:sz="4" w:space="0" w:color="auto"/>
              <w:right w:val="single" w:sz="4" w:space="0" w:color="auto"/>
            </w:tcBorders>
            <w:vAlign w:val="center"/>
            <w:hideMark/>
          </w:tcPr>
          <w:p w14:paraId="43F0344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w:t>
            </w:r>
          </w:p>
        </w:tc>
        <w:tc>
          <w:tcPr>
            <w:tcW w:w="960" w:type="dxa"/>
            <w:tcBorders>
              <w:top w:val="nil"/>
              <w:left w:val="nil"/>
              <w:bottom w:val="single" w:sz="4" w:space="0" w:color="auto"/>
              <w:right w:val="single" w:sz="4" w:space="0" w:color="auto"/>
            </w:tcBorders>
            <w:vAlign w:val="center"/>
            <w:hideMark/>
          </w:tcPr>
          <w:p w14:paraId="7112502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7%</w:t>
            </w:r>
          </w:p>
        </w:tc>
        <w:tc>
          <w:tcPr>
            <w:tcW w:w="960" w:type="dxa"/>
            <w:tcBorders>
              <w:top w:val="nil"/>
              <w:left w:val="nil"/>
              <w:bottom w:val="single" w:sz="4" w:space="0" w:color="auto"/>
              <w:right w:val="single" w:sz="4" w:space="0" w:color="auto"/>
            </w:tcBorders>
            <w:vAlign w:val="center"/>
            <w:hideMark/>
          </w:tcPr>
          <w:p w14:paraId="669A93A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w:t>
            </w:r>
          </w:p>
        </w:tc>
      </w:tr>
      <w:tr w:rsidR="00F16DF5" w:rsidRPr="006751AF" w14:paraId="7D7BAA50" w14:textId="77777777" w:rsidTr="001E3E58">
        <w:trPr>
          <w:trHeight w:val="300"/>
          <w:jc w:val="center"/>
        </w:trPr>
        <w:tc>
          <w:tcPr>
            <w:tcW w:w="3300" w:type="dxa"/>
            <w:tcBorders>
              <w:top w:val="nil"/>
              <w:left w:val="single" w:sz="4" w:space="0" w:color="auto"/>
              <w:bottom w:val="single" w:sz="4" w:space="0" w:color="auto"/>
              <w:right w:val="single" w:sz="4" w:space="0" w:color="auto"/>
            </w:tcBorders>
            <w:vAlign w:val="center"/>
            <w:hideMark/>
          </w:tcPr>
          <w:p w14:paraId="77E39463"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Board Approval</w:t>
            </w:r>
          </w:p>
        </w:tc>
        <w:tc>
          <w:tcPr>
            <w:tcW w:w="960" w:type="dxa"/>
            <w:tcBorders>
              <w:top w:val="nil"/>
              <w:left w:val="nil"/>
              <w:bottom w:val="single" w:sz="4" w:space="0" w:color="auto"/>
              <w:right w:val="single" w:sz="4" w:space="0" w:color="auto"/>
            </w:tcBorders>
            <w:vAlign w:val="center"/>
            <w:hideMark/>
          </w:tcPr>
          <w:p w14:paraId="70C096DE"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w:t>
            </w:r>
          </w:p>
        </w:tc>
        <w:tc>
          <w:tcPr>
            <w:tcW w:w="960" w:type="dxa"/>
            <w:tcBorders>
              <w:top w:val="nil"/>
              <w:left w:val="nil"/>
              <w:bottom w:val="single" w:sz="4" w:space="0" w:color="auto"/>
              <w:right w:val="single" w:sz="4" w:space="0" w:color="auto"/>
            </w:tcBorders>
            <w:vAlign w:val="center"/>
            <w:hideMark/>
          </w:tcPr>
          <w:p w14:paraId="2768BB0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w:t>
            </w:r>
          </w:p>
        </w:tc>
        <w:tc>
          <w:tcPr>
            <w:tcW w:w="960" w:type="dxa"/>
            <w:tcBorders>
              <w:top w:val="nil"/>
              <w:left w:val="nil"/>
              <w:bottom w:val="single" w:sz="4" w:space="0" w:color="auto"/>
              <w:right w:val="single" w:sz="4" w:space="0" w:color="auto"/>
            </w:tcBorders>
            <w:vAlign w:val="center"/>
            <w:hideMark/>
          </w:tcPr>
          <w:p w14:paraId="77DD046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w:t>
            </w:r>
          </w:p>
        </w:tc>
        <w:tc>
          <w:tcPr>
            <w:tcW w:w="960" w:type="dxa"/>
            <w:tcBorders>
              <w:top w:val="nil"/>
              <w:left w:val="nil"/>
              <w:bottom w:val="single" w:sz="4" w:space="0" w:color="auto"/>
              <w:right w:val="single" w:sz="4" w:space="0" w:color="auto"/>
            </w:tcBorders>
            <w:vAlign w:val="center"/>
            <w:hideMark/>
          </w:tcPr>
          <w:p w14:paraId="74FE574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w:t>
            </w:r>
          </w:p>
        </w:tc>
        <w:tc>
          <w:tcPr>
            <w:tcW w:w="960" w:type="dxa"/>
            <w:tcBorders>
              <w:top w:val="nil"/>
              <w:left w:val="nil"/>
              <w:bottom w:val="single" w:sz="4" w:space="0" w:color="auto"/>
              <w:right w:val="single" w:sz="4" w:space="0" w:color="auto"/>
            </w:tcBorders>
            <w:vAlign w:val="center"/>
            <w:hideMark/>
          </w:tcPr>
          <w:p w14:paraId="5C672EC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w:t>
            </w:r>
          </w:p>
        </w:tc>
      </w:tr>
    </w:tbl>
    <w:p w14:paraId="0C41CD94" w14:textId="77777777" w:rsidR="00116602" w:rsidRPr="00116602" w:rsidRDefault="00116602" w:rsidP="00116602">
      <w:pPr>
        <w:spacing w:before="100" w:beforeAutospacing="1" w:after="100" w:afterAutospacing="1" w:line="360" w:lineRule="auto"/>
        <w:jc w:val="both"/>
        <w:rPr>
          <w:rFonts w:ascii="Times New Roman" w:eastAsia="Times New Roman" w:hAnsi="Times New Roman"/>
          <w:bCs/>
          <w:sz w:val="24"/>
          <w:szCs w:val="24"/>
        </w:rPr>
      </w:pPr>
      <w:r w:rsidRPr="00116602">
        <w:rPr>
          <w:rFonts w:ascii="Times New Roman" w:eastAsia="Times New Roman" w:hAnsi="Times New Roman"/>
          <w:bCs/>
          <w:sz w:val="24"/>
          <w:szCs w:val="24"/>
        </w:rPr>
        <w:t>Branch Approval: Dropped gradually over</w:t>
      </w:r>
      <w:r w:rsidRPr="00116602">
        <w:rPr>
          <w:rFonts w:ascii="Times New Roman" w:eastAsia="Times New Roman" w:hAnsi="Times New Roman"/>
          <w:bCs/>
          <w:sz w:val="24"/>
          <w:szCs w:val="24"/>
        </w:rPr>
        <w:t> </w:t>
      </w:r>
      <w:r w:rsidRPr="00116602">
        <w:rPr>
          <w:rFonts w:ascii="Times New Roman" w:eastAsia="Times New Roman" w:hAnsi="Times New Roman"/>
          <w:bCs/>
          <w:sz w:val="24"/>
          <w:szCs w:val="24"/>
        </w:rPr>
        <w:t>years, as more complicated loans are handled elsewhere.</w:t>
      </w:r>
    </w:p>
    <w:p w14:paraId="53786CD3" w14:textId="77777777" w:rsidR="00116602" w:rsidRPr="00116602" w:rsidRDefault="00116602" w:rsidP="00116602">
      <w:pPr>
        <w:spacing w:before="100" w:beforeAutospacing="1" w:after="100" w:afterAutospacing="1" w:line="360" w:lineRule="auto"/>
        <w:jc w:val="both"/>
        <w:rPr>
          <w:rFonts w:ascii="Times New Roman" w:eastAsia="Times New Roman" w:hAnsi="Times New Roman"/>
          <w:bCs/>
          <w:sz w:val="24"/>
          <w:szCs w:val="24"/>
        </w:rPr>
      </w:pPr>
      <w:r w:rsidRPr="00116602">
        <w:rPr>
          <w:rFonts w:ascii="Times New Roman" w:eastAsia="Times New Roman" w:hAnsi="Times New Roman"/>
          <w:bCs/>
          <w:sz w:val="24"/>
          <w:szCs w:val="24"/>
        </w:rPr>
        <w:t>Board Approval: Decreases with</w:t>
      </w:r>
      <w:r w:rsidRPr="00116602">
        <w:rPr>
          <w:rFonts w:ascii="Times New Roman" w:eastAsia="Times New Roman" w:hAnsi="Times New Roman"/>
          <w:bCs/>
          <w:sz w:val="24"/>
          <w:szCs w:val="24"/>
        </w:rPr>
        <w:t> </w:t>
      </w:r>
      <w:r w:rsidRPr="00116602">
        <w:rPr>
          <w:rFonts w:ascii="Times New Roman" w:eastAsia="Times New Roman" w:hAnsi="Times New Roman"/>
          <w:bCs/>
          <w:sz w:val="24"/>
          <w:szCs w:val="24"/>
        </w:rPr>
        <w:t>larger loans, since they are more frequently managed by committees or top-level management.</w:t>
      </w:r>
    </w:p>
    <w:p w14:paraId="4DF3AE1F" w14:textId="77777777" w:rsidR="00116602" w:rsidRPr="00116602" w:rsidRDefault="00F16DF5" w:rsidP="00116602">
      <w:pPr>
        <w:spacing w:line="360" w:lineRule="auto"/>
        <w:jc w:val="both"/>
        <w:rPr>
          <w:rFonts w:ascii="Times New Roman" w:hAnsi="Times New Roman"/>
          <w:bCs/>
          <w:sz w:val="24"/>
          <w:szCs w:val="24"/>
        </w:rPr>
      </w:pPr>
      <w:r w:rsidRPr="006751AF">
        <w:rPr>
          <w:rFonts w:ascii="Times New Roman" w:hAnsi="Times New Roman"/>
          <w:b/>
          <w:bCs/>
          <w:sz w:val="24"/>
          <w:szCs w:val="24"/>
        </w:rPr>
        <w:t>Documentation and Disbursement:</w:t>
      </w:r>
      <w:r w:rsidRPr="006751AF">
        <w:rPr>
          <w:rFonts w:ascii="Times New Roman" w:hAnsi="Times New Roman"/>
          <w:bCs/>
          <w:sz w:val="24"/>
          <w:szCs w:val="24"/>
        </w:rPr>
        <w:t xml:space="preserve"> </w:t>
      </w:r>
      <w:r w:rsidR="00116602" w:rsidRPr="00116602">
        <w:rPr>
          <w:rFonts w:ascii="Times New Roman" w:hAnsi="Times New Roman"/>
          <w:bCs/>
          <w:sz w:val="24"/>
          <w:szCs w:val="24"/>
        </w:rPr>
        <w:t>Collateral Documents to</w:t>
      </w:r>
      <w:r w:rsidR="00116602" w:rsidRPr="00116602">
        <w:rPr>
          <w:rFonts w:ascii="Times New Roman" w:hAnsi="Times New Roman"/>
          <w:bCs/>
          <w:sz w:val="24"/>
          <w:szCs w:val="24"/>
        </w:rPr>
        <w:t> </w:t>
      </w:r>
      <w:r w:rsidR="00116602" w:rsidRPr="00116602">
        <w:rPr>
          <w:rFonts w:ascii="Times New Roman" w:hAnsi="Times New Roman"/>
          <w:bCs/>
          <w:sz w:val="24"/>
          <w:szCs w:val="24"/>
        </w:rPr>
        <w:t>ensure enforceable security, adequate guarantees and unequivocal terms are executed on approval. Payment can only occur once all the</w:t>
      </w:r>
      <w:r w:rsidR="00116602" w:rsidRPr="00116602">
        <w:rPr>
          <w:rFonts w:ascii="Times New Roman" w:hAnsi="Times New Roman"/>
          <w:bCs/>
          <w:sz w:val="24"/>
          <w:szCs w:val="24"/>
        </w:rPr>
        <w:t> </w:t>
      </w:r>
      <w:r w:rsidR="00116602" w:rsidRPr="00116602">
        <w:rPr>
          <w:rFonts w:ascii="Times New Roman" w:hAnsi="Times New Roman"/>
          <w:bCs/>
          <w:sz w:val="24"/>
          <w:szCs w:val="24"/>
        </w:rPr>
        <w:t>previous conditions have been fulfilled.</w:t>
      </w:r>
    </w:p>
    <w:tbl>
      <w:tblPr>
        <w:tblW w:w="8700" w:type="dxa"/>
        <w:jc w:val="center"/>
        <w:tblLook w:val="04A0" w:firstRow="1" w:lastRow="0" w:firstColumn="1" w:lastColumn="0" w:noHBand="0" w:noVBand="1"/>
      </w:tblPr>
      <w:tblGrid>
        <w:gridCol w:w="3900"/>
        <w:gridCol w:w="960"/>
        <w:gridCol w:w="960"/>
        <w:gridCol w:w="960"/>
        <w:gridCol w:w="960"/>
        <w:gridCol w:w="960"/>
      </w:tblGrid>
      <w:tr w:rsidR="00F16DF5" w:rsidRPr="006751AF" w14:paraId="77B8C37A" w14:textId="77777777" w:rsidTr="001E3E58">
        <w:trPr>
          <w:trHeight w:val="300"/>
          <w:jc w:val="center"/>
        </w:trPr>
        <w:tc>
          <w:tcPr>
            <w:tcW w:w="3900" w:type="dxa"/>
            <w:tcBorders>
              <w:top w:val="single" w:sz="4" w:space="0" w:color="auto"/>
              <w:left w:val="single" w:sz="4" w:space="0" w:color="auto"/>
              <w:bottom w:val="single" w:sz="4" w:space="0" w:color="auto"/>
              <w:right w:val="single" w:sz="4" w:space="0" w:color="auto"/>
            </w:tcBorders>
            <w:vAlign w:val="center"/>
            <w:hideMark/>
          </w:tcPr>
          <w:p w14:paraId="186BC271"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KPI</w:t>
            </w:r>
          </w:p>
        </w:tc>
        <w:tc>
          <w:tcPr>
            <w:tcW w:w="960" w:type="dxa"/>
            <w:tcBorders>
              <w:top w:val="single" w:sz="4" w:space="0" w:color="auto"/>
              <w:left w:val="nil"/>
              <w:bottom w:val="single" w:sz="4" w:space="0" w:color="auto"/>
              <w:right w:val="single" w:sz="4" w:space="0" w:color="auto"/>
            </w:tcBorders>
            <w:vAlign w:val="center"/>
            <w:hideMark/>
          </w:tcPr>
          <w:p w14:paraId="790F2118"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vAlign w:val="center"/>
            <w:hideMark/>
          </w:tcPr>
          <w:p w14:paraId="547590D3"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vAlign w:val="center"/>
            <w:hideMark/>
          </w:tcPr>
          <w:p w14:paraId="3D41D947"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vAlign w:val="center"/>
            <w:hideMark/>
          </w:tcPr>
          <w:p w14:paraId="22393E7A"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vAlign w:val="center"/>
            <w:hideMark/>
          </w:tcPr>
          <w:p w14:paraId="091EA551"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26AAE535" w14:textId="77777777" w:rsidTr="001E3E58">
        <w:trPr>
          <w:trHeight w:val="300"/>
          <w:jc w:val="center"/>
        </w:trPr>
        <w:tc>
          <w:tcPr>
            <w:tcW w:w="3900" w:type="dxa"/>
            <w:tcBorders>
              <w:top w:val="nil"/>
              <w:left w:val="single" w:sz="4" w:space="0" w:color="auto"/>
              <w:bottom w:val="single" w:sz="4" w:space="0" w:color="auto"/>
              <w:right w:val="single" w:sz="4" w:space="0" w:color="auto"/>
            </w:tcBorders>
            <w:hideMark/>
          </w:tcPr>
          <w:p w14:paraId="06302239"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Documentation and Disbursement Rate</w:t>
            </w:r>
          </w:p>
        </w:tc>
        <w:tc>
          <w:tcPr>
            <w:tcW w:w="960" w:type="dxa"/>
            <w:tcBorders>
              <w:top w:val="nil"/>
              <w:left w:val="nil"/>
              <w:bottom w:val="single" w:sz="4" w:space="0" w:color="auto"/>
              <w:right w:val="single" w:sz="4" w:space="0" w:color="auto"/>
            </w:tcBorders>
            <w:vAlign w:val="center"/>
            <w:hideMark/>
          </w:tcPr>
          <w:p w14:paraId="7F9DA4C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70%</w:t>
            </w:r>
          </w:p>
        </w:tc>
        <w:tc>
          <w:tcPr>
            <w:tcW w:w="960" w:type="dxa"/>
            <w:tcBorders>
              <w:top w:val="nil"/>
              <w:left w:val="nil"/>
              <w:bottom w:val="single" w:sz="4" w:space="0" w:color="auto"/>
              <w:right w:val="single" w:sz="4" w:space="0" w:color="auto"/>
            </w:tcBorders>
            <w:vAlign w:val="center"/>
            <w:hideMark/>
          </w:tcPr>
          <w:p w14:paraId="5DC6FF0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65%</w:t>
            </w:r>
          </w:p>
        </w:tc>
        <w:tc>
          <w:tcPr>
            <w:tcW w:w="960" w:type="dxa"/>
            <w:tcBorders>
              <w:top w:val="nil"/>
              <w:left w:val="nil"/>
              <w:bottom w:val="single" w:sz="4" w:space="0" w:color="auto"/>
              <w:right w:val="single" w:sz="4" w:space="0" w:color="auto"/>
            </w:tcBorders>
            <w:vAlign w:val="center"/>
            <w:hideMark/>
          </w:tcPr>
          <w:p w14:paraId="36323A8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75%</w:t>
            </w:r>
          </w:p>
        </w:tc>
        <w:tc>
          <w:tcPr>
            <w:tcW w:w="960" w:type="dxa"/>
            <w:tcBorders>
              <w:top w:val="nil"/>
              <w:left w:val="nil"/>
              <w:bottom w:val="single" w:sz="4" w:space="0" w:color="auto"/>
              <w:right w:val="single" w:sz="4" w:space="0" w:color="auto"/>
            </w:tcBorders>
            <w:vAlign w:val="center"/>
            <w:hideMark/>
          </w:tcPr>
          <w:p w14:paraId="3FFD4E5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80%</w:t>
            </w:r>
          </w:p>
        </w:tc>
        <w:tc>
          <w:tcPr>
            <w:tcW w:w="960" w:type="dxa"/>
            <w:tcBorders>
              <w:top w:val="nil"/>
              <w:left w:val="nil"/>
              <w:bottom w:val="single" w:sz="4" w:space="0" w:color="auto"/>
              <w:right w:val="single" w:sz="4" w:space="0" w:color="auto"/>
            </w:tcBorders>
            <w:vAlign w:val="center"/>
            <w:hideMark/>
          </w:tcPr>
          <w:p w14:paraId="73B29FD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85%</w:t>
            </w:r>
          </w:p>
        </w:tc>
      </w:tr>
    </w:tbl>
    <w:p w14:paraId="0527DD87" w14:textId="77777777" w:rsidR="00116602" w:rsidRPr="00197D22" w:rsidRDefault="00116602" w:rsidP="00197D22">
      <w:pPr>
        <w:spacing w:line="360" w:lineRule="auto"/>
        <w:jc w:val="both"/>
        <w:rPr>
          <w:rFonts w:ascii="Times New Roman" w:hAnsi="Times New Roman"/>
          <w:sz w:val="24"/>
          <w:szCs w:val="24"/>
        </w:rPr>
      </w:pPr>
      <w:r w:rsidRPr="00197D22">
        <w:rPr>
          <w:rFonts w:ascii="Times New Roman" w:hAnsi="Times New Roman"/>
          <w:sz w:val="24"/>
          <w:szCs w:val="24"/>
        </w:rPr>
        <w:t>Increases as the bank is more efficient in meeting</w:t>
      </w:r>
      <w:r w:rsidRPr="00197D22">
        <w:rPr>
          <w:rFonts w:ascii="Times New Roman" w:hAnsi="Times New Roman"/>
          <w:sz w:val="24"/>
          <w:szCs w:val="24"/>
        </w:rPr>
        <w:t> </w:t>
      </w:r>
      <w:r w:rsidRPr="00197D22">
        <w:rPr>
          <w:rFonts w:ascii="Times New Roman" w:hAnsi="Times New Roman"/>
          <w:sz w:val="24"/>
          <w:szCs w:val="24"/>
        </w:rPr>
        <w:t>conditions precedent for disbursement.</w:t>
      </w:r>
    </w:p>
    <w:p w14:paraId="656A2B27" w14:textId="77777777" w:rsidR="00F16DF5" w:rsidRPr="003C682B" w:rsidRDefault="00F16DF5" w:rsidP="00E94B0F">
      <w:pPr>
        <w:pStyle w:val="Heading2"/>
        <w:rPr>
          <w:rFonts w:ascii="Times New Roman" w:hAnsi="Times New Roman" w:cs="Times New Roman"/>
          <w:b/>
          <w:sz w:val="24"/>
          <w:szCs w:val="24"/>
        </w:rPr>
      </w:pPr>
      <w:bookmarkStart w:id="41" w:name="_Toc214949033"/>
      <w:r w:rsidRPr="003C682B">
        <w:rPr>
          <w:rFonts w:ascii="Times New Roman" w:hAnsi="Times New Roman" w:cs="Times New Roman"/>
          <w:b/>
          <w:sz w:val="24"/>
          <w:szCs w:val="24"/>
        </w:rPr>
        <w:t>4.1.2 Credit Risk Assessment Tools</w:t>
      </w:r>
      <w:bookmarkEnd w:id="41"/>
    </w:p>
    <w:p w14:paraId="35067054" w14:textId="77777777" w:rsidR="00116602" w:rsidRPr="00116602" w:rsidRDefault="00116602" w:rsidP="00116602">
      <w:pPr>
        <w:spacing w:line="360" w:lineRule="auto"/>
        <w:jc w:val="both"/>
        <w:rPr>
          <w:rFonts w:ascii="Times New Roman" w:hAnsi="Times New Roman"/>
          <w:bCs/>
          <w:sz w:val="24"/>
          <w:szCs w:val="24"/>
        </w:rPr>
      </w:pPr>
      <w:r w:rsidRPr="00116602">
        <w:rPr>
          <w:rFonts w:ascii="Times New Roman" w:hAnsi="Times New Roman"/>
          <w:bCs/>
          <w:sz w:val="24"/>
          <w:szCs w:val="24"/>
        </w:rPr>
        <w:t>Dhaka</w:t>
      </w:r>
      <w:r w:rsidRPr="00116602">
        <w:rPr>
          <w:rFonts w:ascii="Times New Roman" w:hAnsi="Times New Roman"/>
          <w:bCs/>
          <w:sz w:val="24"/>
          <w:szCs w:val="24"/>
        </w:rPr>
        <w:t> </w:t>
      </w:r>
      <w:r w:rsidRPr="00116602">
        <w:rPr>
          <w:rFonts w:ascii="Times New Roman" w:hAnsi="Times New Roman"/>
          <w:bCs/>
          <w:sz w:val="24"/>
          <w:szCs w:val="24"/>
        </w:rPr>
        <w:t>Bank used a number of instruments to analyse and measure credit risk:</w:t>
      </w:r>
    </w:p>
    <w:p w14:paraId="53101557" w14:textId="77777777" w:rsidR="00116602" w:rsidRPr="00116602" w:rsidRDefault="00F16DF5" w:rsidP="00116602">
      <w:pPr>
        <w:spacing w:line="360" w:lineRule="auto"/>
        <w:jc w:val="both"/>
        <w:rPr>
          <w:rFonts w:ascii="Times New Roman" w:hAnsi="Times New Roman"/>
          <w:bCs/>
          <w:sz w:val="24"/>
          <w:szCs w:val="24"/>
        </w:rPr>
      </w:pPr>
      <w:r w:rsidRPr="006751AF">
        <w:rPr>
          <w:rFonts w:ascii="Times New Roman" w:hAnsi="Times New Roman"/>
          <w:b/>
          <w:bCs/>
          <w:sz w:val="24"/>
          <w:szCs w:val="24"/>
        </w:rPr>
        <w:t>Credit Risk Rating Model:</w:t>
      </w:r>
      <w:r w:rsidRPr="006751AF">
        <w:rPr>
          <w:rFonts w:ascii="Times New Roman" w:hAnsi="Times New Roman"/>
          <w:bCs/>
          <w:sz w:val="24"/>
          <w:szCs w:val="24"/>
        </w:rPr>
        <w:t xml:space="preserve"> </w:t>
      </w:r>
      <w:r w:rsidR="00116602" w:rsidRPr="00116602">
        <w:rPr>
          <w:rFonts w:ascii="Times New Roman" w:hAnsi="Times New Roman"/>
          <w:bCs/>
          <w:sz w:val="24"/>
          <w:szCs w:val="24"/>
        </w:rPr>
        <w:t>The Bank’s in-house</w:t>
      </w:r>
      <w:r w:rsidR="00116602" w:rsidRPr="00116602">
        <w:rPr>
          <w:rFonts w:ascii="Times New Roman" w:hAnsi="Times New Roman"/>
          <w:bCs/>
          <w:sz w:val="24"/>
          <w:szCs w:val="24"/>
        </w:rPr>
        <w:t> </w:t>
      </w:r>
      <w:r w:rsidR="00116602" w:rsidRPr="00116602">
        <w:rPr>
          <w:rFonts w:ascii="Times New Roman" w:hAnsi="Times New Roman"/>
          <w:bCs/>
          <w:sz w:val="24"/>
          <w:szCs w:val="24"/>
        </w:rPr>
        <w:t>model rates the bank on the basis of aggregate weighted average score across financial (weight 40-50%), business/ industry related variables (25-30% weight) and management quality (20-25% weight). Periodic validation</w:t>
      </w:r>
      <w:r w:rsidR="00116602" w:rsidRPr="00116602">
        <w:rPr>
          <w:rFonts w:ascii="Times New Roman" w:hAnsi="Times New Roman"/>
          <w:bCs/>
          <w:sz w:val="24"/>
          <w:szCs w:val="24"/>
        </w:rPr>
        <w:t> </w:t>
      </w:r>
      <w:r w:rsidR="00116602" w:rsidRPr="00116602">
        <w:rPr>
          <w:rFonts w:ascii="Times New Roman" w:hAnsi="Times New Roman"/>
          <w:bCs/>
          <w:sz w:val="24"/>
          <w:szCs w:val="24"/>
        </w:rPr>
        <w:t>insures model precision by back-testing against actual default experience.</w:t>
      </w:r>
    </w:p>
    <w:tbl>
      <w:tblPr>
        <w:tblW w:w="7800" w:type="dxa"/>
        <w:jc w:val="center"/>
        <w:tblLook w:val="04A0" w:firstRow="1" w:lastRow="0" w:firstColumn="1" w:lastColumn="0" w:noHBand="0" w:noVBand="1"/>
      </w:tblPr>
      <w:tblGrid>
        <w:gridCol w:w="3000"/>
        <w:gridCol w:w="960"/>
        <w:gridCol w:w="960"/>
        <w:gridCol w:w="960"/>
        <w:gridCol w:w="960"/>
        <w:gridCol w:w="960"/>
      </w:tblGrid>
      <w:tr w:rsidR="00F16DF5" w:rsidRPr="006751AF" w14:paraId="4ABE9E2D" w14:textId="77777777" w:rsidTr="001E3E58">
        <w:trPr>
          <w:trHeight w:val="300"/>
          <w:jc w:val="center"/>
        </w:trPr>
        <w:tc>
          <w:tcPr>
            <w:tcW w:w="3000" w:type="dxa"/>
            <w:tcBorders>
              <w:top w:val="single" w:sz="4" w:space="0" w:color="auto"/>
              <w:left w:val="single" w:sz="4" w:space="0" w:color="auto"/>
              <w:bottom w:val="single" w:sz="4" w:space="0" w:color="auto"/>
              <w:right w:val="single" w:sz="4" w:space="0" w:color="auto"/>
            </w:tcBorders>
            <w:noWrap/>
            <w:hideMark/>
          </w:tcPr>
          <w:p w14:paraId="2B0F87BE"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Metric</w:t>
            </w:r>
          </w:p>
        </w:tc>
        <w:tc>
          <w:tcPr>
            <w:tcW w:w="960" w:type="dxa"/>
            <w:tcBorders>
              <w:top w:val="single" w:sz="4" w:space="0" w:color="auto"/>
              <w:left w:val="nil"/>
              <w:bottom w:val="single" w:sz="4" w:space="0" w:color="auto"/>
              <w:right w:val="single" w:sz="4" w:space="0" w:color="auto"/>
            </w:tcBorders>
            <w:noWrap/>
            <w:hideMark/>
          </w:tcPr>
          <w:p w14:paraId="0DD75566"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c>
          <w:tcPr>
            <w:tcW w:w="960" w:type="dxa"/>
            <w:tcBorders>
              <w:top w:val="single" w:sz="4" w:space="0" w:color="auto"/>
              <w:left w:val="nil"/>
              <w:bottom w:val="single" w:sz="4" w:space="0" w:color="auto"/>
              <w:right w:val="single" w:sz="4" w:space="0" w:color="auto"/>
            </w:tcBorders>
            <w:noWrap/>
            <w:hideMark/>
          </w:tcPr>
          <w:p w14:paraId="18F3E793"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hideMark/>
          </w:tcPr>
          <w:p w14:paraId="6007AABF"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hideMark/>
          </w:tcPr>
          <w:p w14:paraId="212E5202"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hideMark/>
          </w:tcPr>
          <w:p w14:paraId="090CCA6E"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r>
      <w:tr w:rsidR="00F16DF5" w:rsidRPr="006751AF" w14:paraId="3922EA6A" w14:textId="77777777" w:rsidTr="001E3E58">
        <w:trPr>
          <w:trHeight w:val="300"/>
          <w:jc w:val="center"/>
        </w:trPr>
        <w:tc>
          <w:tcPr>
            <w:tcW w:w="3000" w:type="dxa"/>
            <w:tcBorders>
              <w:top w:val="nil"/>
              <w:left w:val="single" w:sz="4" w:space="0" w:color="auto"/>
              <w:bottom w:val="single" w:sz="4" w:space="0" w:color="auto"/>
              <w:right w:val="single" w:sz="4" w:space="0" w:color="auto"/>
            </w:tcBorders>
            <w:noWrap/>
            <w:vAlign w:val="center"/>
            <w:hideMark/>
          </w:tcPr>
          <w:p w14:paraId="0DC6F16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Financial Parameters</w:t>
            </w:r>
          </w:p>
        </w:tc>
        <w:tc>
          <w:tcPr>
            <w:tcW w:w="960" w:type="dxa"/>
            <w:tcBorders>
              <w:top w:val="nil"/>
              <w:left w:val="nil"/>
              <w:bottom w:val="single" w:sz="4" w:space="0" w:color="auto"/>
              <w:right w:val="single" w:sz="4" w:space="0" w:color="auto"/>
            </w:tcBorders>
            <w:noWrap/>
            <w:vAlign w:val="center"/>
            <w:hideMark/>
          </w:tcPr>
          <w:p w14:paraId="2426BF3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50%</w:t>
            </w:r>
          </w:p>
        </w:tc>
        <w:tc>
          <w:tcPr>
            <w:tcW w:w="960" w:type="dxa"/>
            <w:tcBorders>
              <w:top w:val="nil"/>
              <w:left w:val="nil"/>
              <w:bottom w:val="single" w:sz="4" w:space="0" w:color="auto"/>
              <w:right w:val="single" w:sz="4" w:space="0" w:color="auto"/>
            </w:tcBorders>
            <w:noWrap/>
            <w:vAlign w:val="center"/>
            <w:hideMark/>
          </w:tcPr>
          <w:p w14:paraId="7D82D54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48%</w:t>
            </w:r>
          </w:p>
        </w:tc>
        <w:tc>
          <w:tcPr>
            <w:tcW w:w="960" w:type="dxa"/>
            <w:tcBorders>
              <w:top w:val="nil"/>
              <w:left w:val="nil"/>
              <w:bottom w:val="single" w:sz="4" w:space="0" w:color="auto"/>
              <w:right w:val="single" w:sz="4" w:space="0" w:color="auto"/>
            </w:tcBorders>
            <w:noWrap/>
            <w:vAlign w:val="center"/>
            <w:hideMark/>
          </w:tcPr>
          <w:p w14:paraId="1F3C1FD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45%</w:t>
            </w:r>
          </w:p>
        </w:tc>
        <w:tc>
          <w:tcPr>
            <w:tcW w:w="960" w:type="dxa"/>
            <w:tcBorders>
              <w:top w:val="nil"/>
              <w:left w:val="nil"/>
              <w:bottom w:val="single" w:sz="4" w:space="0" w:color="auto"/>
              <w:right w:val="single" w:sz="4" w:space="0" w:color="auto"/>
            </w:tcBorders>
            <w:noWrap/>
            <w:vAlign w:val="center"/>
            <w:hideMark/>
          </w:tcPr>
          <w:p w14:paraId="609F47D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43%</w:t>
            </w:r>
          </w:p>
        </w:tc>
        <w:tc>
          <w:tcPr>
            <w:tcW w:w="960" w:type="dxa"/>
            <w:tcBorders>
              <w:top w:val="nil"/>
              <w:left w:val="nil"/>
              <w:bottom w:val="single" w:sz="4" w:space="0" w:color="auto"/>
              <w:right w:val="single" w:sz="4" w:space="0" w:color="auto"/>
            </w:tcBorders>
            <w:noWrap/>
            <w:vAlign w:val="center"/>
            <w:hideMark/>
          </w:tcPr>
          <w:p w14:paraId="5994B64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40%</w:t>
            </w:r>
          </w:p>
        </w:tc>
      </w:tr>
      <w:tr w:rsidR="00F16DF5" w:rsidRPr="006751AF" w14:paraId="3954BBF0" w14:textId="77777777" w:rsidTr="001E3E58">
        <w:trPr>
          <w:trHeight w:val="300"/>
          <w:jc w:val="center"/>
        </w:trPr>
        <w:tc>
          <w:tcPr>
            <w:tcW w:w="3000" w:type="dxa"/>
            <w:tcBorders>
              <w:top w:val="nil"/>
              <w:left w:val="single" w:sz="4" w:space="0" w:color="auto"/>
              <w:bottom w:val="single" w:sz="4" w:space="0" w:color="auto"/>
              <w:right w:val="single" w:sz="4" w:space="0" w:color="auto"/>
            </w:tcBorders>
            <w:noWrap/>
            <w:vAlign w:val="center"/>
            <w:hideMark/>
          </w:tcPr>
          <w:p w14:paraId="0B87A5B3"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Industry Factors</w:t>
            </w:r>
          </w:p>
        </w:tc>
        <w:tc>
          <w:tcPr>
            <w:tcW w:w="960" w:type="dxa"/>
            <w:tcBorders>
              <w:top w:val="nil"/>
              <w:left w:val="nil"/>
              <w:bottom w:val="single" w:sz="4" w:space="0" w:color="auto"/>
              <w:right w:val="single" w:sz="4" w:space="0" w:color="auto"/>
            </w:tcBorders>
            <w:noWrap/>
            <w:vAlign w:val="center"/>
            <w:hideMark/>
          </w:tcPr>
          <w:p w14:paraId="6DEC788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25%</w:t>
            </w:r>
          </w:p>
        </w:tc>
        <w:tc>
          <w:tcPr>
            <w:tcW w:w="960" w:type="dxa"/>
            <w:tcBorders>
              <w:top w:val="nil"/>
              <w:left w:val="nil"/>
              <w:bottom w:val="single" w:sz="4" w:space="0" w:color="auto"/>
              <w:right w:val="single" w:sz="4" w:space="0" w:color="auto"/>
            </w:tcBorders>
            <w:noWrap/>
            <w:vAlign w:val="center"/>
            <w:hideMark/>
          </w:tcPr>
          <w:p w14:paraId="23D99FB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27%</w:t>
            </w:r>
          </w:p>
        </w:tc>
        <w:tc>
          <w:tcPr>
            <w:tcW w:w="960" w:type="dxa"/>
            <w:tcBorders>
              <w:top w:val="nil"/>
              <w:left w:val="nil"/>
              <w:bottom w:val="single" w:sz="4" w:space="0" w:color="auto"/>
              <w:right w:val="single" w:sz="4" w:space="0" w:color="auto"/>
            </w:tcBorders>
            <w:noWrap/>
            <w:vAlign w:val="center"/>
            <w:hideMark/>
          </w:tcPr>
          <w:p w14:paraId="6ED168A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28%</w:t>
            </w:r>
          </w:p>
        </w:tc>
        <w:tc>
          <w:tcPr>
            <w:tcW w:w="960" w:type="dxa"/>
            <w:tcBorders>
              <w:top w:val="nil"/>
              <w:left w:val="nil"/>
              <w:bottom w:val="single" w:sz="4" w:space="0" w:color="auto"/>
              <w:right w:val="single" w:sz="4" w:space="0" w:color="auto"/>
            </w:tcBorders>
            <w:noWrap/>
            <w:vAlign w:val="center"/>
            <w:hideMark/>
          </w:tcPr>
          <w:p w14:paraId="72A7BBF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29%</w:t>
            </w:r>
          </w:p>
        </w:tc>
        <w:tc>
          <w:tcPr>
            <w:tcW w:w="960" w:type="dxa"/>
            <w:tcBorders>
              <w:top w:val="nil"/>
              <w:left w:val="nil"/>
              <w:bottom w:val="single" w:sz="4" w:space="0" w:color="auto"/>
              <w:right w:val="single" w:sz="4" w:space="0" w:color="auto"/>
            </w:tcBorders>
            <w:noWrap/>
            <w:vAlign w:val="center"/>
            <w:hideMark/>
          </w:tcPr>
          <w:p w14:paraId="27E28D5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30%</w:t>
            </w:r>
          </w:p>
        </w:tc>
      </w:tr>
      <w:tr w:rsidR="00F16DF5" w:rsidRPr="006751AF" w14:paraId="1A58DA0D" w14:textId="77777777" w:rsidTr="001E3E58">
        <w:trPr>
          <w:trHeight w:val="300"/>
          <w:jc w:val="center"/>
        </w:trPr>
        <w:tc>
          <w:tcPr>
            <w:tcW w:w="3000" w:type="dxa"/>
            <w:tcBorders>
              <w:top w:val="nil"/>
              <w:left w:val="single" w:sz="4" w:space="0" w:color="auto"/>
              <w:bottom w:val="single" w:sz="4" w:space="0" w:color="auto"/>
              <w:right w:val="single" w:sz="4" w:space="0" w:color="auto"/>
            </w:tcBorders>
            <w:noWrap/>
            <w:vAlign w:val="center"/>
            <w:hideMark/>
          </w:tcPr>
          <w:p w14:paraId="02BAB9A9"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Management Quality</w:t>
            </w:r>
          </w:p>
        </w:tc>
        <w:tc>
          <w:tcPr>
            <w:tcW w:w="960" w:type="dxa"/>
            <w:tcBorders>
              <w:top w:val="nil"/>
              <w:left w:val="nil"/>
              <w:bottom w:val="single" w:sz="4" w:space="0" w:color="auto"/>
              <w:right w:val="single" w:sz="4" w:space="0" w:color="auto"/>
            </w:tcBorders>
            <w:noWrap/>
            <w:vAlign w:val="center"/>
            <w:hideMark/>
          </w:tcPr>
          <w:p w14:paraId="5071493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25%</w:t>
            </w:r>
          </w:p>
        </w:tc>
        <w:tc>
          <w:tcPr>
            <w:tcW w:w="960" w:type="dxa"/>
            <w:tcBorders>
              <w:top w:val="nil"/>
              <w:left w:val="nil"/>
              <w:bottom w:val="single" w:sz="4" w:space="0" w:color="auto"/>
              <w:right w:val="single" w:sz="4" w:space="0" w:color="auto"/>
            </w:tcBorders>
            <w:noWrap/>
            <w:vAlign w:val="center"/>
            <w:hideMark/>
          </w:tcPr>
          <w:p w14:paraId="251254A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25%</w:t>
            </w:r>
          </w:p>
        </w:tc>
        <w:tc>
          <w:tcPr>
            <w:tcW w:w="960" w:type="dxa"/>
            <w:tcBorders>
              <w:top w:val="nil"/>
              <w:left w:val="nil"/>
              <w:bottom w:val="single" w:sz="4" w:space="0" w:color="auto"/>
              <w:right w:val="single" w:sz="4" w:space="0" w:color="auto"/>
            </w:tcBorders>
            <w:noWrap/>
            <w:vAlign w:val="center"/>
            <w:hideMark/>
          </w:tcPr>
          <w:p w14:paraId="4B46E98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27%</w:t>
            </w:r>
          </w:p>
        </w:tc>
        <w:tc>
          <w:tcPr>
            <w:tcW w:w="960" w:type="dxa"/>
            <w:tcBorders>
              <w:top w:val="nil"/>
              <w:left w:val="nil"/>
              <w:bottom w:val="single" w:sz="4" w:space="0" w:color="auto"/>
              <w:right w:val="single" w:sz="4" w:space="0" w:color="auto"/>
            </w:tcBorders>
            <w:noWrap/>
            <w:vAlign w:val="center"/>
            <w:hideMark/>
          </w:tcPr>
          <w:p w14:paraId="7A78DB5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28%</w:t>
            </w:r>
          </w:p>
        </w:tc>
        <w:tc>
          <w:tcPr>
            <w:tcW w:w="960" w:type="dxa"/>
            <w:tcBorders>
              <w:top w:val="nil"/>
              <w:left w:val="nil"/>
              <w:bottom w:val="single" w:sz="4" w:space="0" w:color="auto"/>
              <w:right w:val="single" w:sz="4" w:space="0" w:color="auto"/>
            </w:tcBorders>
            <w:noWrap/>
            <w:vAlign w:val="center"/>
            <w:hideMark/>
          </w:tcPr>
          <w:p w14:paraId="0983A4E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30%</w:t>
            </w:r>
          </w:p>
        </w:tc>
      </w:tr>
    </w:tbl>
    <w:p w14:paraId="5DB1F2CC" w14:textId="77777777" w:rsidR="00116602" w:rsidRPr="00116602" w:rsidRDefault="00116602" w:rsidP="00116602">
      <w:pPr>
        <w:spacing w:line="360" w:lineRule="auto"/>
        <w:jc w:val="both"/>
        <w:rPr>
          <w:rFonts w:ascii="Times New Roman" w:hAnsi="Times New Roman"/>
          <w:bCs/>
          <w:sz w:val="24"/>
          <w:szCs w:val="24"/>
        </w:rPr>
      </w:pPr>
      <w:r w:rsidRPr="00116602">
        <w:rPr>
          <w:rFonts w:ascii="Times New Roman" w:hAnsi="Times New Roman"/>
          <w:bCs/>
          <w:sz w:val="24"/>
          <w:szCs w:val="24"/>
        </w:rPr>
        <w:t>Finally, as the bank moves through to other</w:t>
      </w:r>
      <w:r w:rsidRPr="00116602">
        <w:rPr>
          <w:rFonts w:ascii="Times New Roman" w:hAnsi="Times New Roman"/>
          <w:bCs/>
          <w:sz w:val="24"/>
          <w:szCs w:val="24"/>
        </w:rPr>
        <w:t> </w:t>
      </w:r>
      <w:r w:rsidRPr="00116602">
        <w:rPr>
          <w:rFonts w:ascii="Times New Roman" w:hAnsi="Times New Roman"/>
          <w:bCs/>
          <w:sz w:val="24"/>
          <w:szCs w:val="24"/>
        </w:rPr>
        <w:t>considerations, this weight decreases in Financial Paramet</w:t>
      </w:r>
      <w:r>
        <w:rPr>
          <w:rFonts w:ascii="Times New Roman" w:hAnsi="Times New Roman"/>
          <w:bCs/>
          <w:sz w:val="24"/>
          <w:szCs w:val="24"/>
        </w:rPr>
        <w:t>ers. A</w:t>
      </w:r>
      <w:r w:rsidRPr="00116602">
        <w:rPr>
          <w:rFonts w:ascii="Times New Roman" w:hAnsi="Times New Roman"/>
          <w:bCs/>
          <w:sz w:val="24"/>
          <w:szCs w:val="24"/>
        </w:rPr>
        <w:t>s banks are increasingly more likely to focus on understanding market conditions and industry performance, the weight of Industry Factors is-becoming heavier. The growing importance of management quality</w:t>
      </w:r>
      <w:r w:rsidRPr="00116602">
        <w:rPr>
          <w:rFonts w:ascii="Times New Roman" w:hAnsi="Times New Roman"/>
          <w:bCs/>
          <w:sz w:val="24"/>
          <w:szCs w:val="24"/>
        </w:rPr>
        <w:t> </w:t>
      </w:r>
      <w:r w:rsidRPr="00116602">
        <w:rPr>
          <w:rFonts w:ascii="Times New Roman" w:hAnsi="Times New Roman"/>
          <w:bCs/>
          <w:sz w:val="24"/>
          <w:szCs w:val="24"/>
        </w:rPr>
        <w:t>in the credit analysis is evidenced by an increment on the weight to Management Quality.</w:t>
      </w:r>
    </w:p>
    <w:p w14:paraId="0EBC604B" w14:textId="77777777" w:rsidR="00116602" w:rsidRPr="00116602" w:rsidRDefault="00F16DF5" w:rsidP="00116602">
      <w:pPr>
        <w:spacing w:line="360" w:lineRule="auto"/>
        <w:jc w:val="both"/>
        <w:rPr>
          <w:rFonts w:ascii="Times New Roman" w:hAnsi="Times New Roman"/>
          <w:bCs/>
          <w:sz w:val="24"/>
          <w:szCs w:val="24"/>
        </w:rPr>
      </w:pPr>
      <w:r w:rsidRPr="006751AF">
        <w:rPr>
          <w:rFonts w:ascii="Times New Roman" w:hAnsi="Times New Roman"/>
          <w:b/>
          <w:bCs/>
          <w:sz w:val="24"/>
          <w:szCs w:val="24"/>
        </w:rPr>
        <w:lastRenderedPageBreak/>
        <w:t xml:space="preserve">Financial Spreading and Analysis: </w:t>
      </w:r>
      <w:r w:rsidR="00116602" w:rsidRPr="00116602">
        <w:rPr>
          <w:rFonts w:ascii="Times New Roman" w:hAnsi="Times New Roman"/>
          <w:bCs/>
          <w:sz w:val="24"/>
          <w:szCs w:val="24"/>
        </w:rPr>
        <w:t>Automated analysis of key ratios, such as debt service coverage ratio, current ratio, debt-to-worth ratio Comparison reports for company and peer group trend analysis Red flag identification through intuitive credit scoring Financial statement distributions to standardized</w:t>
      </w:r>
      <w:r w:rsidR="00116602" w:rsidRPr="00116602">
        <w:rPr>
          <w:rFonts w:ascii="Times New Roman" w:hAnsi="Times New Roman"/>
          <w:bCs/>
          <w:sz w:val="24"/>
          <w:szCs w:val="24"/>
        </w:rPr>
        <w:t> </w:t>
      </w:r>
      <w:r w:rsidR="00116602" w:rsidRPr="00116602">
        <w:rPr>
          <w:rFonts w:ascii="Times New Roman" w:hAnsi="Times New Roman"/>
          <w:bCs/>
          <w:sz w:val="24"/>
          <w:szCs w:val="24"/>
        </w:rPr>
        <w:t>formats. Segments are identified by</w:t>
      </w:r>
      <w:r w:rsidR="00116602" w:rsidRPr="00116602">
        <w:rPr>
          <w:rFonts w:ascii="Times New Roman" w:hAnsi="Times New Roman"/>
          <w:bCs/>
          <w:sz w:val="24"/>
          <w:szCs w:val="24"/>
        </w:rPr>
        <w:t> </w:t>
      </w:r>
      <w:r w:rsidR="00116602" w:rsidRPr="00116602">
        <w:rPr>
          <w:rFonts w:ascii="Times New Roman" w:hAnsi="Times New Roman"/>
          <w:bCs/>
          <w:sz w:val="24"/>
          <w:szCs w:val="24"/>
        </w:rPr>
        <w:t>industry-specific templates.</w:t>
      </w:r>
    </w:p>
    <w:tbl>
      <w:tblPr>
        <w:tblW w:w="7960" w:type="dxa"/>
        <w:jc w:val="center"/>
        <w:tblLook w:val="04A0" w:firstRow="1" w:lastRow="0" w:firstColumn="1" w:lastColumn="0" w:noHBand="0" w:noVBand="1"/>
      </w:tblPr>
      <w:tblGrid>
        <w:gridCol w:w="3160"/>
        <w:gridCol w:w="960"/>
        <w:gridCol w:w="960"/>
        <w:gridCol w:w="960"/>
        <w:gridCol w:w="960"/>
        <w:gridCol w:w="960"/>
      </w:tblGrid>
      <w:tr w:rsidR="00F16DF5" w:rsidRPr="006751AF" w14:paraId="0F7D5190" w14:textId="77777777" w:rsidTr="001E3E58">
        <w:trPr>
          <w:trHeight w:val="300"/>
          <w:jc w:val="center"/>
        </w:trPr>
        <w:tc>
          <w:tcPr>
            <w:tcW w:w="3160" w:type="dxa"/>
            <w:tcBorders>
              <w:top w:val="single" w:sz="4" w:space="0" w:color="auto"/>
              <w:left w:val="single" w:sz="4" w:space="0" w:color="auto"/>
              <w:bottom w:val="single" w:sz="4" w:space="0" w:color="auto"/>
              <w:right w:val="single" w:sz="4" w:space="0" w:color="auto"/>
            </w:tcBorders>
            <w:noWrap/>
            <w:vAlign w:val="center"/>
            <w:hideMark/>
          </w:tcPr>
          <w:p w14:paraId="6BC6CB1A"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Ratio</w:t>
            </w:r>
          </w:p>
        </w:tc>
        <w:tc>
          <w:tcPr>
            <w:tcW w:w="960" w:type="dxa"/>
            <w:tcBorders>
              <w:top w:val="single" w:sz="4" w:space="0" w:color="auto"/>
              <w:left w:val="nil"/>
              <w:bottom w:val="single" w:sz="4" w:space="0" w:color="auto"/>
              <w:right w:val="single" w:sz="4" w:space="0" w:color="auto"/>
            </w:tcBorders>
            <w:noWrap/>
            <w:vAlign w:val="center"/>
            <w:hideMark/>
          </w:tcPr>
          <w:p w14:paraId="446A8494"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noWrap/>
            <w:vAlign w:val="center"/>
            <w:hideMark/>
          </w:tcPr>
          <w:p w14:paraId="456CFD67"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noWrap/>
            <w:vAlign w:val="center"/>
            <w:hideMark/>
          </w:tcPr>
          <w:p w14:paraId="014237E1"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noWrap/>
            <w:vAlign w:val="center"/>
            <w:hideMark/>
          </w:tcPr>
          <w:p w14:paraId="646675F2"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noWrap/>
            <w:vAlign w:val="center"/>
            <w:hideMark/>
          </w:tcPr>
          <w:p w14:paraId="49C7C27F"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1417FAC1" w14:textId="77777777" w:rsidTr="001E3E58">
        <w:trPr>
          <w:trHeight w:val="300"/>
          <w:jc w:val="center"/>
        </w:trPr>
        <w:tc>
          <w:tcPr>
            <w:tcW w:w="3160" w:type="dxa"/>
            <w:tcBorders>
              <w:top w:val="nil"/>
              <w:left w:val="single" w:sz="4" w:space="0" w:color="auto"/>
              <w:bottom w:val="single" w:sz="4" w:space="0" w:color="auto"/>
              <w:right w:val="single" w:sz="4" w:space="0" w:color="auto"/>
            </w:tcBorders>
            <w:noWrap/>
            <w:vAlign w:val="center"/>
            <w:hideMark/>
          </w:tcPr>
          <w:p w14:paraId="55AEC978"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Current Ratio</w:t>
            </w:r>
          </w:p>
        </w:tc>
        <w:tc>
          <w:tcPr>
            <w:tcW w:w="960" w:type="dxa"/>
            <w:tcBorders>
              <w:top w:val="nil"/>
              <w:left w:val="nil"/>
              <w:bottom w:val="single" w:sz="4" w:space="0" w:color="auto"/>
              <w:right w:val="single" w:sz="4" w:space="0" w:color="auto"/>
            </w:tcBorders>
            <w:noWrap/>
            <w:vAlign w:val="center"/>
            <w:hideMark/>
          </w:tcPr>
          <w:p w14:paraId="2D73D75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115%</w:t>
            </w:r>
          </w:p>
        </w:tc>
        <w:tc>
          <w:tcPr>
            <w:tcW w:w="960" w:type="dxa"/>
            <w:tcBorders>
              <w:top w:val="nil"/>
              <w:left w:val="nil"/>
              <w:bottom w:val="single" w:sz="4" w:space="0" w:color="auto"/>
              <w:right w:val="single" w:sz="4" w:space="0" w:color="auto"/>
            </w:tcBorders>
            <w:noWrap/>
            <w:vAlign w:val="center"/>
            <w:hideMark/>
          </w:tcPr>
          <w:p w14:paraId="5019CB4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118%</w:t>
            </w:r>
          </w:p>
        </w:tc>
        <w:tc>
          <w:tcPr>
            <w:tcW w:w="960" w:type="dxa"/>
            <w:tcBorders>
              <w:top w:val="nil"/>
              <w:left w:val="nil"/>
              <w:bottom w:val="single" w:sz="4" w:space="0" w:color="auto"/>
              <w:right w:val="single" w:sz="4" w:space="0" w:color="auto"/>
            </w:tcBorders>
            <w:noWrap/>
            <w:vAlign w:val="center"/>
            <w:hideMark/>
          </w:tcPr>
          <w:p w14:paraId="08990B8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120%</w:t>
            </w:r>
          </w:p>
        </w:tc>
        <w:tc>
          <w:tcPr>
            <w:tcW w:w="960" w:type="dxa"/>
            <w:tcBorders>
              <w:top w:val="nil"/>
              <w:left w:val="nil"/>
              <w:bottom w:val="single" w:sz="4" w:space="0" w:color="auto"/>
              <w:right w:val="single" w:sz="4" w:space="0" w:color="auto"/>
            </w:tcBorders>
            <w:noWrap/>
            <w:vAlign w:val="center"/>
            <w:hideMark/>
          </w:tcPr>
          <w:p w14:paraId="725B5F7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122%</w:t>
            </w:r>
          </w:p>
        </w:tc>
        <w:tc>
          <w:tcPr>
            <w:tcW w:w="960" w:type="dxa"/>
            <w:tcBorders>
              <w:top w:val="nil"/>
              <w:left w:val="nil"/>
              <w:bottom w:val="single" w:sz="4" w:space="0" w:color="auto"/>
              <w:right w:val="single" w:sz="4" w:space="0" w:color="auto"/>
            </w:tcBorders>
            <w:noWrap/>
            <w:vAlign w:val="center"/>
            <w:hideMark/>
          </w:tcPr>
          <w:p w14:paraId="3669CE3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125%</w:t>
            </w:r>
          </w:p>
        </w:tc>
      </w:tr>
      <w:tr w:rsidR="00F16DF5" w:rsidRPr="006751AF" w14:paraId="185D1275" w14:textId="77777777" w:rsidTr="001E3E58">
        <w:trPr>
          <w:trHeight w:val="300"/>
          <w:jc w:val="center"/>
        </w:trPr>
        <w:tc>
          <w:tcPr>
            <w:tcW w:w="3160" w:type="dxa"/>
            <w:tcBorders>
              <w:top w:val="nil"/>
              <w:left w:val="single" w:sz="4" w:space="0" w:color="auto"/>
              <w:bottom w:val="single" w:sz="4" w:space="0" w:color="auto"/>
              <w:right w:val="single" w:sz="4" w:space="0" w:color="auto"/>
            </w:tcBorders>
            <w:noWrap/>
            <w:vAlign w:val="center"/>
            <w:hideMark/>
          </w:tcPr>
          <w:p w14:paraId="76FB867E"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Debt</w:t>
            </w:r>
            <w:r w:rsidRPr="006751AF">
              <w:rPr>
                <w:rFonts w:ascii="Times New Roman" w:eastAsia="Times New Roman" w:hAnsi="Times New Roman"/>
                <w:color w:val="000000"/>
              </w:rPr>
              <w:noBreakHyphen/>
              <w:t>to</w:t>
            </w:r>
            <w:r w:rsidRPr="006751AF">
              <w:rPr>
                <w:rFonts w:ascii="Times New Roman" w:eastAsia="Times New Roman" w:hAnsi="Times New Roman"/>
                <w:color w:val="000000"/>
              </w:rPr>
              <w:noBreakHyphen/>
              <w:t>Equity Ratio</w:t>
            </w:r>
          </w:p>
        </w:tc>
        <w:tc>
          <w:tcPr>
            <w:tcW w:w="960" w:type="dxa"/>
            <w:tcBorders>
              <w:top w:val="nil"/>
              <w:left w:val="nil"/>
              <w:bottom w:val="single" w:sz="4" w:space="0" w:color="auto"/>
              <w:right w:val="single" w:sz="4" w:space="0" w:color="auto"/>
            </w:tcBorders>
            <w:noWrap/>
            <w:vAlign w:val="center"/>
            <w:hideMark/>
          </w:tcPr>
          <w:p w14:paraId="2A637B7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240%</w:t>
            </w:r>
          </w:p>
        </w:tc>
        <w:tc>
          <w:tcPr>
            <w:tcW w:w="960" w:type="dxa"/>
            <w:tcBorders>
              <w:top w:val="nil"/>
              <w:left w:val="nil"/>
              <w:bottom w:val="single" w:sz="4" w:space="0" w:color="auto"/>
              <w:right w:val="single" w:sz="4" w:space="0" w:color="auto"/>
            </w:tcBorders>
            <w:noWrap/>
            <w:vAlign w:val="center"/>
            <w:hideMark/>
          </w:tcPr>
          <w:p w14:paraId="45839F0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255%</w:t>
            </w:r>
          </w:p>
        </w:tc>
        <w:tc>
          <w:tcPr>
            <w:tcW w:w="960" w:type="dxa"/>
            <w:tcBorders>
              <w:top w:val="nil"/>
              <w:left w:val="nil"/>
              <w:bottom w:val="single" w:sz="4" w:space="0" w:color="auto"/>
              <w:right w:val="single" w:sz="4" w:space="0" w:color="auto"/>
            </w:tcBorders>
            <w:noWrap/>
            <w:vAlign w:val="center"/>
            <w:hideMark/>
          </w:tcPr>
          <w:p w14:paraId="6577B3F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230%</w:t>
            </w:r>
          </w:p>
        </w:tc>
        <w:tc>
          <w:tcPr>
            <w:tcW w:w="960" w:type="dxa"/>
            <w:tcBorders>
              <w:top w:val="nil"/>
              <w:left w:val="nil"/>
              <w:bottom w:val="single" w:sz="4" w:space="0" w:color="auto"/>
              <w:right w:val="single" w:sz="4" w:space="0" w:color="auto"/>
            </w:tcBorders>
            <w:noWrap/>
            <w:vAlign w:val="center"/>
            <w:hideMark/>
          </w:tcPr>
          <w:p w14:paraId="3C40EDD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210%</w:t>
            </w:r>
          </w:p>
        </w:tc>
        <w:tc>
          <w:tcPr>
            <w:tcW w:w="960" w:type="dxa"/>
            <w:tcBorders>
              <w:top w:val="nil"/>
              <w:left w:val="nil"/>
              <w:bottom w:val="single" w:sz="4" w:space="0" w:color="auto"/>
              <w:right w:val="single" w:sz="4" w:space="0" w:color="auto"/>
            </w:tcBorders>
            <w:noWrap/>
            <w:vAlign w:val="center"/>
            <w:hideMark/>
          </w:tcPr>
          <w:p w14:paraId="21F03CE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183%</w:t>
            </w:r>
          </w:p>
        </w:tc>
      </w:tr>
      <w:tr w:rsidR="00F16DF5" w:rsidRPr="006751AF" w14:paraId="263522EB" w14:textId="77777777" w:rsidTr="001E3E58">
        <w:trPr>
          <w:trHeight w:val="300"/>
          <w:jc w:val="center"/>
        </w:trPr>
        <w:tc>
          <w:tcPr>
            <w:tcW w:w="3160" w:type="dxa"/>
            <w:tcBorders>
              <w:top w:val="nil"/>
              <w:left w:val="single" w:sz="4" w:space="0" w:color="auto"/>
              <w:bottom w:val="single" w:sz="4" w:space="0" w:color="auto"/>
              <w:right w:val="single" w:sz="4" w:space="0" w:color="auto"/>
            </w:tcBorders>
            <w:noWrap/>
            <w:vAlign w:val="center"/>
            <w:hideMark/>
          </w:tcPr>
          <w:p w14:paraId="4599D03F"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Debt Service Coverage Ratio</w:t>
            </w:r>
          </w:p>
        </w:tc>
        <w:tc>
          <w:tcPr>
            <w:tcW w:w="960" w:type="dxa"/>
            <w:tcBorders>
              <w:top w:val="nil"/>
              <w:left w:val="nil"/>
              <w:bottom w:val="single" w:sz="4" w:space="0" w:color="auto"/>
              <w:right w:val="single" w:sz="4" w:space="0" w:color="auto"/>
            </w:tcBorders>
            <w:noWrap/>
            <w:vAlign w:val="center"/>
            <w:hideMark/>
          </w:tcPr>
          <w:p w14:paraId="38D6CE2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110%</w:t>
            </w:r>
          </w:p>
        </w:tc>
        <w:tc>
          <w:tcPr>
            <w:tcW w:w="960" w:type="dxa"/>
            <w:tcBorders>
              <w:top w:val="nil"/>
              <w:left w:val="nil"/>
              <w:bottom w:val="single" w:sz="4" w:space="0" w:color="auto"/>
              <w:right w:val="single" w:sz="4" w:space="0" w:color="auto"/>
            </w:tcBorders>
            <w:noWrap/>
            <w:vAlign w:val="center"/>
            <w:hideMark/>
          </w:tcPr>
          <w:p w14:paraId="23AEF8F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105%</w:t>
            </w:r>
          </w:p>
        </w:tc>
        <w:tc>
          <w:tcPr>
            <w:tcW w:w="960" w:type="dxa"/>
            <w:tcBorders>
              <w:top w:val="nil"/>
              <w:left w:val="nil"/>
              <w:bottom w:val="single" w:sz="4" w:space="0" w:color="auto"/>
              <w:right w:val="single" w:sz="4" w:space="0" w:color="auto"/>
            </w:tcBorders>
            <w:noWrap/>
            <w:vAlign w:val="center"/>
            <w:hideMark/>
          </w:tcPr>
          <w:p w14:paraId="0A921D4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112%</w:t>
            </w:r>
          </w:p>
        </w:tc>
        <w:tc>
          <w:tcPr>
            <w:tcW w:w="960" w:type="dxa"/>
            <w:tcBorders>
              <w:top w:val="nil"/>
              <w:left w:val="nil"/>
              <w:bottom w:val="single" w:sz="4" w:space="0" w:color="auto"/>
              <w:right w:val="single" w:sz="4" w:space="0" w:color="auto"/>
            </w:tcBorders>
            <w:noWrap/>
            <w:vAlign w:val="center"/>
            <w:hideMark/>
          </w:tcPr>
          <w:p w14:paraId="227A2F2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118%</w:t>
            </w:r>
          </w:p>
        </w:tc>
        <w:tc>
          <w:tcPr>
            <w:tcW w:w="960" w:type="dxa"/>
            <w:tcBorders>
              <w:top w:val="nil"/>
              <w:left w:val="nil"/>
              <w:bottom w:val="single" w:sz="4" w:space="0" w:color="auto"/>
              <w:right w:val="single" w:sz="4" w:space="0" w:color="auto"/>
            </w:tcBorders>
            <w:noWrap/>
            <w:vAlign w:val="center"/>
            <w:hideMark/>
          </w:tcPr>
          <w:p w14:paraId="4470608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125%</w:t>
            </w:r>
          </w:p>
        </w:tc>
      </w:tr>
    </w:tbl>
    <w:p w14:paraId="5F896A76" w14:textId="77777777" w:rsidR="00F16DF5" w:rsidRDefault="00F16DF5" w:rsidP="00F16DF5">
      <w:pPr>
        <w:spacing w:line="360" w:lineRule="auto"/>
        <w:jc w:val="both"/>
        <w:rPr>
          <w:rFonts w:ascii="Times New Roman" w:hAnsi="Times New Roman"/>
          <w:bCs/>
          <w:sz w:val="24"/>
          <w:szCs w:val="24"/>
        </w:rPr>
      </w:pPr>
    </w:p>
    <w:p w14:paraId="35C60995" w14:textId="77777777" w:rsidR="00F16DF5" w:rsidRDefault="00F16DF5" w:rsidP="00F16DF5">
      <w:pPr>
        <w:spacing w:line="360" w:lineRule="auto"/>
        <w:jc w:val="center"/>
        <w:rPr>
          <w:rFonts w:ascii="Times New Roman" w:hAnsi="Times New Roman"/>
          <w:bCs/>
          <w:sz w:val="24"/>
          <w:szCs w:val="24"/>
        </w:rPr>
      </w:pPr>
      <w:r>
        <w:rPr>
          <w:noProof/>
        </w:rPr>
        <w:drawing>
          <wp:inline distT="0" distB="0" distL="0" distR="0" wp14:anchorId="6D3EBDDB" wp14:editId="1B066137">
            <wp:extent cx="3895725" cy="244792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96A755F" w14:textId="77777777" w:rsidR="00116602" w:rsidRPr="00116602" w:rsidRDefault="00116602" w:rsidP="00116602">
      <w:pPr>
        <w:spacing w:line="360" w:lineRule="auto"/>
        <w:jc w:val="both"/>
        <w:rPr>
          <w:rFonts w:ascii="Times New Roman" w:hAnsi="Times New Roman"/>
          <w:bCs/>
          <w:sz w:val="24"/>
          <w:szCs w:val="24"/>
        </w:rPr>
      </w:pPr>
      <w:r w:rsidRPr="00116602">
        <w:rPr>
          <w:rFonts w:ascii="Times New Roman" w:hAnsi="Times New Roman"/>
          <w:bCs/>
          <w:sz w:val="24"/>
          <w:szCs w:val="24"/>
        </w:rPr>
        <w:t>Improved liquidity management and higher quality of liquid assets</w:t>
      </w:r>
      <w:r w:rsidRPr="00116602">
        <w:rPr>
          <w:rFonts w:ascii="Times New Roman" w:hAnsi="Times New Roman"/>
          <w:bCs/>
          <w:sz w:val="24"/>
          <w:szCs w:val="24"/>
        </w:rPr>
        <w:t> </w:t>
      </w:r>
      <w:r w:rsidRPr="00116602">
        <w:rPr>
          <w:rFonts w:ascii="Times New Roman" w:hAnsi="Times New Roman"/>
          <w:bCs/>
          <w:sz w:val="24"/>
          <w:szCs w:val="24"/>
        </w:rPr>
        <w:t>against short-term indebtedness is also portrayed with the current ratio which starts at 115% from 2019 through to 125% in 2023. The Debt-to-Equity Ratio is high in 2019</w:t>
      </w:r>
      <w:r w:rsidRPr="00116602">
        <w:rPr>
          <w:rFonts w:ascii="Times New Roman" w:hAnsi="Times New Roman"/>
          <w:bCs/>
          <w:sz w:val="24"/>
          <w:szCs w:val="24"/>
        </w:rPr>
        <w:t> </w:t>
      </w:r>
      <w:r w:rsidRPr="00116602">
        <w:rPr>
          <w:rFonts w:ascii="Times New Roman" w:hAnsi="Times New Roman"/>
          <w:bCs/>
          <w:sz w:val="24"/>
          <w:szCs w:val="24"/>
        </w:rPr>
        <w:t>at 240% and reaches its maximum at 255% in 2020, followed by a decrease to become equal to 183% in 2023 Inflation of pandemic stress is long term at the beginning of the planning horizon. The Debt Service Coverage Ratio, which reflects an increasingly higher level of operating</w:t>
      </w:r>
      <w:r w:rsidRPr="00116602">
        <w:rPr>
          <w:rFonts w:ascii="Times New Roman" w:hAnsi="Times New Roman"/>
          <w:bCs/>
          <w:sz w:val="24"/>
          <w:szCs w:val="24"/>
        </w:rPr>
        <w:t> </w:t>
      </w:r>
      <w:r w:rsidRPr="00116602">
        <w:rPr>
          <w:rFonts w:ascii="Times New Roman" w:hAnsi="Times New Roman"/>
          <w:bCs/>
          <w:sz w:val="24"/>
          <w:szCs w:val="24"/>
        </w:rPr>
        <w:t>revenue and the ability to service debt, starts at 110 percent in 2019 but is dropped to 105% in 2020 as a result of the pandemic. (“Recovering” because even at its current level, it</w:t>
      </w:r>
      <w:r w:rsidRPr="00116602">
        <w:rPr>
          <w:rFonts w:ascii="Times New Roman" w:hAnsi="Times New Roman"/>
          <w:bCs/>
          <w:sz w:val="24"/>
          <w:szCs w:val="24"/>
        </w:rPr>
        <w:t> </w:t>
      </w:r>
      <w:r w:rsidRPr="00116602">
        <w:rPr>
          <w:rFonts w:ascii="Times New Roman" w:hAnsi="Times New Roman"/>
          <w:bCs/>
          <w:sz w:val="24"/>
          <w:szCs w:val="24"/>
        </w:rPr>
        <w:t xml:space="preserve">remains 78% higher than before the Great </w:t>
      </w:r>
      <w:r w:rsidR="00A77394" w:rsidRPr="00116602">
        <w:rPr>
          <w:rFonts w:ascii="Times New Roman" w:hAnsi="Times New Roman"/>
          <w:bCs/>
          <w:sz w:val="24"/>
          <w:szCs w:val="24"/>
        </w:rPr>
        <w:t>Recession</w:t>
      </w:r>
      <w:r w:rsidRPr="00116602">
        <w:rPr>
          <w:rFonts w:ascii="Times New Roman" w:hAnsi="Times New Roman"/>
          <w:bCs/>
          <w:sz w:val="24"/>
          <w:szCs w:val="24"/>
        </w:rPr>
        <w:t xml:space="preserve"> and by 2023 will have recovered to </w:t>
      </w:r>
      <w:r w:rsidR="00A77394">
        <w:rPr>
          <w:rFonts w:ascii="Times New Roman" w:hAnsi="Times New Roman"/>
          <w:bCs/>
          <w:sz w:val="24"/>
          <w:szCs w:val="24"/>
        </w:rPr>
        <w:t>125</w:t>
      </w:r>
      <w:r w:rsidRPr="00116602">
        <w:rPr>
          <w:rFonts w:ascii="Times New Roman" w:hAnsi="Times New Roman"/>
          <w:bCs/>
          <w:sz w:val="24"/>
          <w:szCs w:val="24"/>
        </w:rPr>
        <w:t>%.)</w:t>
      </w:r>
    </w:p>
    <w:p w14:paraId="542561A0" w14:textId="77777777" w:rsidR="00A77394" w:rsidRPr="00A77394" w:rsidRDefault="00F16DF5" w:rsidP="00A77394">
      <w:pPr>
        <w:spacing w:line="360" w:lineRule="auto"/>
        <w:jc w:val="both"/>
        <w:rPr>
          <w:rFonts w:ascii="Times New Roman" w:hAnsi="Times New Roman"/>
          <w:bCs/>
          <w:sz w:val="24"/>
          <w:szCs w:val="24"/>
        </w:rPr>
      </w:pPr>
      <w:r w:rsidRPr="006751AF">
        <w:rPr>
          <w:rFonts w:ascii="Times New Roman" w:hAnsi="Times New Roman"/>
          <w:b/>
          <w:bCs/>
          <w:sz w:val="24"/>
          <w:szCs w:val="24"/>
        </w:rPr>
        <w:t>Industry Analysis:</w:t>
      </w:r>
      <w:r w:rsidRPr="006751AF">
        <w:rPr>
          <w:rFonts w:ascii="Times New Roman" w:hAnsi="Times New Roman"/>
          <w:bCs/>
          <w:sz w:val="24"/>
          <w:szCs w:val="24"/>
        </w:rPr>
        <w:t xml:space="preserve"> </w:t>
      </w:r>
      <w:r w:rsidR="00A77394" w:rsidRPr="00A77394">
        <w:rPr>
          <w:rFonts w:ascii="Times New Roman" w:hAnsi="Times New Roman"/>
          <w:bCs/>
          <w:sz w:val="24"/>
          <w:szCs w:val="24"/>
        </w:rPr>
        <w:t>Sector specialists provide credit context using an analysis of</w:t>
      </w:r>
      <w:r w:rsidR="00A77394" w:rsidRPr="00A77394">
        <w:rPr>
          <w:rFonts w:ascii="Times New Roman" w:hAnsi="Times New Roman"/>
          <w:bCs/>
          <w:sz w:val="24"/>
          <w:szCs w:val="24"/>
        </w:rPr>
        <w:t> </w:t>
      </w:r>
      <w:r w:rsidR="00A77394" w:rsidRPr="00A77394">
        <w:rPr>
          <w:rFonts w:ascii="Times New Roman" w:hAnsi="Times New Roman"/>
          <w:bCs/>
          <w:sz w:val="24"/>
          <w:szCs w:val="24"/>
        </w:rPr>
        <w:t xml:space="preserve">the market regulatory structure, competitive intensity, growth potential and industry growth dynamics to </w:t>
      </w:r>
      <w:r w:rsidR="00A77394" w:rsidRPr="00A77394">
        <w:rPr>
          <w:rFonts w:ascii="Times New Roman" w:hAnsi="Times New Roman"/>
          <w:bCs/>
          <w:sz w:val="24"/>
          <w:szCs w:val="24"/>
        </w:rPr>
        <w:lastRenderedPageBreak/>
        <w:t>help put single borrower credit in perspective. “For sectors with higher risk, the bank has</w:t>
      </w:r>
      <w:r w:rsidR="00A77394" w:rsidRPr="00A77394">
        <w:rPr>
          <w:rFonts w:ascii="Times New Roman" w:hAnsi="Times New Roman"/>
          <w:bCs/>
          <w:sz w:val="24"/>
          <w:szCs w:val="24"/>
        </w:rPr>
        <w:t> </w:t>
      </w:r>
      <w:r w:rsidR="00A77394" w:rsidRPr="00A77394">
        <w:rPr>
          <w:rFonts w:ascii="Times New Roman" w:hAnsi="Times New Roman"/>
          <w:bCs/>
          <w:sz w:val="24"/>
          <w:szCs w:val="24"/>
        </w:rPr>
        <w:t>concentration limits.</w:t>
      </w:r>
    </w:p>
    <w:tbl>
      <w:tblPr>
        <w:tblW w:w="7500" w:type="dxa"/>
        <w:jc w:val="center"/>
        <w:tblLook w:val="04A0" w:firstRow="1" w:lastRow="0" w:firstColumn="1" w:lastColumn="0" w:noHBand="0" w:noVBand="1"/>
      </w:tblPr>
      <w:tblGrid>
        <w:gridCol w:w="2700"/>
        <w:gridCol w:w="960"/>
        <w:gridCol w:w="960"/>
        <w:gridCol w:w="960"/>
        <w:gridCol w:w="960"/>
        <w:gridCol w:w="960"/>
      </w:tblGrid>
      <w:tr w:rsidR="00F16DF5" w:rsidRPr="006751AF" w14:paraId="3A1F5C21" w14:textId="77777777" w:rsidTr="001E3E58">
        <w:trPr>
          <w:trHeight w:val="300"/>
          <w:jc w:val="center"/>
        </w:trPr>
        <w:tc>
          <w:tcPr>
            <w:tcW w:w="2700" w:type="dxa"/>
            <w:tcBorders>
              <w:top w:val="single" w:sz="4" w:space="0" w:color="auto"/>
              <w:left w:val="single" w:sz="4" w:space="0" w:color="auto"/>
              <w:bottom w:val="single" w:sz="4" w:space="0" w:color="auto"/>
              <w:right w:val="single" w:sz="4" w:space="0" w:color="auto"/>
            </w:tcBorders>
            <w:noWrap/>
            <w:vAlign w:val="bottom"/>
            <w:hideMark/>
          </w:tcPr>
          <w:p w14:paraId="391F2618"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 </w:t>
            </w:r>
          </w:p>
        </w:tc>
        <w:tc>
          <w:tcPr>
            <w:tcW w:w="960" w:type="dxa"/>
            <w:tcBorders>
              <w:top w:val="single" w:sz="4" w:space="0" w:color="auto"/>
              <w:left w:val="nil"/>
              <w:bottom w:val="single" w:sz="4" w:space="0" w:color="auto"/>
              <w:right w:val="single" w:sz="4" w:space="0" w:color="auto"/>
            </w:tcBorders>
            <w:noWrap/>
            <w:vAlign w:val="center"/>
            <w:hideMark/>
          </w:tcPr>
          <w:p w14:paraId="7B0540EE"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noWrap/>
            <w:vAlign w:val="center"/>
            <w:hideMark/>
          </w:tcPr>
          <w:p w14:paraId="1398DEFA"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noWrap/>
            <w:vAlign w:val="center"/>
            <w:hideMark/>
          </w:tcPr>
          <w:p w14:paraId="6AAEE1AD"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noWrap/>
            <w:vAlign w:val="center"/>
            <w:hideMark/>
          </w:tcPr>
          <w:p w14:paraId="5214A747"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noWrap/>
            <w:vAlign w:val="center"/>
            <w:hideMark/>
          </w:tcPr>
          <w:p w14:paraId="7D622B2D"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074A4188" w14:textId="77777777" w:rsidTr="001E3E58">
        <w:trPr>
          <w:trHeight w:val="300"/>
          <w:jc w:val="center"/>
        </w:trPr>
        <w:tc>
          <w:tcPr>
            <w:tcW w:w="2700" w:type="dxa"/>
            <w:tcBorders>
              <w:top w:val="nil"/>
              <w:left w:val="single" w:sz="4" w:space="0" w:color="auto"/>
              <w:bottom w:val="single" w:sz="4" w:space="0" w:color="auto"/>
              <w:right w:val="single" w:sz="4" w:space="0" w:color="auto"/>
            </w:tcBorders>
            <w:noWrap/>
            <w:vAlign w:val="center"/>
            <w:hideMark/>
          </w:tcPr>
          <w:p w14:paraId="601E1E5A"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High</w:t>
            </w:r>
            <w:r w:rsidRPr="006751AF">
              <w:rPr>
                <w:rFonts w:ascii="Times New Roman" w:eastAsia="Times New Roman" w:hAnsi="Times New Roman"/>
                <w:color w:val="000000"/>
              </w:rPr>
              <w:noBreakHyphen/>
              <w:t>risk sector exposure</w:t>
            </w:r>
          </w:p>
        </w:tc>
        <w:tc>
          <w:tcPr>
            <w:tcW w:w="960" w:type="dxa"/>
            <w:tcBorders>
              <w:top w:val="nil"/>
              <w:left w:val="nil"/>
              <w:bottom w:val="single" w:sz="4" w:space="0" w:color="auto"/>
              <w:right w:val="single" w:sz="4" w:space="0" w:color="auto"/>
            </w:tcBorders>
            <w:noWrap/>
            <w:vAlign w:val="center"/>
            <w:hideMark/>
          </w:tcPr>
          <w:p w14:paraId="7E7F3DA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28%</w:t>
            </w:r>
          </w:p>
        </w:tc>
        <w:tc>
          <w:tcPr>
            <w:tcW w:w="960" w:type="dxa"/>
            <w:tcBorders>
              <w:top w:val="nil"/>
              <w:left w:val="nil"/>
              <w:bottom w:val="single" w:sz="4" w:space="0" w:color="auto"/>
              <w:right w:val="single" w:sz="4" w:space="0" w:color="auto"/>
            </w:tcBorders>
            <w:noWrap/>
            <w:vAlign w:val="center"/>
            <w:hideMark/>
          </w:tcPr>
          <w:p w14:paraId="726D4380"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30%</w:t>
            </w:r>
          </w:p>
        </w:tc>
        <w:tc>
          <w:tcPr>
            <w:tcW w:w="960" w:type="dxa"/>
            <w:tcBorders>
              <w:top w:val="nil"/>
              <w:left w:val="nil"/>
              <w:bottom w:val="single" w:sz="4" w:space="0" w:color="auto"/>
              <w:right w:val="single" w:sz="4" w:space="0" w:color="auto"/>
            </w:tcBorders>
            <w:noWrap/>
            <w:vAlign w:val="center"/>
            <w:hideMark/>
          </w:tcPr>
          <w:p w14:paraId="64C36DE0"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32%</w:t>
            </w:r>
          </w:p>
        </w:tc>
        <w:tc>
          <w:tcPr>
            <w:tcW w:w="960" w:type="dxa"/>
            <w:tcBorders>
              <w:top w:val="nil"/>
              <w:left w:val="nil"/>
              <w:bottom w:val="single" w:sz="4" w:space="0" w:color="auto"/>
              <w:right w:val="single" w:sz="4" w:space="0" w:color="auto"/>
            </w:tcBorders>
            <w:noWrap/>
            <w:vAlign w:val="center"/>
            <w:hideMark/>
          </w:tcPr>
          <w:p w14:paraId="385B054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34%</w:t>
            </w:r>
          </w:p>
        </w:tc>
        <w:tc>
          <w:tcPr>
            <w:tcW w:w="960" w:type="dxa"/>
            <w:tcBorders>
              <w:top w:val="nil"/>
              <w:left w:val="nil"/>
              <w:bottom w:val="single" w:sz="4" w:space="0" w:color="auto"/>
              <w:right w:val="single" w:sz="4" w:space="0" w:color="auto"/>
            </w:tcBorders>
            <w:noWrap/>
            <w:vAlign w:val="center"/>
            <w:hideMark/>
          </w:tcPr>
          <w:p w14:paraId="16E5C1D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35%</w:t>
            </w:r>
          </w:p>
        </w:tc>
      </w:tr>
    </w:tbl>
    <w:p w14:paraId="46C0AB83" w14:textId="77777777" w:rsidR="00A77394" w:rsidRPr="00903DDA" w:rsidRDefault="00A77394" w:rsidP="00903DDA">
      <w:pPr>
        <w:spacing w:line="360" w:lineRule="auto"/>
        <w:jc w:val="both"/>
        <w:rPr>
          <w:rFonts w:ascii="Times New Roman" w:hAnsi="Times New Roman"/>
          <w:sz w:val="24"/>
          <w:szCs w:val="24"/>
        </w:rPr>
      </w:pPr>
      <w:r w:rsidRPr="00903DDA">
        <w:rPr>
          <w:rFonts w:ascii="Times New Roman" w:hAnsi="Times New Roman"/>
          <w:sz w:val="24"/>
          <w:szCs w:val="24"/>
        </w:rPr>
        <w:t>By gradually stepping up its exposures in risky sectors while using a tight ambit,</w:t>
      </w:r>
      <w:r w:rsidRPr="00903DDA">
        <w:rPr>
          <w:rFonts w:ascii="Times New Roman" w:hAnsi="Times New Roman"/>
          <w:sz w:val="24"/>
          <w:szCs w:val="24"/>
        </w:rPr>
        <w:t> </w:t>
      </w:r>
      <w:r w:rsidRPr="00903DDA">
        <w:rPr>
          <w:rFonts w:ascii="Times New Roman" w:hAnsi="Times New Roman"/>
          <w:sz w:val="24"/>
          <w:szCs w:val="24"/>
        </w:rPr>
        <w:t>Dhaka Bank risks. The bank ensures that the</w:t>
      </w:r>
      <w:r w:rsidRPr="00903DDA">
        <w:rPr>
          <w:rFonts w:ascii="Times New Roman" w:hAnsi="Times New Roman"/>
          <w:sz w:val="24"/>
          <w:szCs w:val="24"/>
        </w:rPr>
        <w:t> </w:t>
      </w:r>
      <w:r w:rsidRPr="00903DDA">
        <w:rPr>
          <w:rFonts w:ascii="Times New Roman" w:hAnsi="Times New Roman"/>
          <w:sz w:val="24"/>
          <w:szCs w:val="24"/>
        </w:rPr>
        <w:t>position does not grow at a pace exceeding risk aversion by capping its exposure in volatiles areas to 35% in 2023.</w:t>
      </w:r>
    </w:p>
    <w:p w14:paraId="6880A7C4" w14:textId="77777777" w:rsidR="00F16DF5" w:rsidRPr="003C682B" w:rsidRDefault="00F16DF5" w:rsidP="00E94B0F">
      <w:pPr>
        <w:pStyle w:val="Heading2"/>
        <w:rPr>
          <w:rFonts w:ascii="Times New Roman" w:hAnsi="Times New Roman" w:cs="Times New Roman"/>
          <w:b/>
          <w:sz w:val="24"/>
          <w:szCs w:val="24"/>
        </w:rPr>
      </w:pPr>
      <w:bookmarkStart w:id="42" w:name="_Toc214949034"/>
      <w:r w:rsidRPr="003C682B">
        <w:rPr>
          <w:rFonts w:ascii="Times New Roman" w:hAnsi="Times New Roman" w:cs="Times New Roman"/>
          <w:b/>
          <w:sz w:val="24"/>
          <w:szCs w:val="24"/>
        </w:rPr>
        <w:t>4.1.3 Non-Performing Loan (NPL) Management</w:t>
      </w:r>
      <w:bookmarkEnd w:id="42"/>
    </w:p>
    <w:p w14:paraId="2AB0E89D" w14:textId="77777777" w:rsidR="00A77394" w:rsidRPr="00A77394" w:rsidRDefault="00A77394" w:rsidP="00A77394">
      <w:pPr>
        <w:spacing w:line="360" w:lineRule="auto"/>
        <w:jc w:val="both"/>
        <w:rPr>
          <w:rFonts w:ascii="Times New Roman" w:hAnsi="Times New Roman"/>
          <w:bCs/>
          <w:sz w:val="24"/>
          <w:szCs w:val="24"/>
        </w:rPr>
      </w:pPr>
      <w:r w:rsidRPr="00A77394">
        <w:rPr>
          <w:rFonts w:ascii="Times New Roman" w:hAnsi="Times New Roman"/>
          <w:bCs/>
          <w:sz w:val="24"/>
          <w:szCs w:val="24"/>
        </w:rPr>
        <w:t>Effective problem loans management is, therefore, critical to</w:t>
      </w:r>
      <w:r w:rsidRPr="00A77394">
        <w:rPr>
          <w:rFonts w:ascii="Times New Roman" w:hAnsi="Times New Roman"/>
          <w:bCs/>
          <w:sz w:val="24"/>
          <w:szCs w:val="24"/>
        </w:rPr>
        <w:t> </w:t>
      </w:r>
      <w:r w:rsidRPr="00A77394">
        <w:rPr>
          <w:rFonts w:ascii="Times New Roman" w:hAnsi="Times New Roman"/>
          <w:bCs/>
          <w:sz w:val="24"/>
          <w:szCs w:val="24"/>
        </w:rPr>
        <w:t>good asset quality. Dhaka Bank's NPL management encompasses:</w:t>
      </w:r>
    </w:p>
    <w:p w14:paraId="5FD8A3C7"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Classification System:</w:t>
      </w:r>
      <w:r w:rsidRPr="006751AF">
        <w:rPr>
          <w:rFonts w:ascii="Times New Roman" w:hAnsi="Times New Roman"/>
          <w:bCs/>
          <w:sz w:val="24"/>
          <w:szCs w:val="24"/>
        </w:rPr>
        <w:t xml:space="preserve"> </w:t>
      </w:r>
      <w:r w:rsidR="00A77394">
        <w:rPr>
          <w:rFonts w:ascii="Times New Roman" w:hAnsi="Times New Roman"/>
          <w:bCs/>
          <w:sz w:val="24"/>
          <w:szCs w:val="24"/>
        </w:rPr>
        <w:t>F</w:t>
      </w:r>
      <w:r w:rsidR="00A77394" w:rsidRPr="00A77394">
        <w:rPr>
          <w:rFonts w:ascii="Times New Roman" w:hAnsi="Times New Roman"/>
          <w:bCs/>
          <w:sz w:val="24"/>
          <w:szCs w:val="24"/>
        </w:rPr>
        <w:t>ollowing categories based on Bangladesh Bank’s guideline:</w:t>
      </w:r>
    </w:p>
    <w:p w14:paraId="150FF3D8" w14:textId="77777777" w:rsidR="00F16DF5" w:rsidRPr="006751AF" w:rsidRDefault="00F16DF5" w:rsidP="00DA1DC8">
      <w:pPr>
        <w:numPr>
          <w:ilvl w:val="0"/>
          <w:numId w:val="12"/>
        </w:numPr>
        <w:spacing w:line="360" w:lineRule="auto"/>
        <w:jc w:val="both"/>
        <w:rPr>
          <w:rFonts w:ascii="Times New Roman" w:hAnsi="Times New Roman"/>
          <w:bCs/>
          <w:sz w:val="24"/>
          <w:szCs w:val="24"/>
        </w:rPr>
      </w:pPr>
      <w:r w:rsidRPr="006751AF">
        <w:rPr>
          <w:rFonts w:ascii="Times New Roman" w:hAnsi="Times New Roman"/>
          <w:b/>
          <w:bCs/>
          <w:sz w:val="24"/>
          <w:szCs w:val="24"/>
        </w:rPr>
        <w:t>Standard (Unclassified):</w:t>
      </w:r>
      <w:r w:rsidRPr="006751AF">
        <w:rPr>
          <w:rFonts w:ascii="Times New Roman" w:hAnsi="Times New Roman"/>
          <w:bCs/>
          <w:sz w:val="24"/>
          <w:szCs w:val="24"/>
        </w:rPr>
        <w:t xml:space="preserve"> </w:t>
      </w:r>
      <w:r w:rsidR="00A77394" w:rsidRPr="00A77394">
        <w:rPr>
          <w:rFonts w:ascii="Times New Roman" w:hAnsi="Times New Roman"/>
          <w:bCs/>
          <w:sz w:val="24"/>
          <w:szCs w:val="24"/>
        </w:rPr>
        <w:t>Continuing to perform as per</w:t>
      </w:r>
      <w:r w:rsidR="00A77394" w:rsidRPr="00A77394">
        <w:rPr>
          <w:rFonts w:ascii="Times New Roman" w:hAnsi="Times New Roman"/>
          <w:bCs/>
          <w:sz w:val="24"/>
          <w:szCs w:val="24"/>
        </w:rPr>
        <w:t> </w:t>
      </w:r>
      <w:r w:rsidR="00A77394" w:rsidRPr="00A77394">
        <w:rPr>
          <w:rFonts w:ascii="Times New Roman" w:hAnsi="Times New Roman"/>
          <w:bCs/>
          <w:sz w:val="24"/>
          <w:szCs w:val="24"/>
        </w:rPr>
        <w:t>s</w:t>
      </w:r>
      <w:r w:rsidR="00A77394">
        <w:rPr>
          <w:rFonts w:ascii="Times New Roman" w:hAnsi="Times New Roman"/>
          <w:bCs/>
          <w:sz w:val="24"/>
          <w:szCs w:val="24"/>
        </w:rPr>
        <w:t>chedule and of regular payments</w:t>
      </w:r>
    </w:p>
    <w:p w14:paraId="200A6430" w14:textId="77777777" w:rsidR="00A77394" w:rsidRPr="00A77394" w:rsidRDefault="00F16DF5" w:rsidP="00DA1DC8">
      <w:pPr>
        <w:numPr>
          <w:ilvl w:val="0"/>
          <w:numId w:val="12"/>
        </w:numPr>
        <w:spacing w:line="360" w:lineRule="auto"/>
        <w:jc w:val="both"/>
        <w:rPr>
          <w:rFonts w:ascii="Times New Roman" w:hAnsi="Times New Roman"/>
          <w:bCs/>
          <w:sz w:val="24"/>
          <w:szCs w:val="24"/>
        </w:rPr>
      </w:pPr>
      <w:r w:rsidRPr="00A77394">
        <w:rPr>
          <w:rFonts w:ascii="Times New Roman" w:hAnsi="Times New Roman"/>
          <w:b/>
          <w:bCs/>
          <w:sz w:val="24"/>
          <w:szCs w:val="24"/>
        </w:rPr>
        <w:t>Special Mention Account:</w:t>
      </w:r>
      <w:r w:rsidRPr="00A77394">
        <w:rPr>
          <w:rFonts w:ascii="Times New Roman" w:hAnsi="Times New Roman"/>
          <w:bCs/>
          <w:sz w:val="24"/>
          <w:szCs w:val="24"/>
        </w:rPr>
        <w:t xml:space="preserve"> </w:t>
      </w:r>
      <w:r w:rsidR="00A77394" w:rsidRPr="00A77394">
        <w:rPr>
          <w:rFonts w:ascii="Times New Roman" w:hAnsi="Times New Roman"/>
          <w:bCs/>
          <w:sz w:val="24"/>
          <w:szCs w:val="24"/>
        </w:rPr>
        <w:t>Weakness is appearing but has not yet</w:t>
      </w:r>
      <w:r w:rsidR="00A77394" w:rsidRPr="00A77394">
        <w:rPr>
          <w:rFonts w:ascii="Times New Roman" w:hAnsi="Times New Roman"/>
          <w:bCs/>
          <w:sz w:val="24"/>
          <w:szCs w:val="24"/>
        </w:rPr>
        <w:t> </w:t>
      </w:r>
      <w:r w:rsidR="00A77394" w:rsidRPr="00A77394">
        <w:rPr>
          <w:rFonts w:ascii="Times New Roman" w:hAnsi="Times New Roman"/>
          <w:bCs/>
          <w:sz w:val="24"/>
          <w:szCs w:val="24"/>
        </w:rPr>
        <w:t>been categorized</w:t>
      </w:r>
      <w:r w:rsidR="00A77394" w:rsidRPr="00A77394">
        <w:rPr>
          <w:rFonts w:ascii="Times New Roman" w:hAnsi="Times New Roman"/>
          <w:b/>
          <w:bCs/>
          <w:sz w:val="24"/>
          <w:szCs w:val="24"/>
        </w:rPr>
        <w:t xml:space="preserve"> </w:t>
      </w:r>
    </w:p>
    <w:p w14:paraId="49B23A30" w14:textId="77777777" w:rsidR="00A77394" w:rsidRPr="00A77394" w:rsidRDefault="00F16DF5" w:rsidP="00A77394">
      <w:pPr>
        <w:numPr>
          <w:ilvl w:val="0"/>
          <w:numId w:val="12"/>
        </w:numPr>
        <w:spacing w:line="360" w:lineRule="auto"/>
        <w:jc w:val="both"/>
        <w:rPr>
          <w:rFonts w:ascii="Times New Roman" w:hAnsi="Times New Roman"/>
          <w:bCs/>
          <w:sz w:val="24"/>
          <w:szCs w:val="24"/>
        </w:rPr>
      </w:pPr>
      <w:r w:rsidRPr="00A77394">
        <w:rPr>
          <w:rFonts w:ascii="Times New Roman" w:hAnsi="Times New Roman"/>
          <w:b/>
          <w:bCs/>
          <w:sz w:val="24"/>
          <w:szCs w:val="24"/>
        </w:rPr>
        <w:t>Substandard:</w:t>
      </w:r>
      <w:r w:rsidRPr="00A77394">
        <w:rPr>
          <w:rFonts w:ascii="Times New Roman" w:hAnsi="Times New Roman"/>
          <w:bCs/>
          <w:sz w:val="24"/>
          <w:szCs w:val="24"/>
        </w:rPr>
        <w:t xml:space="preserve"> </w:t>
      </w:r>
      <w:r w:rsidR="00A77394" w:rsidRPr="00A77394">
        <w:rPr>
          <w:rFonts w:ascii="Times New Roman" w:hAnsi="Times New Roman"/>
          <w:bCs/>
          <w:sz w:val="24"/>
          <w:szCs w:val="24"/>
        </w:rPr>
        <w:t>More than 90 days past</w:t>
      </w:r>
      <w:r w:rsidR="00A77394" w:rsidRPr="00A77394">
        <w:rPr>
          <w:rFonts w:ascii="Times New Roman" w:hAnsi="Times New Roman"/>
          <w:bCs/>
          <w:sz w:val="24"/>
          <w:szCs w:val="24"/>
        </w:rPr>
        <w:t> </w:t>
      </w:r>
      <w:r w:rsidR="00A77394" w:rsidRPr="00A77394">
        <w:rPr>
          <w:rFonts w:ascii="Times New Roman" w:hAnsi="Times New Roman"/>
          <w:bCs/>
          <w:sz w:val="24"/>
          <w:szCs w:val="24"/>
        </w:rPr>
        <w:t>due but less than 180 days, o</w:t>
      </w:r>
      <w:r w:rsidR="00A77394">
        <w:rPr>
          <w:rFonts w:ascii="Times New Roman" w:hAnsi="Times New Roman"/>
          <w:bCs/>
          <w:sz w:val="24"/>
          <w:szCs w:val="24"/>
        </w:rPr>
        <w:t>r questionably collectible</w:t>
      </w:r>
    </w:p>
    <w:p w14:paraId="556F187B" w14:textId="77777777" w:rsidR="00A77394" w:rsidRPr="00A77394" w:rsidRDefault="00F16DF5" w:rsidP="00A77394">
      <w:pPr>
        <w:numPr>
          <w:ilvl w:val="0"/>
          <w:numId w:val="12"/>
        </w:numPr>
        <w:spacing w:line="360" w:lineRule="auto"/>
        <w:jc w:val="both"/>
        <w:rPr>
          <w:rFonts w:ascii="Times New Roman" w:hAnsi="Times New Roman"/>
          <w:bCs/>
          <w:sz w:val="24"/>
          <w:szCs w:val="24"/>
        </w:rPr>
      </w:pPr>
      <w:r w:rsidRPr="00A77394">
        <w:rPr>
          <w:rFonts w:ascii="Times New Roman" w:hAnsi="Times New Roman"/>
          <w:b/>
          <w:bCs/>
          <w:sz w:val="24"/>
          <w:szCs w:val="24"/>
        </w:rPr>
        <w:t>Doubtful:</w:t>
      </w:r>
      <w:r w:rsidRPr="00A77394">
        <w:rPr>
          <w:rFonts w:ascii="Times New Roman" w:hAnsi="Times New Roman"/>
          <w:bCs/>
          <w:sz w:val="24"/>
          <w:szCs w:val="24"/>
        </w:rPr>
        <w:t xml:space="preserve"> </w:t>
      </w:r>
      <w:r w:rsidR="00A77394" w:rsidRPr="00A77394">
        <w:rPr>
          <w:rFonts w:ascii="Times New Roman" w:hAnsi="Times New Roman"/>
          <w:bCs/>
          <w:sz w:val="24"/>
          <w:szCs w:val="24"/>
        </w:rPr>
        <w:t>180+ but less than 365 days past</w:t>
      </w:r>
      <w:r w:rsidR="00A77394" w:rsidRPr="00A77394">
        <w:rPr>
          <w:rFonts w:ascii="Times New Roman" w:hAnsi="Times New Roman"/>
          <w:bCs/>
          <w:sz w:val="24"/>
          <w:szCs w:val="24"/>
        </w:rPr>
        <w:t> </w:t>
      </w:r>
      <w:r w:rsidR="00A77394" w:rsidRPr="00A77394">
        <w:rPr>
          <w:rFonts w:ascii="Times New Roman" w:hAnsi="Times New Roman"/>
          <w:bCs/>
          <w:sz w:val="24"/>
          <w:szCs w:val="24"/>
        </w:rPr>
        <w:t>due</w:t>
      </w:r>
    </w:p>
    <w:p w14:paraId="220B06BE" w14:textId="77777777" w:rsidR="00A77394" w:rsidRPr="00A77394" w:rsidRDefault="00F16DF5" w:rsidP="00A77394">
      <w:pPr>
        <w:numPr>
          <w:ilvl w:val="0"/>
          <w:numId w:val="12"/>
        </w:numPr>
        <w:spacing w:line="360" w:lineRule="auto"/>
        <w:jc w:val="both"/>
        <w:rPr>
          <w:rFonts w:ascii="Times New Roman" w:hAnsi="Times New Roman"/>
          <w:bCs/>
          <w:sz w:val="24"/>
          <w:szCs w:val="24"/>
        </w:rPr>
      </w:pPr>
      <w:r w:rsidRPr="00A77394">
        <w:rPr>
          <w:rFonts w:ascii="Times New Roman" w:hAnsi="Times New Roman"/>
          <w:b/>
          <w:bCs/>
          <w:sz w:val="24"/>
          <w:szCs w:val="24"/>
        </w:rPr>
        <w:t>Bad/Loss:</w:t>
      </w:r>
      <w:r w:rsidRPr="00A77394">
        <w:rPr>
          <w:rFonts w:ascii="Times New Roman" w:hAnsi="Times New Roman"/>
          <w:bCs/>
          <w:sz w:val="24"/>
          <w:szCs w:val="24"/>
        </w:rPr>
        <w:t xml:space="preserve"> </w:t>
      </w:r>
      <w:r w:rsidR="00A77394" w:rsidRPr="00A77394">
        <w:rPr>
          <w:rFonts w:ascii="Times New Roman" w:hAnsi="Times New Roman"/>
          <w:bCs/>
          <w:sz w:val="24"/>
          <w:szCs w:val="24"/>
        </w:rPr>
        <w:t>Delinquent 365 or</w:t>
      </w:r>
      <w:r w:rsidR="00A77394" w:rsidRPr="00A77394">
        <w:rPr>
          <w:rFonts w:ascii="Times New Roman" w:hAnsi="Times New Roman"/>
          <w:bCs/>
          <w:sz w:val="24"/>
          <w:szCs w:val="24"/>
        </w:rPr>
        <w:t> </w:t>
      </w:r>
      <w:r w:rsidR="00A77394" w:rsidRPr="00A77394">
        <w:rPr>
          <w:rFonts w:ascii="Times New Roman" w:hAnsi="Times New Roman"/>
          <w:bCs/>
          <w:sz w:val="24"/>
          <w:szCs w:val="24"/>
        </w:rPr>
        <w:t>more days, or no</w:t>
      </w:r>
      <w:r w:rsidR="00A77394">
        <w:rPr>
          <w:rFonts w:ascii="Times New Roman" w:hAnsi="Times New Roman"/>
          <w:bCs/>
          <w:sz w:val="24"/>
          <w:szCs w:val="24"/>
        </w:rPr>
        <w:t>n</w:t>
      </w:r>
      <w:r w:rsidR="00A77394" w:rsidRPr="00A77394">
        <w:rPr>
          <w:rFonts w:ascii="Times New Roman" w:hAnsi="Times New Roman"/>
          <w:bCs/>
          <w:sz w:val="24"/>
          <w:szCs w:val="24"/>
        </w:rPr>
        <w:t>-collectible</w:t>
      </w:r>
    </w:p>
    <w:p w14:paraId="1C0E7B9F" w14:textId="77777777" w:rsidR="00A77394" w:rsidRPr="000050A3" w:rsidRDefault="00A77394" w:rsidP="00A77394">
      <w:pPr>
        <w:spacing w:before="100" w:beforeAutospacing="1" w:after="100" w:afterAutospacing="1" w:line="360" w:lineRule="auto"/>
        <w:jc w:val="both"/>
        <w:rPr>
          <w:rFonts w:ascii="Times New Roman" w:eastAsia="Times New Roman" w:hAnsi="Times New Roman"/>
          <w:sz w:val="24"/>
          <w:szCs w:val="24"/>
        </w:rPr>
      </w:pPr>
      <w:r w:rsidRPr="000050A3">
        <w:rPr>
          <w:rFonts w:ascii="Times New Roman" w:eastAsia="Times New Roman" w:hAnsi="Times New Roman"/>
          <w:sz w:val="24"/>
          <w:szCs w:val="24"/>
        </w:rPr>
        <w:t xml:space="preserve">Of all the NPLs, 35% are substandard, 40% are doubtful and 25% are bad/loss. The proportion of loans that are bad or lost is relatively low, which means a significant portion of the </w:t>
      </w:r>
      <w:r>
        <w:rPr>
          <w:rFonts w:ascii="Times New Roman" w:eastAsia="Times New Roman" w:hAnsi="Times New Roman"/>
          <w:sz w:val="24"/>
          <w:szCs w:val="24"/>
        </w:rPr>
        <w:t xml:space="preserve">NPLs could still be recovered </w:t>
      </w:r>
      <w:r w:rsidRPr="000050A3">
        <w:rPr>
          <w:rFonts w:ascii="Times New Roman" w:eastAsia="Times New Roman" w:hAnsi="Times New Roman"/>
          <w:sz w:val="24"/>
          <w:szCs w:val="24"/>
        </w:rPr>
        <w:t>and that successful recovery strategies can go far in improving the bank’s</w:t>
      </w:r>
      <w:r w:rsidRPr="000050A3">
        <w:rPr>
          <w:rFonts w:ascii="Times New Roman" w:eastAsia="Times New Roman" w:hAnsi="Times New Roman"/>
          <w:sz w:val="24"/>
          <w:szCs w:val="24"/>
        </w:rPr>
        <w:t> </w:t>
      </w:r>
      <w:r w:rsidRPr="000050A3">
        <w:rPr>
          <w:rFonts w:ascii="Times New Roman" w:eastAsia="Times New Roman" w:hAnsi="Times New Roman"/>
          <w:sz w:val="24"/>
          <w:szCs w:val="24"/>
        </w:rPr>
        <w:t>asset quality overall.</w:t>
      </w:r>
    </w:p>
    <w:p w14:paraId="72A93902" w14:textId="77777777" w:rsidR="00A77394" w:rsidRPr="00A77394" w:rsidRDefault="00F16DF5" w:rsidP="00A77394">
      <w:pPr>
        <w:spacing w:line="360" w:lineRule="auto"/>
        <w:jc w:val="both"/>
        <w:rPr>
          <w:rFonts w:ascii="Times New Roman" w:hAnsi="Times New Roman"/>
          <w:bCs/>
          <w:sz w:val="24"/>
          <w:szCs w:val="24"/>
        </w:rPr>
      </w:pPr>
      <w:r w:rsidRPr="006751AF">
        <w:rPr>
          <w:rFonts w:ascii="Times New Roman" w:hAnsi="Times New Roman"/>
          <w:b/>
          <w:bCs/>
          <w:sz w:val="24"/>
          <w:szCs w:val="24"/>
        </w:rPr>
        <w:t>Provisioning:</w:t>
      </w:r>
      <w:r w:rsidRPr="006751AF">
        <w:rPr>
          <w:rFonts w:ascii="Times New Roman" w:hAnsi="Times New Roman"/>
          <w:bCs/>
          <w:sz w:val="24"/>
          <w:szCs w:val="24"/>
        </w:rPr>
        <w:t xml:space="preserve"> </w:t>
      </w:r>
      <w:r w:rsidR="00A77394" w:rsidRPr="00A77394">
        <w:rPr>
          <w:rFonts w:ascii="Times New Roman" w:hAnsi="Times New Roman"/>
          <w:bCs/>
          <w:sz w:val="24"/>
          <w:szCs w:val="24"/>
        </w:rPr>
        <w:t>Dhaka Bank has kept the provisions as per</w:t>
      </w:r>
      <w:r w:rsidR="00A77394" w:rsidRPr="00A77394">
        <w:rPr>
          <w:rFonts w:ascii="Times New Roman" w:hAnsi="Times New Roman"/>
          <w:bCs/>
          <w:sz w:val="24"/>
          <w:szCs w:val="24"/>
        </w:rPr>
        <w:t> </w:t>
      </w:r>
      <w:r w:rsidR="00A77394" w:rsidRPr="00A77394">
        <w:rPr>
          <w:rFonts w:ascii="Times New Roman" w:hAnsi="Times New Roman"/>
          <w:bCs/>
          <w:sz w:val="24"/>
          <w:szCs w:val="24"/>
        </w:rPr>
        <w:t>the requirement of Regulatory Authority:</w:t>
      </w:r>
    </w:p>
    <w:p w14:paraId="60FCEF0C" w14:textId="77777777" w:rsidR="00F16DF5" w:rsidRPr="00A77394" w:rsidRDefault="00F16DF5" w:rsidP="00A77394">
      <w:pPr>
        <w:pStyle w:val="ListParagraph"/>
        <w:numPr>
          <w:ilvl w:val="0"/>
          <w:numId w:val="35"/>
        </w:numPr>
        <w:spacing w:line="360" w:lineRule="auto"/>
        <w:jc w:val="both"/>
        <w:rPr>
          <w:rFonts w:ascii="Times New Roman" w:hAnsi="Times New Roman"/>
          <w:bCs/>
          <w:sz w:val="24"/>
          <w:szCs w:val="24"/>
        </w:rPr>
      </w:pPr>
      <w:r w:rsidRPr="00A77394">
        <w:rPr>
          <w:rFonts w:ascii="Times New Roman" w:hAnsi="Times New Roman"/>
          <w:bCs/>
          <w:sz w:val="24"/>
          <w:szCs w:val="24"/>
        </w:rPr>
        <w:t>General provision: 1% on standard loans (0.25% for SME/retail under certain conditions)</w:t>
      </w:r>
    </w:p>
    <w:p w14:paraId="626B79CC" w14:textId="77777777" w:rsidR="00F16DF5" w:rsidRPr="006751AF" w:rsidRDefault="00F16DF5" w:rsidP="00DA1DC8">
      <w:pPr>
        <w:numPr>
          <w:ilvl w:val="0"/>
          <w:numId w:val="13"/>
        </w:numPr>
        <w:spacing w:line="360" w:lineRule="auto"/>
        <w:jc w:val="both"/>
        <w:rPr>
          <w:rFonts w:ascii="Times New Roman" w:hAnsi="Times New Roman"/>
          <w:bCs/>
          <w:sz w:val="24"/>
          <w:szCs w:val="24"/>
        </w:rPr>
      </w:pPr>
      <w:r w:rsidRPr="006751AF">
        <w:rPr>
          <w:rFonts w:ascii="Times New Roman" w:hAnsi="Times New Roman"/>
          <w:bCs/>
          <w:sz w:val="24"/>
          <w:szCs w:val="24"/>
        </w:rPr>
        <w:t>Special Mention: 5%</w:t>
      </w:r>
    </w:p>
    <w:p w14:paraId="502C6A2A" w14:textId="77777777" w:rsidR="00F16DF5" w:rsidRPr="006751AF" w:rsidRDefault="00F16DF5" w:rsidP="00DA1DC8">
      <w:pPr>
        <w:numPr>
          <w:ilvl w:val="0"/>
          <w:numId w:val="13"/>
        </w:numPr>
        <w:spacing w:line="360" w:lineRule="auto"/>
        <w:jc w:val="both"/>
        <w:rPr>
          <w:rFonts w:ascii="Times New Roman" w:hAnsi="Times New Roman"/>
          <w:bCs/>
          <w:sz w:val="24"/>
          <w:szCs w:val="24"/>
        </w:rPr>
      </w:pPr>
      <w:r w:rsidRPr="006751AF">
        <w:rPr>
          <w:rFonts w:ascii="Times New Roman" w:hAnsi="Times New Roman"/>
          <w:bCs/>
          <w:sz w:val="24"/>
          <w:szCs w:val="24"/>
        </w:rPr>
        <w:lastRenderedPageBreak/>
        <w:t>Substandard: 20%</w:t>
      </w:r>
    </w:p>
    <w:p w14:paraId="52F1AC0B" w14:textId="77777777" w:rsidR="00F16DF5" w:rsidRPr="006751AF" w:rsidRDefault="00F16DF5" w:rsidP="00DA1DC8">
      <w:pPr>
        <w:numPr>
          <w:ilvl w:val="0"/>
          <w:numId w:val="13"/>
        </w:numPr>
        <w:spacing w:line="360" w:lineRule="auto"/>
        <w:jc w:val="both"/>
        <w:rPr>
          <w:rFonts w:ascii="Times New Roman" w:hAnsi="Times New Roman"/>
          <w:bCs/>
          <w:sz w:val="24"/>
          <w:szCs w:val="24"/>
        </w:rPr>
      </w:pPr>
      <w:r w:rsidRPr="006751AF">
        <w:rPr>
          <w:rFonts w:ascii="Times New Roman" w:hAnsi="Times New Roman"/>
          <w:bCs/>
          <w:sz w:val="24"/>
          <w:szCs w:val="24"/>
        </w:rPr>
        <w:t>Doubtful: 50%</w:t>
      </w:r>
    </w:p>
    <w:p w14:paraId="1C61F339" w14:textId="77777777" w:rsidR="00F16DF5" w:rsidRPr="006751AF" w:rsidRDefault="00F16DF5" w:rsidP="00DA1DC8">
      <w:pPr>
        <w:numPr>
          <w:ilvl w:val="0"/>
          <w:numId w:val="13"/>
        </w:numPr>
        <w:spacing w:line="360" w:lineRule="auto"/>
        <w:jc w:val="both"/>
        <w:rPr>
          <w:rFonts w:ascii="Times New Roman" w:hAnsi="Times New Roman"/>
          <w:bCs/>
          <w:sz w:val="24"/>
          <w:szCs w:val="24"/>
        </w:rPr>
      </w:pPr>
      <w:r w:rsidRPr="006751AF">
        <w:rPr>
          <w:rFonts w:ascii="Times New Roman" w:hAnsi="Times New Roman"/>
          <w:bCs/>
          <w:sz w:val="24"/>
          <w:szCs w:val="24"/>
        </w:rPr>
        <w:t>Bad/Loss: 100%</w:t>
      </w:r>
    </w:p>
    <w:p w14:paraId="74BC8149" w14:textId="77777777" w:rsidR="00F16DF5" w:rsidRPr="006751AF" w:rsidRDefault="00F16DF5" w:rsidP="00F16DF5">
      <w:pPr>
        <w:spacing w:line="360" w:lineRule="auto"/>
        <w:jc w:val="both"/>
        <w:rPr>
          <w:rFonts w:ascii="Times New Roman" w:hAnsi="Times New Roman"/>
          <w:b/>
          <w:bCs/>
          <w:sz w:val="24"/>
          <w:szCs w:val="24"/>
        </w:rPr>
      </w:pPr>
      <w:r w:rsidRPr="006751AF">
        <w:rPr>
          <w:rFonts w:ascii="Times New Roman" w:hAnsi="Times New Roman"/>
          <w:b/>
          <w:bCs/>
          <w:sz w:val="24"/>
          <w:szCs w:val="24"/>
        </w:rPr>
        <w:t>NPL Trends:</w:t>
      </w:r>
    </w:p>
    <w:tbl>
      <w:tblPr>
        <w:tblW w:w="7500" w:type="dxa"/>
        <w:jc w:val="center"/>
        <w:tblLook w:val="04A0" w:firstRow="1" w:lastRow="0" w:firstColumn="1" w:lastColumn="0" w:noHBand="0" w:noVBand="1"/>
      </w:tblPr>
      <w:tblGrid>
        <w:gridCol w:w="2700"/>
        <w:gridCol w:w="960"/>
        <w:gridCol w:w="960"/>
        <w:gridCol w:w="960"/>
        <w:gridCol w:w="960"/>
        <w:gridCol w:w="960"/>
      </w:tblGrid>
      <w:tr w:rsidR="00F16DF5" w:rsidRPr="006751AF" w14:paraId="1141B851" w14:textId="77777777" w:rsidTr="001E3E58">
        <w:trPr>
          <w:trHeight w:val="315"/>
          <w:jc w:val="center"/>
        </w:trPr>
        <w:tc>
          <w:tcPr>
            <w:tcW w:w="2700" w:type="dxa"/>
            <w:tcBorders>
              <w:top w:val="single" w:sz="8" w:space="0" w:color="auto"/>
              <w:left w:val="single" w:sz="8" w:space="0" w:color="auto"/>
              <w:bottom w:val="single" w:sz="4" w:space="0" w:color="auto"/>
              <w:right w:val="single" w:sz="4" w:space="0" w:color="auto"/>
            </w:tcBorders>
            <w:noWrap/>
            <w:vAlign w:val="bottom"/>
            <w:hideMark/>
          </w:tcPr>
          <w:p w14:paraId="7EB8B478"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0EF04F9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8" w:space="0" w:color="auto"/>
              <w:left w:val="nil"/>
              <w:bottom w:val="single" w:sz="4" w:space="0" w:color="auto"/>
              <w:right w:val="single" w:sz="4" w:space="0" w:color="auto"/>
            </w:tcBorders>
            <w:noWrap/>
            <w:vAlign w:val="bottom"/>
            <w:hideMark/>
          </w:tcPr>
          <w:p w14:paraId="342B02C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7116E78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16BD38A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743430D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03041C65" w14:textId="77777777" w:rsidTr="001E3E58">
        <w:trPr>
          <w:trHeight w:val="315"/>
          <w:jc w:val="center"/>
        </w:trPr>
        <w:tc>
          <w:tcPr>
            <w:tcW w:w="2700" w:type="dxa"/>
            <w:tcBorders>
              <w:top w:val="nil"/>
              <w:left w:val="single" w:sz="8" w:space="0" w:color="auto"/>
              <w:bottom w:val="single" w:sz="4" w:space="0" w:color="auto"/>
              <w:right w:val="single" w:sz="4" w:space="0" w:color="auto"/>
            </w:tcBorders>
            <w:noWrap/>
            <w:vAlign w:val="bottom"/>
            <w:hideMark/>
          </w:tcPr>
          <w:p w14:paraId="2148AE9B"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NPL Ratio (%)</w:t>
            </w:r>
          </w:p>
        </w:tc>
        <w:tc>
          <w:tcPr>
            <w:tcW w:w="960" w:type="dxa"/>
            <w:tcBorders>
              <w:top w:val="nil"/>
              <w:left w:val="nil"/>
              <w:bottom w:val="single" w:sz="4" w:space="0" w:color="auto"/>
              <w:right w:val="single" w:sz="4" w:space="0" w:color="auto"/>
            </w:tcBorders>
            <w:noWrap/>
            <w:vAlign w:val="bottom"/>
            <w:hideMark/>
          </w:tcPr>
          <w:p w14:paraId="7C5F261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3.2%</w:t>
            </w:r>
          </w:p>
        </w:tc>
        <w:tc>
          <w:tcPr>
            <w:tcW w:w="960" w:type="dxa"/>
            <w:tcBorders>
              <w:top w:val="nil"/>
              <w:left w:val="nil"/>
              <w:bottom w:val="single" w:sz="4" w:space="0" w:color="auto"/>
              <w:right w:val="single" w:sz="4" w:space="0" w:color="auto"/>
            </w:tcBorders>
            <w:noWrap/>
            <w:vAlign w:val="bottom"/>
            <w:hideMark/>
          </w:tcPr>
          <w:p w14:paraId="6945C3A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3.8%</w:t>
            </w:r>
          </w:p>
        </w:tc>
        <w:tc>
          <w:tcPr>
            <w:tcW w:w="960" w:type="dxa"/>
            <w:tcBorders>
              <w:top w:val="nil"/>
              <w:left w:val="nil"/>
              <w:bottom w:val="single" w:sz="4" w:space="0" w:color="auto"/>
              <w:right w:val="single" w:sz="4" w:space="0" w:color="auto"/>
            </w:tcBorders>
            <w:noWrap/>
            <w:vAlign w:val="bottom"/>
            <w:hideMark/>
          </w:tcPr>
          <w:p w14:paraId="3470DD6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4.9%</w:t>
            </w:r>
          </w:p>
        </w:tc>
        <w:tc>
          <w:tcPr>
            <w:tcW w:w="960" w:type="dxa"/>
            <w:tcBorders>
              <w:top w:val="nil"/>
              <w:left w:val="nil"/>
              <w:bottom w:val="single" w:sz="4" w:space="0" w:color="auto"/>
              <w:right w:val="single" w:sz="4" w:space="0" w:color="auto"/>
            </w:tcBorders>
            <w:noWrap/>
            <w:vAlign w:val="bottom"/>
            <w:hideMark/>
          </w:tcPr>
          <w:p w14:paraId="68E98CA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5.1%</w:t>
            </w:r>
          </w:p>
        </w:tc>
        <w:tc>
          <w:tcPr>
            <w:tcW w:w="960" w:type="dxa"/>
            <w:tcBorders>
              <w:top w:val="nil"/>
              <w:left w:val="nil"/>
              <w:bottom w:val="single" w:sz="4" w:space="0" w:color="auto"/>
              <w:right w:val="single" w:sz="8" w:space="0" w:color="auto"/>
            </w:tcBorders>
            <w:noWrap/>
            <w:vAlign w:val="bottom"/>
            <w:hideMark/>
          </w:tcPr>
          <w:p w14:paraId="62C6E32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4.8%</w:t>
            </w:r>
          </w:p>
        </w:tc>
      </w:tr>
      <w:tr w:rsidR="00F16DF5" w:rsidRPr="006751AF" w14:paraId="5061D587" w14:textId="77777777" w:rsidTr="001E3E58">
        <w:trPr>
          <w:trHeight w:val="330"/>
          <w:jc w:val="center"/>
        </w:trPr>
        <w:tc>
          <w:tcPr>
            <w:tcW w:w="2700" w:type="dxa"/>
            <w:tcBorders>
              <w:top w:val="nil"/>
              <w:left w:val="single" w:sz="8" w:space="0" w:color="auto"/>
              <w:bottom w:val="single" w:sz="8" w:space="0" w:color="auto"/>
              <w:right w:val="single" w:sz="4" w:space="0" w:color="auto"/>
            </w:tcBorders>
            <w:noWrap/>
            <w:vAlign w:val="bottom"/>
            <w:hideMark/>
          </w:tcPr>
          <w:p w14:paraId="4FC1F308"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Provision Coverage (%)</w:t>
            </w:r>
          </w:p>
        </w:tc>
        <w:tc>
          <w:tcPr>
            <w:tcW w:w="960" w:type="dxa"/>
            <w:tcBorders>
              <w:top w:val="nil"/>
              <w:left w:val="nil"/>
              <w:bottom w:val="single" w:sz="8" w:space="0" w:color="auto"/>
              <w:right w:val="single" w:sz="4" w:space="0" w:color="auto"/>
            </w:tcBorders>
            <w:noWrap/>
            <w:vAlign w:val="bottom"/>
            <w:hideMark/>
          </w:tcPr>
          <w:p w14:paraId="5E95576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78%</w:t>
            </w:r>
          </w:p>
        </w:tc>
        <w:tc>
          <w:tcPr>
            <w:tcW w:w="960" w:type="dxa"/>
            <w:tcBorders>
              <w:top w:val="nil"/>
              <w:left w:val="nil"/>
              <w:bottom w:val="single" w:sz="8" w:space="0" w:color="auto"/>
              <w:right w:val="single" w:sz="4" w:space="0" w:color="auto"/>
            </w:tcBorders>
            <w:noWrap/>
            <w:vAlign w:val="bottom"/>
            <w:hideMark/>
          </w:tcPr>
          <w:p w14:paraId="224788B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75%</w:t>
            </w:r>
          </w:p>
        </w:tc>
        <w:tc>
          <w:tcPr>
            <w:tcW w:w="960" w:type="dxa"/>
            <w:tcBorders>
              <w:top w:val="nil"/>
              <w:left w:val="nil"/>
              <w:bottom w:val="single" w:sz="8" w:space="0" w:color="auto"/>
              <w:right w:val="single" w:sz="4" w:space="0" w:color="auto"/>
            </w:tcBorders>
            <w:noWrap/>
            <w:vAlign w:val="bottom"/>
            <w:hideMark/>
          </w:tcPr>
          <w:p w14:paraId="2D550DC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70%</w:t>
            </w:r>
          </w:p>
        </w:tc>
        <w:tc>
          <w:tcPr>
            <w:tcW w:w="960" w:type="dxa"/>
            <w:tcBorders>
              <w:top w:val="nil"/>
              <w:left w:val="nil"/>
              <w:bottom w:val="single" w:sz="8" w:space="0" w:color="auto"/>
              <w:right w:val="single" w:sz="4" w:space="0" w:color="auto"/>
            </w:tcBorders>
            <w:noWrap/>
            <w:vAlign w:val="bottom"/>
            <w:hideMark/>
          </w:tcPr>
          <w:p w14:paraId="32FE6CB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68%</w:t>
            </w:r>
          </w:p>
        </w:tc>
        <w:tc>
          <w:tcPr>
            <w:tcW w:w="960" w:type="dxa"/>
            <w:tcBorders>
              <w:top w:val="nil"/>
              <w:left w:val="nil"/>
              <w:bottom w:val="single" w:sz="8" w:space="0" w:color="auto"/>
              <w:right w:val="single" w:sz="8" w:space="0" w:color="auto"/>
            </w:tcBorders>
            <w:noWrap/>
            <w:vAlign w:val="bottom"/>
            <w:hideMark/>
          </w:tcPr>
          <w:p w14:paraId="659CEDF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72%</w:t>
            </w:r>
          </w:p>
        </w:tc>
      </w:tr>
    </w:tbl>
    <w:p w14:paraId="544969BE" w14:textId="77777777" w:rsidR="00F16DF5" w:rsidRDefault="00F16DF5" w:rsidP="00F16DF5">
      <w:pPr>
        <w:spacing w:line="360" w:lineRule="auto"/>
        <w:jc w:val="both"/>
        <w:rPr>
          <w:rFonts w:ascii="Times New Roman" w:hAnsi="Times New Roman"/>
          <w:bCs/>
          <w:sz w:val="24"/>
          <w:szCs w:val="24"/>
        </w:rPr>
      </w:pPr>
    </w:p>
    <w:p w14:paraId="1F6A85BA" w14:textId="77777777" w:rsidR="00F16DF5" w:rsidRDefault="00F16DF5" w:rsidP="00F16DF5">
      <w:pPr>
        <w:spacing w:line="360" w:lineRule="auto"/>
        <w:jc w:val="center"/>
        <w:rPr>
          <w:rFonts w:ascii="Times New Roman" w:hAnsi="Times New Roman"/>
          <w:bCs/>
          <w:sz w:val="24"/>
          <w:szCs w:val="24"/>
        </w:rPr>
      </w:pPr>
      <w:r>
        <w:rPr>
          <w:noProof/>
        </w:rPr>
        <w:drawing>
          <wp:inline distT="0" distB="0" distL="0" distR="0" wp14:anchorId="5ECC28C3" wp14:editId="59449A01">
            <wp:extent cx="4238625" cy="240982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498F308" w14:textId="77777777" w:rsidR="00A77394" w:rsidRPr="00A77394" w:rsidRDefault="00A77394" w:rsidP="00A77394">
      <w:pPr>
        <w:spacing w:line="360" w:lineRule="auto"/>
        <w:jc w:val="both"/>
        <w:rPr>
          <w:rFonts w:ascii="Times New Roman" w:hAnsi="Times New Roman"/>
          <w:bCs/>
          <w:sz w:val="24"/>
          <w:szCs w:val="24"/>
        </w:rPr>
      </w:pPr>
      <w:r w:rsidRPr="00A77394">
        <w:rPr>
          <w:rFonts w:ascii="Times New Roman" w:hAnsi="Times New Roman"/>
          <w:bCs/>
          <w:sz w:val="24"/>
          <w:szCs w:val="24"/>
        </w:rPr>
        <w:t>The figures show that NPLs rose in nominal terms up to 2021 (partially because of effects of COVID-19), however, the ratio of NPL has fallen substantially from 5.1% as at end-2020 to 3.2% as at end-2023, reflecting improvement in credit risk management and recovery performance. The provision</w:t>
      </w:r>
      <w:r w:rsidRPr="00A77394">
        <w:rPr>
          <w:rFonts w:ascii="Times New Roman" w:hAnsi="Times New Roman"/>
          <w:bCs/>
          <w:sz w:val="24"/>
          <w:szCs w:val="24"/>
        </w:rPr>
        <w:t> </w:t>
      </w:r>
      <w:r w:rsidRPr="00A77394">
        <w:rPr>
          <w:rFonts w:ascii="Times New Roman" w:hAnsi="Times New Roman"/>
          <w:bCs/>
          <w:sz w:val="24"/>
          <w:szCs w:val="24"/>
        </w:rPr>
        <w:t>cover has also increased, reducing risk to future losses. Stronger provisioning provides another</w:t>
      </w:r>
      <w:r w:rsidRPr="00A77394">
        <w:rPr>
          <w:rFonts w:ascii="Times New Roman" w:hAnsi="Times New Roman"/>
          <w:bCs/>
          <w:sz w:val="24"/>
          <w:szCs w:val="24"/>
        </w:rPr>
        <w:t> </w:t>
      </w:r>
      <w:r w:rsidRPr="00A77394">
        <w:rPr>
          <w:rFonts w:ascii="Times New Roman" w:hAnsi="Times New Roman"/>
          <w:bCs/>
          <w:sz w:val="24"/>
          <w:szCs w:val="24"/>
        </w:rPr>
        <w:t>line of defense against credit losses and the increase continued to reflect management’s conservative philosophy in maintaining a strong cushion.</w:t>
      </w:r>
    </w:p>
    <w:p w14:paraId="0AB0582B" w14:textId="77777777" w:rsidR="001C7825" w:rsidRPr="001C7825"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Recovery Strategies:</w:t>
      </w:r>
      <w:r w:rsidRPr="006751AF">
        <w:rPr>
          <w:rFonts w:ascii="Times New Roman" w:hAnsi="Times New Roman"/>
          <w:bCs/>
          <w:sz w:val="24"/>
          <w:szCs w:val="24"/>
        </w:rPr>
        <w:t xml:space="preserve"> </w:t>
      </w:r>
      <w:r w:rsidR="00A77394" w:rsidRPr="00A77394">
        <w:rPr>
          <w:rFonts w:ascii="Times New Roman" w:hAnsi="Times New Roman"/>
          <w:bCs/>
          <w:sz w:val="24"/>
          <w:szCs w:val="24"/>
        </w:rPr>
        <w:t>The recovery strategies employed by the bank includes rehabilitation of viable obligations; renegotiation for settlements, enforcement through the courts and/ or bankruptcy proceedings, and disposal of</w:t>
      </w:r>
      <w:r w:rsidR="00A77394" w:rsidRPr="00A77394">
        <w:rPr>
          <w:rFonts w:ascii="Times New Roman" w:hAnsi="Times New Roman"/>
          <w:bCs/>
          <w:sz w:val="24"/>
          <w:szCs w:val="24"/>
        </w:rPr>
        <w:t> </w:t>
      </w:r>
      <w:r w:rsidR="00A77394" w:rsidRPr="00A77394">
        <w:rPr>
          <w:rFonts w:ascii="Times New Roman" w:hAnsi="Times New Roman"/>
          <w:bCs/>
          <w:sz w:val="24"/>
          <w:szCs w:val="24"/>
        </w:rPr>
        <w:t>assets. There's</w:t>
      </w:r>
      <w:r w:rsidR="00A77394" w:rsidRPr="00A77394">
        <w:rPr>
          <w:rFonts w:ascii="Times New Roman" w:hAnsi="Times New Roman"/>
          <w:bCs/>
          <w:sz w:val="24"/>
          <w:szCs w:val="24"/>
        </w:rPr>
        <w:t> </w:t>
      </w:r>
      <w:r w:rsidR="00A77394" w:rsidRPr="00A77394">
        <w:rPr>
          <w:rFonts w:ascii="Times New Roman" w:hAnsi="Times New Roman"/>
          <w:bCs/>
          <w:sz w:val="24"/>
          <w:szCs w:val="24"/>
        </w:rPr>
        <w:t>a specific 'assets management unit' in place whose only task is NPL resolution.</w:t>
      </w:r>
    </w:p>
    <w:p w14:paraId="2A33306E" w14:textId="77777777" w:rsidR="00F16DF5" w:rsidRPr="003C682B" w:rsidRDefault="00F16DF5" w:rsidP="00E94B0F">
      <w:pPr>
        <w:pStyle w:val="Heading2"/>
        <w:rPr>
          <w:rFonts w:ascii="Times New Roman" w:hAnsi="Times New Roman" w:cs="Times New Roman"/>
          <w:b/>
          <w:sz w:val="24"/>
          <w:szCs w:val="24"/>
        </w:rPr>
      </w:pPr>
      <w:bookmarkStart w:id="43" w:name="_Toc214949035"/>
      <w:r w:rsidRPr="003C682B">
        <w:rPr>
          <w:rFonts w:ascii="Times New Roman" w:hAnsi="Times New Roman" w:cs="Times New Roman"/>
          <w:b/>
          <w:sz w:val="24"/>
          <w:szCs w:val="24"/>
        </w:rPr>
        <w:lastRenderedPageBreak/>
        <w:t>4.1.4 Loan Portfolio Diversification</w:t>
      </w:r>
      <w:bookmarkEnd w:id="43"/>
    </w:p>
    <w:p w14:paraId="08D5B864" w14:textId="77777777" w:rsidR="005E27A5" w:rsidRPr="005E27A5" w:rsidRDefault="005E27A5" w:rsidP="005E27A5">
      <w:pPr>
        <w:spacing w:line="360" w:lineRule="auto"/>
        <w:jc w:val="both"/>
        <w:rPr>
          <w:rFonts w:ascii="Times New Roman" w:hAnsi="Times New Roman"/>
          <w:bCs/>
          <w:sz w:val="24"/>
          <w:szCs w:val="24"/>
        </w:rPr>
      </w:pPr>
      <w:r w:rsidRPr="005E27A5">
        <w:rPr>
          <w:rFonts w:ascii="Times New Roman" w:hAnsi="Times New Roman"/>
          <w:bCs/>
          <w:sz w:val="24"/>
          <w:szCs w:val="24"/>
        </w:rPr>
        <w:t>Dhaka Bank also has diversified concentration</w:t>
      </w:r>
      <w:r w:rsidRPr="005E27A5">
        <w:rPr>
          <w:rFonts w:ascii="Times New Roman" w:hAnsi="Times New Roman"/>
          <w:bCs/>
          <w:sz w:val="24"/>
          <w:szCs w:val="24"/>
        </w:rPr>
        <w:t> </w:t>
      </w:r>
      <w:r w:rsidRPr="005E27A5">
        <w:rPr>
          <w:rFonts w:ascii="Times New Roman" w:hAnsi="Times New Roman"/>
          <w:bCs/>
          <w:sz w:val="24"/>
          <w:szCs w:val="24"/>
        </w:rPr>
        <w:t>risk minimization in multiple dimensions:</w:t>
      </w:r>
    </w:p>
    <w:p w14:paraId="0A0F924C" w14:textId="77777777" w:rsidR="005E27A5" w:rsidRPr="005E27A5" w:rsidRDefault="00F16DF5" w:rsidP="005E27A5">
      <w:pPr>
        <w:spacing w:line="360" w:lineRule="auto"/>
        <w:jc w:val="both"/>
        <w:rPr>
          <w:rFonts w:ascii="Times New Roman" w:hAnsi="Times New Roman"/>
          <w:bCs/>
          <w:sz w:val="24"/>
          <w:szCs w:val="24"/>
        </w:rPr>
      </w:pPr>
      <w:r w:rsidRPr="006751AF">
        <w:rPr>
          <w:rFonts w:ascii="Times New Roman" w:hAnsi="Times New Roman"/>
          <w:b/>
          <w:bCs/>
          <w:sz w:val="24"/>
          <w:szCs w:val="24"/>
        </w:rPr>
        <w:t>Sector Diversification:</w:t>
      </w:r>
      <w:r w:rsidRPr="006751AF">
        <w:rPr>
          <w:rFonts w:ascii="Times New Roman" w:hAnsi="Times New Roman"/>
          <w:bCs/>
          <w:sz w:val="24"/>
          <w:szCs w:val="24"/>
        </w:rPr>
        <w:t xml:space="preserve"> Manufacturing, trade and commerce, services, agriculture, construction, and other industries are all included in the portfolio. </w:t>
      </w:r>
      <w:r w:rsidR="001E3E58" w:rsidRPr="006751AF">
        <w:rPr>
          <w:rFonts w:ascii="Times New Roman" w:hAnsi="Times New Roman"/>
          <w:bCs/>
          <w:sz w:val="24"/>
          <w:szCs w:val="24"/>
        </w:rPr>
        <w:t>Industry</w:t>
      </w:r>
      <w:r w:rsidRPr="006751AF">
        <w:rPr>
          <w:rFonts w:ascii="Times New Roman" w:hAnsi="Times New Roman"/>
          <w:bCs/>
          <w:sz w:val="24"/>
          <w:szCs w:val="24"/>
        </w:rPr>
        <w:t xml:space="preserve"> concentration ratios are continuously monitored, and no single industry accounts fo</w:t>
      </w:r>
      <w:r w:rsidR="001E3E58">
        <w:rPr>
          <w:rFonts w:ascii="Times New Roman" w:hAnsi="Times New Roman"/>
          <w:bCs/>
          <w:sz w:val="24"/>
          <w:szCs w:val="24"/>
        </w:rPr>
        <w:t xml:space="preserve">r more than 25% of all loans. </w:t>
      </w:r>
      <w:r w:rsidR="001E3E58">
        <w:rPr>
          <w:rFonts w:ascii="Times New Roman" w:hAnsi="Times New Roman"/>
          <w:bCs/>
          <w:sz w:val="24"/>
          <w:szCs w:val="24"/>
        </w:rPr>
        <w:br/>
      </w:r>
      <w:r w:rsidR="005E27A5" w:rsidRPr="005E27A5">
        <w:rPr>
          <w:rFonts w:ascii="Times New Roman" w:hAnsi="Times New Roman"/>
          <w:bCs/>
          <w:sz w:val="24"/>
          <w:szCs w:val="24"/>
        </w:rPr>
        <w:t>Dhaka Bank is only allowed to lend out</w:t>
      </w:r>
      <w:r w:rsidR="005E27A5" w:rsidRPr="005E27A5">
        <w:rPr>
          <w:rFonts w:ascii="Times New Roman" w:hAnsi="Times New Roman"/>
          <w:bCs/>
          <w:sz w:val="24"/>
          <w:szCs w:val="24"/>
        </w:rPr>
        <w:t> </w:t>
      </w:r>
      <w:r w:rsidR="005E27A5" w:rsidRPr="005E27A5">
        <w:rPr>
          <w:rFonts w:ascii="Times New Roman" w:hAnsi="Times New Roman"/>
          <w:bCs/>
          <w:sz w:val="24"/>
          <w:szCs w:val="24"/>
        </w:rPr>
        <w:t>80 percent of the deposits as per Bangladesh Bank's credit policy. SIX departments are under a board sector, where Dhaka</w:t>
      </w:r>
      <w:r w:rsidR="005E27A5" w:rsidRPr="005E27A5">
        <w:rPr>
          <w:rFonts w:ascii="Times New Roman" w:hAnsi="Times New Roman"/>
          <w:bCs/>
          <w:sz w:val="24"/>
          <w:szCs w:val="24"/>
        </w:rPr>
        <w:t> </w:t>
      </w:r>
      <w:r w:rsidR="005E27A5" w:rsidRPr="005E27A5">
        <w:rPr>
          <w:rFonts w:ascii="Times New Roman" w:hAnsi="Times New Roman"/>
          <w:bCs/>
          <w:sz w:val="24"/>
          <w:szCs w:val="24"/>
        </w:rPr>
        <w:t>Bank provides loan:</w:t>
      </w:r>
    </w:p>
    <w:p w14:paraId="126C2968"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Agriculture Loan </w:t>
      </w:r>
    </w:p>
    <w:p w14:paraId="5A7D2C4F"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Commercial Lending </w:t>
      </w:r>
    </w:p>
    <w:p w14:paraId="0F19AF04"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Export Financing </w:t>
      </w:r>
    </w:p>
    <w:p w14:paraId="675BD789"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Consumer Credit Scheme </w:t>
      </w:r>
    </w:p>
    <w:p w14:paraId="49688D9E"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Small and Medium Enterprise </w:t>
      </w:r>
    </w:p>
    <w:p w14:paraId="4B0DC0FD"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Staff Loan</w:t>
      </w:r>
    </w:p>
    <w:p w14:paraId="69B17489"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Others</w:t>
      </w:r>
    </w:p>
    <w:p w14:paraId="57D0A8AD" w14:textId="2432D4C5" w:rsidR="007343FA" w:rsidRPr="007343FA" w:rsidRDefault="005E27A5" w:rsidP="00F16DF5">
      <w:pPr>
        <w:spacing w:line="360" w:lineRule="auto"/>
        <w:jc w:val="both"/>
        <w:rPr>
          <w:rFonts w:ascii="Times New Roman" w:hAnsi="Times New Roman"/>
          <w:bCs/>
          <w:sz w:val="24"/>
          <w:szCs w:val="24"/>
        </w:rPr>
      </w:pPr>
      <w:r w:rsidRPr="005E27A5">
        <w:rPr>
          <w:rFonts w:ascii="Times New Roman" w:hAnsi="Times New Roman"/>
          <w:bCs/>
          <w:sz w:val="24"/>
          <w:szCs w:val="24"/>
        </w:rPr>
        <w:t>The following are the last four (2020,</w:t>
      </w:r>
      <w:r w:rsidRPr="005E27A5">
        <w:rPr>
          <w:rFonts w:ascii="Times New Roman" w:hAnsi="Times New Roman"/>
          <w:bCs/>
          <w:sz w:val="24"/>
          <w:szCs w:val="24"/>
        </w:rPr>
        <w:t> </w:t>
      </w:r>
      <w:r w:rsidRPr="005E27A5">
        <w:rPr>
          <w:rFonts w:ascii="Times New Roman" w:hAnsi="Times New Roman"/>
          <w:bCs/>
          <w:sz w:val="24"/>
          <w:szCs w:val="24"/>
        </w:rPr>
        <w:t xml:space="preserve">2021, 2022 and 2023) period loan </w:t>
      </w:r>
      <w:r>
        <w:rPr>
          <w:rFonts w:ascii="Times New Roman" w:hAnsi="Times New Roman"/>
          <w:bCs/>
          <w:sz w:val="24"/>
          <w:szCs w:val="24"/>
        </w:rPr>
        <w:t>percentage</w:t>
      </w:r>
      <w:r w:rsidRPr="005E27A5">
        <w:rPr>
          <w:rFonts w:ascii="Times New Roman" w:hAnsi="Times New Roman"/>
          <w:bCs/>
          <w:sz w:val="24"/>
          <w:szCs w:val="24"/>
        </w:rPr>
        <w:t xml:space="preserve"> in different sectors-</w:t>
      </w:r>
      <w:r w:rsidR="00F16DF5" w:rsidRPr="006751AF">
        <w:fldChar w:fldCharType="begin"/>
      </w:r>
      <w:r w:rsidR="00F16DF5" w:rsidRPr="006751AF">
        <w:instrText xml:space="preserve"> LINK </w:instrText>
      </w:r>
      <w:r w:rsidR="00AC5F76">
        <w:instrText xml:space="preserve">Excel.Sheet.12 "C:\\Users\\savar\\OneDrive\\Desktop\\New Microsoft Excel Worksheet.xlsx" Sheet6!R5C5:R12C8 </w:instrText>
      </w:r>
      <w:r w:rsidR="00F16DF5" w:rsidRPr="006751AF">
        <w:instrText xml:space="preserve">\a \f 4 \h  \* MERGEFORMAT </w:instrText>
      </w:r>
      <w:r w:rsidR="00F16DF5" w:rsidRPr="006751AF">
        <w:fldChar w:fldCharType="separate"/>
      </w:r>
    </w:p>
    <w:tbl>
      <w:tblPr>
        <w:tblW w:w="6660" w:type="dxa"/>
        <w:jc w:val="center"/>
        <w:tblLook w:val="04A0" w:firstRow="1" w:lastRow="0" w:firstColumn="1" w:lastColumn="0" w:noHBand="0" w:noVBand="1"/>
      </w:tblPr>
      <w:tblGrid>
        <w:gridCol w:w="3300"/>
        <w:gridCol w:w="1120"/>
        <w:gridCol w:w="1120"/>
        <w:gridCol w:w="1120"/>
      </w:tblGrid>
      <w:tr w:rsidR="007343FA" w:rsidRPr="007343FA" w14:paraId="00C6F089" w14:textId="77777777" w:rsidTr="007343FA">
        <w:trPr>
          <w:divId w:val="575408191"/>
          <w:trHeight w:val="315"/>
          <w:jc w:val="center"/>
        </w:trPr>
        <w:tc>
          <w:tcPr>
            <w:tcW w:w="3300" w:type="dxa"/>
            <w:tcBorders>
              <w:top w:val="single" w:sz="8" w:space="0" w:color="auto"/>
              <w:left w:val="single" w:sz="8" w:space="0" w:color="auto"/>
              <w:bottom w:val="single" w:sz="4" w:space="0" w:color="auto"/>
              <w:right w:val="single" w:sz="4" w:space="0" w:color="auto"/>
            </w:tcBorders>
            <w:noWrap/>
            <w:vAlign w:val="bottom"/>
            <w:hideMark/>
          </w:tcPr>
          <w:p w14:paraId="7AE3C6D1"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Sectors</w:t>
            </w:r>
          </w:p>
        </w:tc>
        <w:tc>
          <w:tcPr>
            <w:tcW w:w="1120" w:type="dxa"/>
            <w:tcBorders>
              <w:top w:val="single" w:sz="8" w:space="0" w:color="auto"/>
              <w:left w:val="nil"/>
              <w:bottom w:val="single" w:sz="4" w:space="0" w:color="auto"/>
              <w:right w:val="single" w:sz="4" w:space="0" w:color="auto"/>
            </w:tcBorders>
            <w:noWrap/>
            <w:vAlign w:val="bottom"/>
            <w:hideMark/>
          </w:tcPr>
          <w:p w14:paraId="0F4F3531"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2022-23</w:t>
            </w:r>
          </w:p>
        </w:tc>
        <w:tc>
          <w:tcPr>
            <w:tcW w:w="1120" w:type="dxa"/>
            <w:tcBorders>
              <w:top w:val="single" w:sz="8" w:space="0" w:color="auto"/>
              <w:left w:val="nil"/>
              <w:bottom w:val="single" w:sz="4" w:space="0" w:color="auto"/>
              <w:right w:val="single" w:sz="4" w:space="0" w:color="auto"/>
            </w:tcBorders>
            <w:noWrap/>
            <w:vAlign w:val="bottom"/>
            <w:hideMark/>
          </w:tcPr>
          <w:p w14:paraId="6CB8569D"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2021-22</w:t>
            </w:r>
          </w:p>
        </w:tc>
        <w:tc>
          <w:tcPr>
            <w:tcW w:w="1120" w:type="dxa"/>
            <w:tcBorders>
              <w:top w:val="single" w:sz="8" w:space="0" w:color="auto"/>
              <w:left w:val="nil"/>
              <w:bottom w:val="single" w:sz="4" w:space="0" w:color="auto"/>
              <w:right w:val="single" w:sz="8" w:space="0" w:color="auto"/>
            </w:tcBorders>
            <w:noWrap/>
            <w:vAlign w:val="bottom"/>
            <w:hideMark/>
          </w:tcPr>
          <w:p w14:paraId="76DFBF9D"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2020-21</w:t>
            </w:r>
          </w:p>
        </w:tc>
      </w:tr>
      <w:tr w:rsidR="007343FA" w:rsidRPr="007343FA" w14:paraId="7A8AFA04" w14:textId="77777777" w:rsidTr="007343FA">
        <w:trPr>
          <w:divId w:val="575408191"/>
          <w:trHeight w:val="315"/>
          <w:jc w:val="center"/>
        </w:trPr>
        <w:tc>
          <w:tcPr>
            <w:tcW w:w="3300" w:type="dxa"/>
            <w:tcBorders>
              <w:top w:val="nil"/>
              <w:left w:val="single" w:sz="8" w:space="0" w:color="auto"/>
              <w:bottom w:val="single" w:sz="4" w:space="0" w:color="auto"/>
              <w:right w:val="single" w:sz="4" w:space="0" w:color="auto"/>
            </w:tcBorders>
            <w:noWrap/>
            <w:vAlign w:val="bottom"/>
            <w:hideMark/>
          </w:tcPr>
          <w:p w14:paraId="6B066D0B"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Agriculture Loan</w:t>
            </w:r>
          </w:p>
        </w:tc>
        <w:tc>
          <w:tcPr>
            <w:tcW w:w="1120" w:type="dxa"/>
            <w:tcBorders>
              <w:top w:val="nil"/>
              <w:left w:val="nil"/>
              <w:bottom w:val="single" w:sz="4" w:space="0" w:color="auto"/>
              <w:right w:val="single" w:sz="4" w:space="0" w:color="auto"/>
            </w:tcBorders>
            <w:noWrap/>
            <w:vAlign w:val="bottom"/>
            <w:hideMark/>
          </w:tcPr>
          <w:p w14:paraId="70921E74"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-68%</w:t>
            </w:r>
          </w:p>
        </w:tc>
        <w:tc>
          <w:tcPr>
            <w:tcW w:w="1120" w:type="dxa"/>
            <w:tcBorders>
              <w:top w:val="nil"/>
              <w:left w:val="nil"/>
              <w:bottom w:val="single" w:sz="4" w:space="0" w:color="auto"/>
              <w:right w:val="single" w:sz="4" w:space="0" w:color="auto"/>
            </w:tcBorders>
            <w:noWrap/>
            <w:vAlign w:val="bottom"/>
            <w:hideMark/>
          </w:tcPr>
          <w:p w14:paraId="30A73D41"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113%</w:t>
            </w:r>
          </w:p>
        </w:tc>
        <w:tc>
          <w:tcPr>
            <w:tcW w:w="1120" w:type="dxa"/>
            <w:tcBorders>
              <w:top w:val="nil"/>
              <w:left w:val="nil"/>
              <w:bottom w:val="single" w:sz="4" w:space="0" w:color="auto"/>
              <w:right w:val="single" w:sz="8" w:space="0" w:color="auto"/>
            </w:tcBorders>
            <w:noWrap/>
            <w:vAlign w:val="bottom"/>
            <w:hideMark/>
          </w:tcPr>
          <w:p w14:paraId="1AE5BCDC"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40%</w:t>
            </w:r>
          </w:p>
        </w:tc>
      </w:tr>
      <w:tr w:rsidR="007343FA" w:rsidRPr="007343FA" w14:paraId="544D5C70" w14:textId="77777777" w:rsidTr="007343FA">
        <w:trPr>
          <w:divId w:val="575408191"/>
          <w:trHeight w:val="315"/>
          <w:jc w:val="center"/>
        </w:trPr>
        <w:tc>
          <w:tcPr>
            <w:tcW w:w="3300" w:type="dxa"/>
            <w:tcBorders>
              <w:top w:val="nil"/>
              <w:left w:val="single" w:sz="8" w:space="0" w:color="auto"/>
              <w:bottom w:val="single" w:sz="4" w:space="0" w:color="auto"/>
              <w:right w:val="single" w:sz="4" w:space="0" w:color="auto"/>
            </w:tcBorders>
            <w:noWrap/>
            <w:vAlign w:val="bottom"/>
            <w:hideMark/>
          </w:tcPr>
          <w:p w14:paraId="40A67133"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Commercial Lending</w:t>
            </w:r>
          </w:p>
        </w:tc>
        <w:tc>
          <w:tcPr>
            <w:tcW w:w="1120" w:type="dxa"/>
            <w:tcBorders>
              <w:top w:val="nil"/>
              <w:left w:val="nil"/>
              <w:bottom w:val="single" w:sz="4" w:space="0" w:color="auto"/>
              <w:right w:val="single" w:sz="4" w:space="0" w:color="auto"/>
            </w:tcBorders>
            <w:noWrap/>
            <w:vAlign w:val="bottom"/>
            <w:hideMark/>
          </w:tcPr>
          <w:p w14:paraId="4C519435"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19%</w:t>
            </w:r>
          </w:p>
        </w:tc>
        <w:tc>
          <w:tcPr>
            <w:tcW w:w="1120" w:type="dxa"/>
            <w:tcBorders>
              <w:top w:val="nil"/>
              <w:left w:val="nil"/>
              <w:bottom w:val="single" w:sz="4" w:space="0" w:color="auto"/>
              <w:right w:val="single" w:sz="4" w:space="0" w:color="auto"/>
            </w:tcBorders>
            <w:noWrap/>
            <w:vAlign w:val="bottom"/>
            <w:hideMark/>
          </w:tcPr>
          <w:p w14:paraId="70AF978F"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-6%</w:t>
            </w:r>
          </w:p>
        </w:tc>
        <w:tc>
          <w:tcPr>
            <w:tcW w:w="1120" w:type="dxa"/>
            <w:tcBorders>
              <w:top w:val="nil"/>
              <w:left w:val="nil"/>
              <w:bottom w:val="single" w:sz="4" w:space="0" w:color="auto"/>
              <w:right w:val="single" w:sz="8" w:space="0" w:color="auto"/>
            </w:tcBorders>
            <w:noWrap/>
            <w:vAlign w:val="bottom"/>
            <w:hideMark/>
          </w:tcPr>
          <w:p w14:paraId="1B562EC8"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11%</w:t>
            </w:r>
          </w:p>
        </w:tc>
      </w:tr>
      <w:tr w:rsidR="007343FA" w:rsidRPr="007343FA" w14:paraId="13D0E9AB" w14:textId="77777777" w:rsidTr="007343FA">
        <w:trPr>
          <w:divId w:val="575408191"/>
          <w:trHeight w:val="315"/>
          <w:jc w:val="center"/>
        </w:trPr>
        <w:tc>
          <w:tcPr>
            <w:tcW w:w="3300" w:type="dxa"/>
            <w:tcBorders>
              <w:top w:val="nil"/>
              <w:left w:val="single" w:sz="8" w:space="0" w:color="auto"/>
              <w:bottom w:val="single" w:sz="4" w:space="0" w:color="auto"/>
              <w:right w:val="single" w:sz="4" w:space="0" w:color="auto"/>
            </w:tcBorders>
            <w:noWrap/>
            <w:vAlign w:val="bottom"/>
            <w:hideMark/>
          </w:tcPr>
          <w:p w14:paraId="36E00DDA"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Export Financing</w:t>
            </w:r>
          </w:p>
        </w:tc>
        <w:tc>
          <w:tcPr>
            <w:tcW w:w="1120" w:type="dxa"/>
            <w:tcBorders>
              <w:top w:val="nil"/>
              <w:left w:val="nil"/>
              <w:bottom w:val="single" w:sz="4" w:space="0" w:color="auto"/>
              <w:right w:val="single" w:sz="4" w:space="0" w:color="auto"/>
            </w:tcBorders>
            <w:noWrap/>
            <w:vAlign w:val="bottom"/>
            <w:hideMark/>
          </w:tcPr>
          <w:p w14:paraId="4C8043E1"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12%</w:t>
            </w:r>
          </w:p>
        </w:tc>
        <w:tc>
          <w:tcPr>
            <w:tcW w:w="1120" w:type="dxa"/>
            <w:tcBorders>
              <w:top w:val="nil"/>
              <w:left w:val="nil"/>
              <w:bottom w:val="single" w:sz="4" w:space="0" w:color="auto"/>
              <w:right w:val="single" w:sz="4" w:space="0" w:color="auto"/>
            </w:tcBorders>
            <w:noWrap/>
            <w:vAlign w:val="bottom"/>
            <w:hideMark/>
          </w:tcPr>
          <w:p w14:paraId="6FB8E6DA"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360%</w:t>
            </w:r>
          </w:p>
        </w:tc>
        <w:tc>
          <w:tcPr>
            <w:tcW w:w="1120" w:type="dxa"/>
            <w:tcBorders>
              <w:top w:val="nil"/>
              <w:left w:val="nil"/>
              <w:bottom w:val="single" w:sz="4" w:space="0" w:color="auto"/>
              <w:right w:val="single" w:sz="8" w:space="0" w:color="auto"/>
            </w:tcBorders>
            <w:noWrap/>
            <w:vAlign w:val="bottom"/>
            <w:hideMark/>
          </w:tcPr>
          <w:p w14:paraId="237D2A6A"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-29%</w:t>
            </w:r>
          </w:p>
        </w:tc>
      </w:tr>
      <w:tr w:rsidR="007343FA" w:rsidRPr="007343FA" w14:paraId="1BDEA739" w14:textId="77777777" w:rsidTr="007343FA">
        <w:trPr>
          <w:divId w:val="575408191"/>
          <w:trHeight w:val="315"/>
          <w:jc w:val="center"/>
        </w:trPr>
        <w:tc>
          <w:tcPr>
            <w:tcW w:w="3300" w:type="dxa"/>
            <w:tcBorders>
              <w:top w:val="nil"/>
              <w:left w:val="single" w:sz="8" w:space="0" w:color="auto"/>
              <w:bottom w:val="single" w:sz="4" w:space="0" w:color="auto"/>
              <w:right w:val="single" w:sz="4" w:space="0" w:color="auto"/>
            </w:tcBorders>
            <w:noWrap/>
            <w:vAlign w:val="bottom"/>
            <w:hideMark/>
          </w:tcPr>
          <w:p w14:paraId="50A111B2"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Consumer Credit Scheme</w:t>
            </w:r>
          </w:p>
        </w:tc>
        <w:tc>
          <w:tcPr>
            <w:tcW w:w="1120" w:type="dxa"/>
            <w:tcBorders>
              <w:top w:val="nil"/>
              <w:left w:val="nil"/>
              <w:bottom w:val="single" w:sz="4" w:space="0" w:color="auto"/>
              <w:right w:val="single" w:sz="4" w:space="0" w:color="auto"/>
            </w:tcBorders>
            <w:noWrap/>
            <w:vAlign w:val="bottom"/>
            <w:hideMark/>
          </w:tcPr>
          <w:p w14:paraId="4E30CBEE"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5%</w:t>
            </w:r>
          </w:p>
        </w:tc>
        <w:tc>
          <w:tcPr>
            <w:tcW w:w="1120" w:type="dxa"/>
            <w:tcBorders>
              <w:top w:val="nil"/>
              <w:left w:val="nil"/>
              <w:bottom w:val="single" w:sz="4" w:space="0" w:color="auto"/>
              <w:right w:val="single" w:sz="4" w:space="0" w:color="auto"/>
            </w:tcBorders>
            <w:noWrap/>
            <w:vAlign w:val="bottom"/>
            <w:hideMark/>
          </w:tcPr>
          <w:p w14:paraId="410C4360"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-11%</w:t>
            </w:r>
          </w:p>
        </w:tc>
        <w:tc>
          <w:tcPr>
            <w:tcW w:w="1120" w:type="dxa"/>
            <w:tcBorders>
              <w:top w:val="nil"/>
              <w:left w:val="nil"/>
              <w:bottom w:val="single" w:sz="4" w:space="0" w:color="auto"/>
              <w:right w:val="single" w:sz="8" w:space="0" w:color="auto"/>
            </w:tcBorders>
            <w:noWrap/>
            <w:vAlign w:val="bottom"/>
            <w:hideMark/>
          </w:tcPr>
          <w:p w14:paraId="0E819285"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-31%</w:t>
            </w:r>
          </w:p>
        </w:tc>
      </w:tr>
      <w:tr w:rsidR="007343FA" w:rsidRPr="007343FA" w14:paraId="3F490284" w14:textId="77777777" w:rsidTr="007343FA">
        <w:trPr>
          <w:divId w:val="575408191"/>
          <w:trHeight w:val="315"/>
          <w:jc w:val="center"/>
        </w:trPr>
        <w:tc>
          <w:tcPr>
            <w:tcW w:w="3300" w:type="dxa"/>
            <w:tcBorders>
              <w:top w:val="nil"/>
              <w:left w:val="single" w:sz="8" w:space="0" w:color="auto"/>
              <w:bottom w:val="single" w:sz="4" w:space="0" w:color="auto"/>
              <w:right w:val="single" w:sz="4" w:space="0" w:color="auto"/>
            </w:tcBorders>
            <w:noWrap/>
            <w:vAlign w:val="bottom"/>
            <w:hideMark/>
          </w:tcPr>
          <w:p w14:paraId="47C2044F"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Small and Medium Enterprise</w:t>
            </w:r>
          </w:p>
        </w:tc>
        <w:tc>
          <w:tcPr>
            <w:tcW w:w="1120" w:type="dxa"/>
            <w:tcBorders>
              <w:top w:val="nil"/>
              <w:left w:val="nil"/>
              <w:bottom w:val="single" w:sz="4" w:space="0" w:color="auto"/>
              <w:right w:val="single" w:sz="4" w:space="0" w:color="auto"/>
            </w:tcBorders>
            <w:noWrap/>
            <w:vAlign w:val="bottom"/>
            <w:hideMark/>
          </w:tcPr>
          <w:p w14:paraId="792C12ED"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15%</w:t>
            </w:r>
          </w:p>
        </w:tc>
        <w:tc>
          <w:tcPr>
            <w:tcW w:w="1120" w:type="dxa"/>
            <w:tcBorders>
              <w:top w:val="nil"/>
              <w:left w:val="nil"/>
              <w:bottom w:val="single" w:sz="4" w:space="0" w:color="auto"/>
              <w:right w:val="single" w:sz="4" w:space="0" w:color="auto"/>
            </w:tcBorders>
            <w:noWrap/>
            <w:vAlign w:val="bottom"/>
            <w:hideMark/>
          </w:tcPr>
          <w:p w14:paraId="2ADF1233"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21%</w:t>
            </w:r>
          </w:p>
        </w:tc>
        <w:tc>
          <w:tcPr>
            <w:tcW w:w="1120" w:type="dxa"/>
            <w:tcBorders>
              <w:top w:val="nil"/>
              <w:left w:val="nil"/>
              <w:bottom w:val="single" w:sz="4" w:space="0" w:color="auto"/>
              <w:right w:val="single" w:sz="8" w:space="0" w:color="auto"/>
            </w:tcBorders>
            <w:noWrap/>
            <w:vAlign w:val="bottom"/>
            <w:hideMark/>
          </w:tcPr>
          <w:p w14:paraId="4AC9EAFF"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84%</w:t>
            </w:r>
          </w:p>
        </w:tc>
      </w:tr>
      <w:tr w:rsidR="007343FA" w:rsidRPr="007343FA" w14:paraId="6969FCE0" w14:textId="77777777" w:rsidTr="007343FA">
        <w:trPr>
          <w:divId w:val="575408191"/>
          <w:trHeight w:val="315"/>
          <w:jc w:val="center"/>
        </w:trPr>
        <w:tc>
          <w:tcPr>
            <w:tcW w:w="3300" w:type="dxa"/>
            <w:tcBorders>
              <w:top w:val="nil"/>
              <w:left w:val="single" w:sz="8" w:space="0" w:color="auto"/>
              <w:bottom w:val="single" w:sz="4" w:space="0" w:color="auto"/>
              <w:right w:val="single" w:sz="4" w:space="0" w:color="auto"/>
            </w:tcBorders>
            <w:noWrap/>
            <w:vAlign w:val="bottom"/>
            <w:hideMark/>
          </w:tcPr>
          <w:p w14:paraId="6EF25F89"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Staff Loan</w:t>
            </w:r>
          </w:p>
        </w:tc>
        <w:tc>
          <w:tcPr>
            <w:tcW w:w="1120" w:type="dxa"/>
            <w:tcBorders>
              <w:top w:val="nil"/>
              <w:left w:val="nil"/>
              <w:bottom w:val="single" w:sz="4" w:space="0" w:color="auto"/>
              <w:right w:val="single" w:sz="4" w:space="0" w:color="auto"/>
            </w:tcBorders>
            <w:noWrap/>
            <w:vAlign w:val="bottom"/>
            <w:hideMark/>
          </w:tcPr>
          <w:p w14:paraId="634805F3"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-4%</w:t>
            </w:r>
          </w:p>
        </w:tc>
        <w:tc>
          <w:tcPr>
            <w:tcW w:w="1120" w:type="dxa"/>
            <w:tcBorders>
              <w:top w:val="nil"/>
              <w:left w:val="nil"/>
              <w:bottom w:val="single" w:sz="4" w:space="0" w:color="auto"/>
              <w:right w:val="single" w:sz="4" w:space="0" w:color="auto"/>
            </w:tcBorders>
            <w:noWrap/>
            <w:vAlign w:val="bottom"/>
            <w:hideMark/>
          </w:tcPr>
          <w:p w14:paraId="5D192CCB"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29%</w:t>
            </w:r>
          </w:p>
        </w:tc>
        <w:tc>
          <w:tcPr>
            <w:tcW w:w="1120" w:type="dxa"/>
            <w:tcBorders>
              <w:top w:val="nil"/>
              <w:left w:val="nil"/>
              <w:bottom w:val="single" w:sz="4" w:space="0" w:color="auto"/>
              <w:right w:val="single" w:sz="8" w:space="0" w:color="auto"/>
            </w:tcBorders>
            <w:noWrap/>
            <w:vAlign w:val="bottom"/>
            <w:hideMark/>
          </w:tcPr>
          <w:p w14:paraId="29D848B4"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1%</w:t>
            </w:r>
          </w:p>
        </w:tc>
      </w:tr>
      <w:tr w:rsidR="007343FA" w:rsidRPr="007343FA" w14:paraId="3EDC9E91" w14:textId="77777777" w:rsidTr="007343FA">
        <w:trPr>
          <w:divId w:val="575408191"/>
          <w:trHeight w:val="330"/>
          <w:jc w:val="center"/>
        </w:trPr>
        <w:tc>
          <w:tcPr>
            <w:tcW w:w="3300" w:type="dxa"/>
            <w:tcBorders>
              <w:top w:val="nil"/>
              <w:left w:val="single" w:sz="8" w:space="0" w:color="auto"/>
              <w:bottom w:val="single" w:sz="8" w:space="0" w:color="auto"/>
              <w:right w:val="single" w:sz="4" w:space="0" w:color="auto"/>
            </w:tcBorders>
            <w:noWrap/>
            <w:vAlign w:val="bottom"/>
            <w:hideMark/>
          </w:tcPr>
          <w:p w14:paraId="22171543" w14:textId="77777777" w:rsidR="007343FA" w:rsidRPr="007343FA" w:rsidRDefault="007343FA" w:rsidP="007343FA">
            <w:pPr>
              <w:spacing w:after="0" w:line="240" w:lineRule="auto"/>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Others</w:t>
            </w:r>
          </w:p>
        </w:tc>
        <w:tc>
          <w:tcPr>
            <w:tcW w:w="1120" w:type="dxa"/>
            <w:tcBorders>
              <w:top w:val="nil"/>
              <w:left w:val="nil"/>
              <w:bottom w:val="single" w:sz="8" w:space="0" w:color="auto"/>
              <w:right w:val="single" w:sz="4" w:space="0" w:color="auto"/>
            </w:tcBorders>
            <w:noWrap/>
            <w:vAlign w:val="bottom"/>
            <w:hideMark/>
          </w:tcPr>
          <w:p w14:paraId="6A9776CA"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9%</w:t>
            </w:r>
          </w:p>
        </w:tc>
        <w:tc>
          <w:tcPr>
            <w:tcW w:w="1120" w:type="dxa"/>
            <w:tcBorders>
              <w:top w:val="nil"/>
              <w:left w:val="nil"/>
              <w:bottom w:val="single" w:sz="8" w:space="0" w:color="auto"/>
              <w:right w:val="single" w:sz="4" w:space="0" w:color="auto"/>
            </w:tcBorders>
            <w:noWrap/>
            <w:vAlign w:val="bottom"/>
            <w:hideMark/>
          </w:tcPr>
          <w:p w14:paraId="4FB52036"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-5%</w:t>
            </w:r>
          </w:p>
        </w:tc>
        <w:tc>
          <w:tcPr>
            <w:tcW w:w="1120" w:type="dxa"/>
            <w:tcBorders>
              <w:top w:val="nil"/>
              <w:left w:val="nil"/>
              <w:bottom w:val="single" w:sz="8" w:space="0" w:color="auto"/>
              <w:right w:val="single" w:sz="8" w:space="0" w:color="auto"/>
            </w:tcBorders>
            <w:noWrap/>
            <w:vAlign w:val="bottom"/>
            <w:hideMark/>
          </w:tcPr>
          <w:p w14:paraId="72A1A8FB" w14:textId="77777777" w:rsidR="007343FA" w:rsidRPr="007343FA" w:rsidRDefault="007343FA" w:rsidP="007343FA">
            <w:pPr>
              <w:spacing w:after="0" w:line="240" w:lineRule="auto"/>
              <w:jc w:val="right"/>
              <w:rPr>
                <w:rFonts w:ascii="Times New Roman" w:eastAsia="Times New Roman" w:hAnsi="Times New Roman"/>
                <w:color w:val="000000"/>
                <w:sz w:val="24"/>
                <w:szCs w:val="24"/>
              </w:rPr>
            </w:pPr>
            <w:r w:rsidRPr="007343FA">
              <w:rPr>
                <w:rFonts w:ascii="Times New Roman" w:eastAsia="Times New Roman" w:hAnsi="Times New Roman"/>
                <w:color w:val="000000"/>
                <w:sz w:val="24"/>
                <w:szCs w:val="24"/>
              </w:rPr>
              <w:t>0%</w:t>
            </w:r>
          </w:p>
        </w:tc>
      </w:tr>
    </w:tbl>
    <w:p w14:paraId="30BC0468" w14:textId="77777777" w:rsidR="005E27A5"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fldChar w:fldCharType="end"/>
      </w:r>
      <w:r w:rsidR="005E27A5" w:rsidRPr="005E27A5">
        <w:rPr>
          <w:rFonts w:ascii="Times New Roman" w:hAnsi="Times New Roman"/>
          <w:bCs/>
          <w:sz w:val="24"/>
          <w:szCs w:val="24"/>
        </w:rPr>
        <w:t>Sectorial disbursement trend of loans reflects noticeable changes</w:t>
      </w:r>
      <w:r w:rsidR="005E27A5" w:rsidRPr="005E27A5">
        <w:rPr>
          <w:rFonts w:ascii="Times New Roman" w:hAnsi="Times New Roman"/>
          <w:bCs/>
          <w:sz w:val="24"/>
          <w:szCs w:val="24"/>
        </w:rPr>
        <w:t> </w:t>
      </w:r>
      <w:r w:rsidR="005E27A5" w:rsidRPr="005E27A5">
        <w:rPr>
          <w:rFonts w:ascii="Times New Roman" w:hAnsi="Times New Roman"/>
          <w:bCs/>
          <w:sz w:val="24"/>
          <w:szCs w:val="24"/>
        </w:rPr>
        <w:t>in the portfolio of Dhaka Bank Limited from 2020–21 to 2022–23. Farm lending is highly volatile; falling precipitously in the</w:t>
      </w:r>
      <w:r w:rsidR="005E27A5" w:rsidRPr="005E27A5">
        <w:rPr>
          <w:rFonts w:ascii="Times New Roman" w:hAnsi="Times New Roman"/>
          <w:bCs/>
          <w:sz w:val="24"/>
          <w:szCs w:val="24"/>
        </w:rPr>
        <w:t> </w:t>
      </w:r>
      <w:r w:rsidR="005E27A5" w:rsidRPr="005E27A5">
        <w:rPr>
          <w:rFonts w:ascii="Times New Roman" w:hAnsi="Times New Roman"/>
          <w:bCs/>
          <w:sz w:val="24"/>
          <w:szCs w:val="24"/>
        </w:rPr>
        <w:t>just-completed year after it had previously risen. Consumer credit and commercial lending are modestly over the market, but with fits and starts which</w:t>
      </w:r>
      <w:r w:rsidR="005E27A5" w:rsidRPr="005E27A5">
        <w:rPr>
          <w:rFonts w:ascii="Times New Roman" w:hAnsi="Times New Roman"/>
          <w:bCs/>
          <w:sz w:val="24"/>
          <w:szCs w:val="24"/>
        </w:rPr>
        <w:t> </w:t>
      </w:r>
      <w:r w:rsidR="005E27A5" w:rsidRPr="005E27A5">
        <w:rPr>
          <w:rFonts w:ascii="Times New Roman" w:hAnsi="Times New Roman"/>
          <w:bCs/>
          <w:sz w:val="24"/>
          <w:szCs w:val="24"/>
        </w:rPr>
        <w:t xml:space="preserve">suggests tentative growth. Export </w:t>
      </w:r>
      <w:r w:rsidR="005E27A5" w:rsidRPr="005E27A5">
        <w:rPr>
          <w:rFonts w:ascii="Times New Roman" w:hAnsi="Times New Roman"/>
          <w:bCs/>
          <w:sz w:val="24"/>
          <w:szCs w:val="24"/>
        </w:rPr>
        <w:lastRenderedPageBreak/>
        <w:t>finance is</w:t>
      </w:r>
      <w:r w:rsidR="005E27A5" w:rsidRPr="005E27A5">
        <w:rPr>
          <w:rFonts w:ascii="Times New Roman" w:hAnsi="Times New Roman"/>
          <w:bCs/>
          <w:sz w:val="24"/>
          <w:szCs w:val="24"/>
        </w:rPr>
        <w:t> </w:t>
      </w:r>
      <w:r w:rsidR="005E27A5" w:rsidRPr="005E27A5">
        <w:rPr>
          <w:rFonts w:ascii="Times New Roman" w:hAnsi="Times New Roman"/>
          <w:bCs/>
          <w:sz w:val="24"/>
          <w:szCs w:val="24"/>
        </w:rPr>
        <w:t>back to business-as-usual following a strong 2021–2022 recovery, while even the weaker growth story of SME lending remains the market’s strongest performer. With only small changes from year</w:t>
      </w:r>
      <w:r w:rsidR="005E27A5" w:rsidRPr="005E27A5">
        <w:rPr>
          <w:rFonts w:ascii="Times New Roman" w:hAnsi="Times New Roman"/>
          <w:bCs/>
          <w:sz w:val="24"/>
          <w:szCs w:val="24"/>
        </w:rPr>
        <w:t> </w:t>
      </w:r>
      <w:r w:rsidR="005E27A5" w:rsidRPr="005E27A5">
        <w:rPr>
          <w:rFonts w:ascii="Times New Roman" w:hAnsi="Times New Roman"/>
          <w:bCs/>
          <w:sz w:val="24"/>
          <w:szCs w:val="24"/>
        </w:rPr>
        <w:t>to year, loans to staff and other categories move little strategically.</w:t>
      </w:r>
    </w:p>
    <w:p w14:paraId="3801DA8E" w14:textId="77777777" w:rsidR="005E27A5" w:rsidRPr="005E27A5" w:rsidRDefault="00F16DF5" w:rsidP="005E27A5">
      <w:pPr>
        <w:spacing w:line="360" w:lineRule="auto"/>
        <w:jc w:val="both"/>
        <w:rPr>
          <w:rFonts w:ascii="Times New Roman" w:hAnsi="Times New Roman"/>
          <w:bCs/>
          <w:sz w:val="24"/>
          <w:szCs w:val="24"/>
        </w:rPr>
      </w:pPr>
      <w:r w:rsidRPr="006751AF">
        <w:rPr>
          <w:rFonts w:ascii="Times New Roman" w:hAnsi="Times New Roman"/>
          <w:b/>
          <w:bCs/>
          <w:sz w:val="24"/>
          <w:szCs w:val="24"/>
        </w:rPr>
        <w:t>Borrower Concentration:</w:t>
      </w:r>
      <w:r w:rsidRPr="006751AF">
        <w:rPr>
          <w:rFonts w:ascii="Times New Roman" w:hAnsi="Times New Roman"/>
          <w:bCs/>
          <w:sz w:val="24"/>
          <w:szCs w:val="24"/>
        </w:rPr>
        <w:t xml:space="preserve"> </w:t>
      </w:r>
      <w:r w:rsidR="005E27A5" w:rsidRPr="005E27A5">
        <w:rPr>
          <w:rFonts w:ascii="Times New Roman" w:hAnsi="Times New Roman"/>
          <w:bCs/>
          <w:sz w:val="24"/>
          <w:szCs w:val="24"/>
        </w:rPr>
        <w:t>Regulation restricts single borrow</w:t>
      </w:r>
      <w:r w:rsidR="004626B4">
        <w:rPr>
          <w:rFonts w:ascii="Times New Roman" w:hAnsi="Times New Roman"/>
          <w:bCs/>
          <w:sz w:val="24"/>
          <w:szCs w:val="24"/>
        </w:rPr>
        <w:t xml:space="preserve">er exposure to 15% of capital (25% </w:t>
      </w:r>
      <w:r w:rsidR="005E27A5" w:rsidRPr="005E27A5">
        <w:rPr>
          <w:rFonts w:ascii="Times New Roman" w:hAnsi="Times New Roman"/>
          <w:bCs/>
          <w:sz w:val="24"/>
          <w:szCs w:val="24"/>
        </w:rPr>
        <w:t>for group exposures). As a rule, Dhaka Bank maintains internal thresholds lower</w:t>
      </w:r>
      <w:r w:rsidR="005E27A5" w:rsidRPr="005E27A5">
        <w:rPr>
          <w:rFonts w:ascii="Times New Roman" w:hAnsi="Times New Roman"/>
          <w:bCs/>
          <w:sz w:val="24"/>
          <w:szCs w:val="24"/>
        </w:rPr>
        <w:t> </w:t>
      </w:r>
      <w:r w:rsidR="005E27A5" w:rsidRPr="005E27A5">
        <w:rPr>
          <w:rFonts w:ascii="Times New Roman" w:hAnsi="Times New Roman"/>
          <w:bCs/>
          <w:sz w:val="24"/>
          <w:szCs w:val="24"/>
        </w:rPr>
        <w:t>than the regulatory maximums.</w:t>
      </w:r>
    </w:p>
    <w:tbl>
      <w:tblPr>
        <w:tblW w:w="7580" w:type="dxa"/>
        <w:jc w:val="center"/>
        <w:tblLook w:val="04A0" w:firstRow="1" w:lastRow="0" w:firstColumn="1" w:lastColumn="0" w:noHBand="0" w:noVBand="1"/>
      </w:tblPr>
      <w:tblGrid>
        <w:gridCol w:w="2780"/>
        <w:gridCol w:w="960"/>
        <w:gridCol w:w="960"/>
        <w:gridCol w:w="960"/>
        <w:gridCol w:w="960"/>
        <w:gridCol w:w="960"/>
      </w:tblGrid>
      <w:tr w:rsidR="00F16DF5" w:rsidRPr="006751AF" w14:paraId="536D2EC1" w14:textId="77777777" w:rsidTr="001E3E58">
        <w:trPr>
          <w:trHeight w:val="300"/>
          <w:jc w:val="center"/>
        </w:trPr>
        <w:tc>
          <w:tcPr>
            <w:tcW w:w="2780" w:type="dxa"/>
            <w:tcBorders>
              <w:top w:val="single" w:sz="4" w:space="0" w:color="auto"/>
              <w:left w:val="single" w:sz="4" w:space="0" w:color="auto"/>
              <w:bottom w:val="single" w:sz="4" w:space="0" w:color="auto"/>
              <w:right w:val="single" w:sz="4" w:space="0" w:color="auto"/>
            </w:tcBorders>
            <w:noWrap/>
            <w:vAlign w:val="center"/>
            <w:hideMark/>
          </w:tcPr>
          <w:p w14:paraId="3A2A4C15"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 </w:t>
            </w:r>
          </w:p>
        </w:tc>
        <w:tc>
          <w:tcPr>
            <w:tcW w:w="960" w:type="dxa"/>
            <w:tcBorders>
              <w:top w:val="single" w:sz="4" w:space="0" w:color="auto"/>
              <w:left w:val="nil"/>
              <w:bottom w:val="single" w:sz="4" w:space="0" w:color="auto"/>
              <w:right w:val="single" w:sz="4" w:space="0" w:color="auto"/>
            </w:tcBorders>
            <w:noWrap/>
            <w:vAlign w:val="center"/>
            <w:hideMark/>
          </w:tcPr>
          <w:p w14:paraId="03B59AF3"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noWrap/>
            <w:vAlign w:val="center"/>
            <w:hideMark/>
          </w:tcPr>
          <w:p w14:paraId="6905FD2B"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noWrap/>
            <w:vAlign w:val="center"/>
            <w:hideMark/>
          </w:tcPr>
          <w:p w14:paraId="25CE50DC"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noWrap/>
            <w:vAlign w:val="center"/>
            <w:hideMark/>
          </w:tcPr>
          <w:p w14:paraId="7700D386"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noWrap/>
            <w:vAlign w:val="center"/>
            <w:hideMark/>
          </w:tcPr>
          <w:p w14:paraId="75BFA015"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1E2C56B8" w14:textId="77777777" w:rsidTr="001E3E58">
        <w:trPr>
          <w:trHeight w:val="300"/>
          <w:jc w:val="center"/>
        </w:trPr>
        <w:tc>
          <w:tcPr>
            <w:tcW w:w="2780" w:type="dxa"/>
            <w:tcBorders>
              <w:top w:val="nil"/>
              <w:left w:val="single" w:sz="4" w:space="0" w:color="auto"/>
              <w:bottom w:val="single" w:sz="4" w:space="0" w:color="auto"/>
              <w:right w:val="single" w:sz="4" w:space="0" w:color="auto"/>
            </w:tcBorders>
            <w:noWrap/>
            <w:vAlign w:val="center"/>
            <w:hideMark/>
          </w:tcPr>
          <w:p w14:paraId="1EA775F6"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Single</w:t>
            </w:r>
            <w:r w:rsidRPr="006751AF">
              <w:rPr>
                <w:rFonts w:ascii="Times New Roman" w:eastAsia="Times New Roman" w:hAnsi="Times New Roman"/>
                <w:color w:val="000000"/>
              </w:rPr>
              <w:noBreakHyphen/>
              <w:t>borrower exposure</w:t>
            </w:r>
          </w:p>
        </w:tc>
        <w:tc>
          <w:tcPr>
            <w:tcW w:w="960" w:type="dxa"/>
            <w:tcBorders>
              <w:top w:val="nil"/>
              <w:left w:val="nil"/>
              <w:bottom w:val="single" w:sz="4" w:space="0" w:color="auto"/>
              <w:right w:val="single" w:sz="4" w:space="0" w:color="auto"/>
            </w:tcBorders>
            <w:noWrap/>
            <w:vAlign w:val="center"/>
            <w:hideMark/>
          </w:tcPr>
          <w:p w14:paraId="19651BA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13.5%</w:t>
            </w:r>
          </w:p>
        </w:tc>
        <w:tc>
          <w:tcPr>
            <w:tcW w:w="960" w:type="dxa"/>
            <w:tcBorders>
              <w:top w:val="nil"/>
              <w:left w:val="nil"/>
              <w:bottom w:val="single" w:sz="4" w:space="0" w:color="auto"/>
              <w:right w:val="single" w:sz="4" w:space="0" w:color="auto"/>
            </w:tcBorders>
            <w:noWrap/>
            <w:vAlign w:val="center"/>
            <w:hideMark/>
          </w:tcPr>
          <w:p w14:paraId="56E2EC3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14.2%</w:t>
            </w:r>
          </w:p>
        </w:tc>
        <w:tc>
          <w:tcPr>
            <w:tcW w:w="960" w:type="dxa"/>
            <w:tcBorders>
              <w:top w:val="nil"/>
              <w:left w:val="nil"/>
              <w:bottom w:val="single" w:sz="4" w:space="0" w:color="auto"/>
              <w:right w:val="single" w:sz="4" w:space="0" w:color="auto"/>
            </w:tcBorders>
            <w:noWrap/>
            <w:vAlign w:val="center"/>
            <w:hideMark/>
          </w:tcPr>
          <w:p w14:paraId="5A8C372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14.8%</w:t>
            </w:r>
          </w:p>
        </w:tc>
        <w:tc>
          <w:tcPr>
            <w:tcW w:w="960" w:type="dxa"/>
            <w:tcBorders>
              <w:top w:val="nil"/>
              <w:left w:val="nil"/>
              <w:bottom w:val="single" w:sz="4" w:space="0" w:color="auto"/>
              <w:right w:val="single" w:sz="4" w:space="0" w:color="auto"/>
            </w:tcBorders>
            <w:noWrap/>
            <w:vAlign w:val="center"/>
            <w:hideMark/>
          </w:tcPr>
          <w:p w14:paraId="502C5F6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15.2%</w:t>
            </w:r>
          </w:p>
        </w:tc>
        <w:tc>
          <w:tcPr>
            <w:tcW w:w="960" w:type="dxa"/>
            <w:tcBorders>
              <w:top w:val="nil"/>
              <w:left w:val="nil"/>
              <w:bottom w:val="single" w:sz="4" w:space="0" w:color="auto"/>
              <w:right w:val="single" w:sz="4" w:space="0" w:color="auto"/>
            </w:tcBorders>
            <w:noWrap/>
            <w:vAlign w:val="center"/>
            <w:hideMark/>
          </w:tcPr>
          <w:p w14:paraId="5153FD6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14.9%</w:t>
            </w:r>
          </w:p>
        </w:tc>
      </w:tr>
    </w:tbl>
    <w:p w14:paraId="26079A93" w14:textId="77777777" w:rsidR="005E27A5" w:rsidRPr="005E27A5" w:rsidRDefault="005E27A5" w:rsidP="005E27A5">
      <w:pPr>
        <w:spacing w:line="360" w:lineRule="auto"/>
        <w:jc w:val="both"/>
        <w:rPr>
          <w:rFonts w:ascii="Times New Roman" w:hAnsi="Times New Roman"/>
          <w:bCs/>
          <w:sz w:val="24"/>
          <w:szCs w:val="24"/>
        </w:rPr>
      </w:pPr>
      <w:r w:rsidRPr="005E27A5">
        <w:rPr>
          <w:rFonts w:ascii="Times New Roman" w:hAnsi="Times New Roman"/>
          <w:bCs/>
          <w:sz w:val="24"/>
          <w:szCs w:val="24"/>
        </w:rPr>
        <w:t>Because</w:t>
      </w:r>
      <w:r w:rsidRPr="005E27A5">
        <w:rPr>
          <w:rFonts w:ascii="Times New Roman" w:hAnsi="Times New Roman"/>
          <w:bCs/>
          <w:sz w:val="24"/>
          <w:szCs w:val="24"/>
        </w:rPr>
        <w:t> </w:t>
      </w:r>
      <w:r w:rsidRPr="005E27A5">
        <w:rPr>
          <w:rFonts w:ascii="Times New Roman" w:hAnsi="Times New Roman"/>
          <w:bCs/>
          <w:sz w:val="24"/>
          <w:szCs w:val="24"/>
        </w:rPr>
        <w:t>of prudent lending standards, the bank's in house limit is slightly less than the 15% cap. Of this, the exposure increased by 1.4%, indicating a limited</w:t>
      </w:r>
      <w:r w:rsidRPr="005E27A5">
        <w:rPr>
          <w:rFonts w:ascii="Times New Roman" w:hAnsi="Times New Roman"/>
          <w:bCs/>
          <w:sz w:val="24"/>
          <w:szCs w:val="24"/>
        </w:rPr>
        <w:t> </w:t>
      </w:r>
      <w:r w:rsidRPr="005E27A5">
        <w:rPr>
          <w:rFonts w:ascii="Times New Roman" w:hAnsi="Times New Roman"/>
          <w:bCs/>
          <w:sz w:val="24"/>
          <w:szCs w:val="24"/>
        </w:rPr>
        <w:t>increase in borrower concentration.</w:t>
      </w:r>
    </w:p>
    <w:p w14:paraId="0CC1C90E"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Product Diversification:</w:t>
      </w:r>
      <w:r w:rsidRPr="006751AF">
        <w:rPr>
          <w:rFonts w:ascii="Times New Roman" w:hAnsi="Times New Roman"/>
          <w:bCs/>
          <w:sz w:val="24"/>
          <w:szCs w:val="24"/>
        </w:rPr>
        <w:t xml:space="preserve"> To lessen reliance on any one product type, the mix consists of corporate loans, SME financing, retail products (credit cards, consumer loans, and mortgages), trade finance, and lease financing.</w:t>
      </w:r>
    </w:p>
    <w:tbl>
      <w:tblPr>
        <w:tblW w:w="7360" w:type="dxa"/>
        <w:jc w:val="center"/>
        <w:tblLook w:val="04A0" w:firstRow="1" w:lastRow="0" w:firstColumn="1" w:lastColumn="0" w:noHBand="0" w:noVBand="1"/>
      </w:tblPr>
      <w:tblGrid>
        <w:gridCol w:w="2560"/>
        <w:gridCol w:w="960"/>
        <w:gridCol w:w="960"/>
        <w:gridCol w:w="960"/>
        <w:gridCol w:w="960"/>
        <w:gridCol w:w="960"/>
      </w:tblGrid>
      <w:tr w:rsidR="00F16DF5" w:rsidRPr="006751AF" w14:paraId="54181205" w14:textId="77777777" w:rsidTr="001E3E58">
        <w:trPr>
          <w:trHeight w:val="300"/>
          <w:jc w:val="center"/>
        </w:trPr>
        <w:tc>
          <w:tcPr>
            <w:tcW w:w="2560" w:type="dxa"/>
            <w:tcBorders>
              <w:top w:val="single" w:sz="4" w:space="0" w:color="auto"/>
              <w:left w:val="single" w:sz="4" w:space="0" w:color="auto"/>
              <w:bottom w:val="single" w:sz="4" w:space="0" w:color="auto"/>
              <w:right w:val="single" w:sz="4" w:space="0" w:color="auto"/>
            </w:tcBorders>
            <w:noWrap/>
            <w:vAlign w:val="center"/>
            <w:hideMark/>
          </w:tcPr>
          <w:p w14:paraId="014AD4CA"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Product category</w:t>
            </w:r>
          </w:p>
        </w:tc>
        <w:tc>
          <w:tcPr>
            <w:tcW w:w="960" w:type="dxa"/>
            <w:tcBorders>
              <w:top w:val="single" w:sz="4" w:space="0" w:color="auto"/>
              <w:left w:val="nil"/>
              <w:bottom w:val="single" w:sz="4" w:space="0" w:color="auto"/>
              <w:right w:val="single" w:sz="4" w:space="0" w:color="auto"/>
            </w:tcBorders>
            <w:noWrap/>
            <w:vAlign w:val="center"/>
            <w:hideMark/>
          </w:tcPr>
          <w:p w14:paraId="2ED1ED6D"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noWrap/>
            <w:vAlign w:val="center"/>
            <w:hideMark/>
          </w:tcPr>
          <w:p w14:paraId="468E303C"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noWrap/>
            <w:vAlign w:val="center"/>
            <w:hideMark/>
          </w:tcPr>
          <w:p w14:paraId="57DD57A2"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noWrap/>
            <w:vAlign w:val="center"/>
            <w:hideMark/>
          </w:tcPr>
          <w:p w14:paraId="6177BE50"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noWrap/>
            <w:vAlign w:val="center"/>
            <w:hideMark/>
          </w:tcPr>
          <w:p w14:paraId="49CCE272"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026E06BF"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3A782528"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Corporate loans</w:t>
            </w:r>
          </w:p>
        </w:tc>
        <w:tc>
          <w:tcPr>
            <w:tcW w:w="960" w:type="dxa"/>
            <w:tcBorders>
              <w:top w:val="nil"/>
              <w:left w:val="nil"/>
              <w:bottom w:val="single" w:sz="4" w:space="0" w:color="auto"/>
              <w:right w:val="single" w:sz="4" w:space="0" w:color="auto"/>
            </w:tcBorders>
            <w:noWrap/>
            <w:vAlign w:val="center"/>
            <w:hideMark/>
          </w:tcPr>
          <w:p w14:paraId="2E36331E"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32%</w:t>
            </w:r>
          </w:p>
        </w:tc>
        <w:tc>
          <w:tcPr>
            <w:tcW w:w="960" w:type="dxa"/>
            <w:tcBorders>
              <w:top w:val="nil"/>
              <w:left w:val="nil"/>
              <w:bottom w:val="single" w:sz="4" w:space="0" w:color="auto"/>
              <w:right w:val="single" w:sz="4" w:space="0" w:color="auto"/>
            </w:tcBorders>
            <w:noWrap/>
            <w:vAlign w:val="center"/>
            <w:hideMark/>
          </w:tcPr>
          <w:p w14:paraId="7053D99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30%</w:t>
            </w:r>
          </w:p>
        </w:tc>
        <w:tc>
          <w:tcPr>
            <w:tcW w:w="960" w:type="dxa"/>
            <w:tcBorders>
              <w:top w:val="nil"/>
              <w:left w:val="nil"/>
              <w:bottom w:val="single" w:sz="4" w:space="0" w:color="auto"/>
              <w:right w:val="single" w:sz="4" w:space="0" w:color="auto"/>
            </w:tcBorders>
            <w:noWrap/>
            <w:vAlign w:val="center"/>
            <w:hideMark/>
          </w:tcPr>
          <w:p w14:paraId="5BCF71EF"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29%</w:t>
            </w:r>
          </w:p>
        </w:tc>
        <w:tc>
          <w:tcPr>
            <w:tcW w:w="960" w:type="dxa"/>
            <w:tcBorders>
              <w:top w:val="nil"/>
              <w:left w:val="nil"/>
              <w:bottom w:val="single" w:sz="4" w:space="0" w:color="auto"/>
              <w:right w:val="single" w:sz="4" w:space="0" w:color="auto"/>
            </w:tcBorders>
            <w:noWrap/>
            <w:vAlign w:val="center"/>
            <w:hideMark/>
          </w:tcPr>
          <w:p w14:paraId="4052D63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28%</w:t>
            </w:r>
          </w:p>
        </w:tc>
        <w:tc>
          <w:tcPr>
            <w:tcW w:w="960" w:type="dxa"/>
            <w:tcBorders>
              <w:top w:val="nil"/>
              <w:left w:val="nil"/>
              <w:bottom w:val="single" w:sz="4" w:space="0" w:color="auto"/>
              <w:right w:val="single" w:sz="4" w:space="0" w:color="auto"/>
            </w:tcBorders>
            <w:noWrap/>
            <w:vAlign w:val="center"/>
            <w:hideMark/>
          </w:tcPr>
          <w:p w14:paraId="44F191A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27%</w:t>
            </w:r>
          </w:p>
        </w:tc>
      </w:tr>
      <w:tr w:rsidR="00F16DF5" w:rsidRPr="006751AF" w14:paraId="4A8D1AEF"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520574A6"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SME financing</w:t>
            </w:r>
          </w:p>
        </w:tc>
        <w:tc>
          <w:tcPr>
            <w:tcW w:w="960" w:type="dxa"/>
            <w:tcBorders>
              <w:top w:val="nil"/>
              <w:left w:val="nil"/>
              <w:bottom w:val="single" w:sz="4" w:space="0" w:color="auto"/>
              <w:right w:val="single" w:sz="4" w:space="0" w:color="auto"/>
            </w:tcBorders>
            <w:noWrap/>
            <w:vAlign w:val="center"/>
            <w:hideMark/>
          </w:tcPr>
          <w:p w14:paraId="3658E50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20%</w:t>
            </w:r>
          </w:p>
        </w:tc>
        <w:tc>
          <w:tcPr>
            <w:tcW w:w="960" w:type="dxa"/>
            <w:tcBorders>
              <w:top w:val="nil"/>
              <w:left w:val="nil"/>
              <w:bottom w:val="single" w:sz="4" w:space="0" w:color="auto"/>
              <w:right w:val="single" w:sz="4" w:space="0" w:color="auto"/>
            </w:tcBorders>
            <w:noWrap/>
            <w:vAlign w:val="center"/>
            <w:hideMark/>
          </w:tcPr>
          <w:p w14:paraId="0B578E3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22%</w:t>
            </w:r>
          </w:p>
        </w:tc>
        <w:tc>
          <w:tcPr>
            <w:tcW w:w="960" w:type="dxa"/>
            <w:tcBorders>
              <w:top w:val="nil"/>
              <w:left w:val="nil"/>
              <w:bottom w:val="single" w:sz="4" w:space="0" w:color="auto"/>
              <w:right w:val="single" w:sz="4" w:space="0" w:color="auto"/>
            </w:tcBorders>
            <w:noWrap/>
            <w:vAlign w:val="center"/>
            <w:hideMark/>
          </w:tcPr>
          <w:p w14:paraId="38F7CF2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24%</w:t>
            </w:r>
          </w:p>
        </w:tc>
        <w:tc>
          <w:tcPr>
            <w:tcW w:w="960" w:type="dxa"/>
            <w:tcBorders>
              <w:top w:val="nil"/>
              <w:left w:val="nil"/>
              <w:bottom w:val="single" w:sz="4" w:space="0" w:color="auto"/>
              <w:right w:val="single" w:sz="4" w:space="0" w:color="auto"/>
            </w:tcBorders>
            <w:noWrap/>
            <w:vAlign w:val="center"/>
            <w:hideMark/>
          </w:tcPr>
          <w:p w14:paraId="15D3496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25%</w:t>
            </w:r>
          </w:p>
        </w:tc>
        <w:tc>
          <w:tcPr>
            <w:tcW w:w="960" w:type="dxa"/>
            <w:tcBorders>
              <w:top w:val="nil"/>
              <w:left w:val="nil"/>
              <w:bottom w:val="single" w:sz="4" w:space="0" w:color="auto"/>
              <w:right w:val="single" w:sz="4" w:space="0" w:color="auto"/>
            </w:tcBorders>
            <w:noWrap/>
            <w:vAlign w:val="center"/>
            <w:hideMark/>
          </w:tcPr>
          <w:p w14:paraId="65B4221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26%</w:t>
            </w:r>
          </w:p>
        </w:tc>
      </w:tr>
      <w:tr w:rsidR="00F16DF5" w:rsidRPr="006751AF" w14:paraId="4B29A3C7"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224F1459"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Retail products</w:t>
            </w:r>
          </w:p>
        </w:tc>
        <w:tc>
          <w:tcPr>
            <w:tcW w:w="960" w:type="dxa"/>
            <w:tcBorders>
              <w:top w:val="nil"/>
              <w:left w:val="nil"/>
              <w:bottom w:val="single" w:sz="4" w:space="0" w:color="auto"/>
              <w:right w:val="single" w:sz="4" w:space="0" w:color="auto"/>
            </w:tcBorders>
            <w:noWrap/>
            <w:vAlign w:val="center"/>
            <w:hideMark/>
          </w:tcPr>
          <w:p w14:paraId="4ECC65C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18%</w:t>
            </w:r>
          </w:p>
        </w:tc>
        <w:tc>
          <w:tcPr>
            <w:tcW w:w="960" w:type="dxa"/>
            <w:tcBorders>
              <w:top w:val="nil"/>
              <w:left w:val="nil"/>
              <w:bottom w:val="single" w:sz="4" w:space="0" w:color="auto"/>
              <w:right w:val="single" w:sz="4" w:space="0" w:color="auto"/>
            </w:tcBorders>
            <w:noWrap/>
            <w:vAlign w:val="center"/>
            <w:hideMark/>
          </w:tcPr>
          <w:p w14:paraId="1269A67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19%</w:t>
            </w:r>
          </w:p>
        </w:tc>
        <w:tc>
          <w:tcPr>
            <w:tcW w:w="960" w:type="dxa"/>
            <w:tcBorders>
              <w:top w:val="nil"/>
              <w:left w:val="nil"/>
              <w:bottom w:val="single" w:sz="4" w:space="0" w:color="auto"/>
              <w:right w:val="single" w:sz="4" w:space="0" w:color="auto"/>
            </w:tcBorders>
            <w:noWrap/>
            <w:vAlign w:val="center"/>
            <w:hideMark/>
          </w:tcPr>
          <w:p w14:paraId="7A24D46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20%</w:t>
            </w:r>
          </w:p>
        </w:tc>
        <w:tc>
          <w:tcPr>
            <w:tcW w:w="960" w:type="dxa"/>
            <w:tcBorders>
              <w:top w:val="nil"/>
              <w:left w:val="nil"/>
              <w:bottom w:val="single" w:sz="4" w:space="0" w:color="auto"/>
              <w:right w:val="single" w:sz="4" w:space="0" w:color="auto"/>
            </w:tcBorders>
            <w:noWrap/>
            <w:vAlign w:val="center"/>
            <w:hideMark/>
          </w:tcPr>
          <w:p w14:paraId="71F5B98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21%</w:t>
            </w:r>
          </w:p>
        </w:tc>
        <w:tc>
          <w:tcPr>
            <w:tcW w:w="960" w:type="dxa"/>
            <w:tcBorders>
              <w:top w:val="nil"/>
              <w:left w:val="nil"/>
              <w:bottom w:val="single" w:sz="4" w:space="0" w:color="auto"/>
              <w:right w:val="single" w:sz="4" w:space="0" w:color="auto"/>
            </w:tcBorders>
            <w:noWrap/>
            <w:vAlign w:val="center"/>
            <w:hideMark/>
          </w:tcPr>
          <w:p w14:paraId="7ADB53C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22%</w:t>
            </w:r>
          </w:p>
        </w:tc>
      </w:tr>
      <w:tr w:rsidR="00F16DF5" w:rsidRPr="006751AF" w14:paraId="1BE7D5F3"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177CE2D6"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Trade finance</w:t>
            </w:r>
          </w:p>
        </w:tc>
        <w:tc>
          <w:tcPr>
            <w:tcW w:w="960" w:type="dxa"/>
            <w:tcBorders>
              <w:top w:val="nil"/>
              <w:left w:val="nil"/>
              <w:bottom w:val="single" w:sz="4" w:space="0" w:color="auto"/>
              <w:right w:val="single" w:sz="4" w:space="0" w:color="auto"/>
            </w:tcBorders>
            <w:noWrap/>
            <w:vAlign w:val="center"/>
            <w:hideMark/>
          </w:tcPr>
          <w:p w14:paraId="2D16E18B"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15%</w:t>
            </w:r>
          </w:p>
        </w:tc>
        <w:tc>
          <w:tcPr>
            <w:tcW w:w="960" w:type="dxa"/>
            <w:tcBorders>
              <w:top w:val="nil"/>
              <w:left w:val="nil"/>
              <w:bottom w:val="single" w:sz="4" w:space="0" w:color="auto"/>
              <w:right w:val="single" w:sz="4" w:space="0" w:color="auto"/>
            </w:tcBorders>
            <w:noWrap/>
            <w:vAlign w:val="center"/>
            <w:hideMark/>
          </w:tcPr>
          <w:p w14:paraId="61D75501"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w:t>
            </w:r>
          </w:p>
        </w:tc>
        <w:tc>
          <w:tcPr>
            <w:tcW w:w="960" w:type="dxa"/>
            <w:tcBorders>
              <w:top w:val="nil"/>
              <w:left w:val="nil"/>
              <w:bottom w:val="single" w:sz="4" w:space="0" w:color="auto"/>
              <w:right w:val="single" w:sz="4" w:space="0" w:color="auto"/>
            </w:tcBorders>
            <w:noWrap/>
            <w:vAlign w:val="center"/>
            <w:hideMark/>
          </w:tcPr>
          <w:p w14:paraId="1CE4FA7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13%</w:t>
            </w:r>
          </w:p>
        </w:tc>
        <w:tc>
          <w:tcPr>
            <w:tcW w:w="960" w:type="dxa"/>
            <w:tcBorders>
              <w:top w:val="nil"/>
              <w:left w:val="nil"/>
              <w:bottom w:val="single" w:sz="4" w:space="0" w:color="auto"/>
              <w:right w:val="single" w:sz="4" w:space="0" w:color="auto"/>
            </w:tcBorders>
            <w:noWrap/>
            <w:vAlign w:val="center"/>
            <w:hideMark/>
          </w:tcPr>
          <w:p w14:paraId="17690DF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12%</w:t>
            </w:r>
          </w:p>
        </w:tc>
        <w:tc>
          <w:tcPr>
            <w:tcW w:w="960" w:type="dxa"/>
            <w:tcBorders>
              <w:top w:val="nil"/>
              <w:left w:val="nil"/>
              <w:bottom w:val="single" w:sz="4" w:space="0" w:color="auto"/>
              <w:right w:val="single" w:sz="4" w:space="0" w:color="auto"/>
            </w:tcBorders>
            <w:noWrap/>
            <w:vAlign w:val="center"/>
            <w:hideMark/>
          </w:tcPr>
          <w:p w14:paraId="344A27DB"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11%</w:t>
            </w:r>
          </w:p>
        </w:tc>
      </w:tr>
      <w:tr w:rsidR="00F16DF5" w:rsidRPr="006751AF" w14:paraId="64069A20"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28079981"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Lease financing</w:t>
            </w:r>
          </w:p>
        </w:tc>
        <w:tc>
          <w:tcPr>
            <w:tcW w:w="960" w:type="dxa"/>
            <w:tcBorders>
              <w:top w:val="nil"/>
              <w:left w:val="nil"/>
              <w:bottom w:val="single" w:sz="4" w:space="0" w:color="auto"/>
              <w:right w:val="single" w:sz="4" w:space="0" w:color="auto"/>
            </w:tcBorders>
            <w:noWrap/>
            <w:vAlign w:val="center"/>
            <w:hideMark/>
          </w:tcPr>
          <w:p w14:paraId="4698B59E"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15%</w:t>
            </w:r>
          </w:p>
        </w:tc>
        <w:tc>
          <w:tcPr>
            <w:tcW w:w="960" w:type="dxa"/>
            <w:tcBorders>
              <w:top w:val="nil"/>
              <w:left w:val="nil"/>
              <w:bottom w:val="single" w:sz="4" w:space="0" w:color="auto"/>
              <w:right w:val="single" w:sz="4" w:space="0" w:color="auto"/>
            </w:tcBorders>
            <w:noWrap/>
            <w:vAlign w:val="center"/>
            <w:hideMark/>
          </w:tcPr>
          <w:p w14:paraId="6B7C3A60"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15%</w:t>
            </w:r>
          </w:p>
        </w:tc>
        <w:tc>
          <w:tcPr>
            <w:tcW w:w="960" w:type="dxa"/>
            <w:tcBorders>
              <w:top w:val="nil"/>
              <w:left w:val="nil"/>
              <w:bottom w:val="single" w:sz="4" w:space="0" w:color="auto"/>
              <w:right w:val="single" w:sz="4" w:space="0" w:color="auto"/>
            </w:tcBorders>
            <w:noWrap/>
            <w:vAlign w:val="center"/>
            <w:hideMark/>
          </w:tcPr>
          <w:p w14:paraId="17D855C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w:t>
            </w:r>
          </w:p>
        </w:tc>
        <w:tc>
          <w:tcPr>
            <w:tcW w:w="960" w:type="dxa"/>
            <w:tcBorders>
              <w:top w:val="nil"/>
              <w:left w:val="nil"/>
              <w:bottom w:val="single" w:sz="4" w:space="0" w:color="auto"/>
              <w:right w:val="single" w:sz="4" w:space="0" w:color="auto"/>
            </w:tcBorders>
            <w:noWrap/>
            <w:vAlign w:val="center"/>
            <w:hideMark/>
          </w:tcPr>
          <w:p w14:paraId="615EC81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w:t>
            </w:r>
          </w:p>
        </w:tc>
        <w:tc>
          <w:tcPr>
            <w:tcW w:w="960" w:type="dxa"/>
            <w:tcBorders>
              <w:top w:val="nil"/>
              <w:left w:val="nil"/>
              <w:bottom w:val="single" w:sz="4" w:space="0" w:color="auto"/>
              <w:right w:val="single" w:sz="4" w:space="0" w:color="auto"/>
            </w:tcBorders>
            <w:noWrap/>
            <w:vAlign w:val="center"/>
            <w:hideMark/>
          </w:tcPr>
          <w:p w14:paraId="0C2E372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14%</w:t>
            </w:r>
          </w:p>
        </w:tc>
      </w:tr>
    </w:tbl>
    <w:p w14:paraId="6C5397FC" w14:textId="77777777" w:rsidR="005E27A5" w:rsidRPr="00903DDA" w:rsidRDefault="005E27A5" w:rsidP="00903DDA">
      <w:pPr>
        <w:spacing w:line="360" w:lineRule="auto"/>
        <w:jc w:val="both"/>
        <w:rPr>
          <w:rFonts w:ascii="Times New Roman" w:hAnsi="Times New Roman"/>
          <w:sz w:val="24"/>
          <w:szCs w:val="24"/>
        </w:rPr>
      </w:pPr>
      <w:r w:rsidRPr="00903DDA">
        <w:rPr>
          <w:rFonts w:ascii="Times New Roman" w:hAnsi="Times New Roman"/>
          <w:sz w:val="24"/>
          <w:szCs w:val="24"/>
        </w:rPr>
        <w:t>It reflects a proportionate reduction in trade-financing and corporate lending, as well as growing emphasis on</w:t>
      </w:r>
      <w:r w:rsidRPr="00903DDA">
        <w:rPr>
          <w:rFonts w:ascii="Times New Roman" w:hAnsi="Times New Roman"/>
          <w:sz w:val="24"/>
          <w:szCs w:val="24"/>
        </w:rPr>
        <w:t> </w:t>
      </w:r>
      <w:r w:rsidRPr="00903DDA">
        <w:rPr>
          <w:rFonts w:ascii="Times New Roman" w:hAnsi="Times New Roman"/>
          <w:sz w:val="24"/>
          <w:szCs w:val="24"/>
        </w:rPr>
        <w:t>SME (small business) financing and retail products such as credit cards or mortgages. Lease financing remains more</w:t>
      </w:r>
      <w:r w:rsidRPr="00903DDA">
        <w:rPr>
          <w:rFonts w:ascii="Times New Roman" w:hAnsi="Times New Roman"/>
          <w:sz w:val="24"/>
          <w:szCs w:val="24"/>
        </w:rPr>
        <w:t> </w:t>
      </w:r>
      <w:r w:rsidRPr="00903DDA">
        <w:rPr>
          <w:rFonts w:ascii="Times New Roman" w:hAnsi="Times New Roman"/>
          <w:sz w:val="24"/>
          <w:szCs w:val="24"/>
        </w:rPr>
        <w:t>or less stable over time. There is less dependence on any one product category due to the diversification</w:t>
      </w:r>
      <w:r w:rsidRPr="00903DDA">
        <w:rPr>
          <w:rFonts w:ascii="Times New Roman" w:hAnsi="Times New Roman"/>
          <w:sz w:val="24"/>
          <w:szCs w:val="24"/>
        </w:rPr>
        <w:t> </w:t>
      </w:r>
      <w:r w:rsidRPr="00903DDA">
        <w:rPr>
          <w:rFonts w:ascii="Times New Roman" w:hAnsi="Times New Roman"/>
          <w:sz w:val="24"/>
          <w:szCs w:val="24"/>
        </w:rPr>
        <w:t>plan.</w:t>
      </w:r>
    </w:p>
    <w:p w14:paraId="5DFAA0FF" w14:textId="77777777" w:rsidR="00F16DF5" w:rsidRPr="003C682B" w:rsidRDefault="00F16DF5" w:rsidP="00E94B0F">
      <w:pPr>
        <w:pStyle w:val="Heading2"/>
        <w:rPr>
          <w:rFonts w:ascii="Times New Roman" w:hAnsi="Times New Roman" w:cs="Times New Roman"/>
          <w:b/>
          <w:sz w:val="24"/>
          <w:szCs w:val="24"/>
        </w:rPr>
      </w:pPr>
      <w:bookmarkStart w:id="44" w:name="_Toc214949036"/>
      <w:r w:rsidRPr="003C682B">
        <w:rPr>
          <w:rFonts w:ascii="Times New Roman" w:hAnsi="Times New Roman" w:cs="Times New Roman"/>
          <w:b/>
          <w:sz w:val="24"/>
          <w:szCs w:val="24"/>
        </w:rPr>
        <w:t>4.1.5 Provisioning and Write-off Policies</w:t>
      </w:r>
      <w:bookmarkEnd w:id="44"/>
    </w:p>
    <w:p w14:paraId="72FF399D" w14:textId="77777777" w:rsidR="005E27A5" w:rsidRPr="005E27A5" w:rsidRDefault="005E27A5" w:rsidP="005E27A5">
      <w:pPr>
        <w:spacing w:line="360" w:lineRule="auto"/>
        <w:jc w:val="both"/>
        <w:rPr>
          <w:rFonts w:ascii="Times New Roman" w:hAnsi="Times New Roman"/>
          <w:bCs/>
          <w:sz w:val="24"/>
          <w:szCs w:val="24"/>
        </w:rPr>
      </w:pPr>
      <w:r w:rsidRPr="005E27A5">
        <w:rPr>
          <w:rFonts w:ascii="Times New Roman" w:hAnsi="Times New Roman"/>
          <w:bCs/>
          <w:sz w:val="24"/>
          <w:szCs w:val="24"/>
        </w:rPr>
        <w:t>Whenever the management perceives increased risks on any financial exposure or in any industry,</w:t>
      </w:r>
      <w:r w:rsidRPr="005E27A5">
        <w:rPr>
          <w:rFonts w:ascii="Times New Roman" w:hAnsi="Times New Roman"/>
          <w:bCs/>
          <w:sz w:val="24"/>
          <w:szCs w:val="24"/>
        </w:rPr>
        <w:t> </w:t>
      </w:r>
      <w:r w:rsidRPr="005E27A5">
        <w:rPr>
          <w:rFonts w:ascii="Times New Roman" w:hAnsi="Times New Roman"/>
          <w:bCs/>
          <w:sz w:val="24"/>
          <w:szCs w:val="24"/>
        </w:rPr>
        <w:t>Dhaka Bank keeps higher provisions more than specified by regulatory minimum. While</w:t>
      </w:r>
      <w:r w:rsidRPr="005E27A5">
        <w:rPr>
          <w:rFonts w:ascii="Times New Roman" w:hAnsi="Times New Roman"/>
          <w:bCs/>
          <w:sz w:val="24"/>
          <w:szCs w:val="24"/>
        </w:rPr>
        <w:t> </w:t>
      </w:r>
      <w:r w:rsidRPr="005E27A5">
        <w:rPr>
          <w:rFonts w:ascii="Times New Roman" w:hAnsi="Times New Roman"/>
          <w:bCs/>
          <w:sz w:val="24"/>
          <w:szCs w:val="24"/>
        </w:rPr>
        <w:t>the bank is preparing for IFRS 9 expected credit loss methodology, the provisioning methodology continues to follow an incurred loss model.</w:t>
      </w:r>
    </w:p>
    <w:p w14:paraId="44523A37" w14:textId="77777777" w:rsidR="005E27A5" w:rsidRPr="005E27A5" w:rsidRDefault="005E27A5" w:rsidP="005E27A5">
      <w:pPr>
        <w:spacing w:line="360" w:lineRule="auto"/>
        <w:jc w:val="both"/>
        <w:rPr>
          <w:rFonts w:ascii="Times New Roman" w:hAnsi="Times New Roman"/>
          <w:bCs/>
          <w:sz w:val="24"/>
          <w:szCs w:val="24"/>
        </w:rPr>
      </w:pPr>
      <w:r w:rsidRPr="005E27A5">
        <w:rPr>
          <w:rFonts w:ascii="Times New Roman" w:hAnsi="Times New Roman"/>
          <w:bCs/>
          <w:sz w:val="24"/>
          <w:szCs w:val="24"/>
        </w:rPr>
        <w:lastRenderedPageBreak/>
        <w:t>Write-offs occur when all reasonable collection attempts have been exhausted, and the loans are deemed to</w:t>
      </w:r>
      <w:r w:rsidRPr="005E27A5">
        <w:rPr>
          <w:rFonts w:ascii="Times New Roman" w:hAnsi="Times New Roman"/>
          <w:bCs/>
          <w:sz w:val="24"/>
          <w:szCs w:val="24"/>
        </w:rPr>
        <w:t> </w:t>
      </w:r>
      <w:r w:rsidRPr="005E27A5">
        <w:rPr>
          <w:rFonts w:ascii="Times New Roman" w:hAnsi="Times New Roman"/>
          <w:bCs/>
          <w:sz w:val="24"/>
          <w:szCs w:val="24"/>
        </w:rPr>
        <w:t>be uncollectible. The bank keeps pursuing legal</w:t>
      </w:r>
      <w:r w:rsidRPr="005E27A5">
        <w:rPr>
          <w:rFonts w:ascii="Times New Roman" w:hAnsi="Times New Roman"/>
          <w:bCs/>
          <w:sz w:val="24"/>
          <w:szCs w:val="24"/>
        </w:rPr>
        <w:t> </w:t>
      </w:r>
      <w:r w:rsidRPr="005E27A5">
        <w:rPr>
          <w:rFonts w:ascii="Times New Roman" w:hAnsi="Times New Roman"/>
          <w:bCs/>
          <w:sz w:val="24"/>
          <w:szCs w:val="24"/>
        </w:rPr>
        <w:t>recovery, even after a write-off. Collected written-off payments are recognized as revenue over the period</w:t>
      </w:r>
      <w:r w:rsidRPr="005E27A5">
        <w:rPr>
          <w:rFonts w:ascii="Times New Roman" w:hAnsi="Times New Roman"/>
          <w:bCs/>
          <w:sz w:val="24"/>
          <w:szCs w:val="24"/>
        </w:rPr>
        <w:t> </w:t>
      </w:r>
      <w:r w:rsidRPr="005E27A5">
        <w:rPr>
          <w:rFonts w:ascii="Times New Roman" w:hAnsi="Times New Roman"/>
          <w:bCs/>
          <w:sz w:val="24"/>
          <w:szCs w:val="24"/>
        </w:rPr>
        <w:t>of recovery.</w:t>
      </w:r>
    </w:p>
    <w:p w14:paraId="21902553" w14:textId="77777777" w:rsidR="00F16DF5" w:rsidRDefault="00F16DF5" w:rsidP="00D527E4">
      <w:pPr>
        <w:pStyle w:val="Heading1"/>
        <w:jc w:val="left"/>
        <w:rPr>
          <w:rFonts w:ascii="Times New Roman" w:hAnsi="Times New Roman" w:cs="Times New Roman"/>
          <w:sz w:val="28"/>
        </w:rPr>
      </w:pPr>
      <w:bookmarkStart w:id="45" w:name="_Toc214949037"/>
      <w:r w:rsidRPr="003C682B">
        <w:rPr>
          <w:rFonts w:ascii="Times New Roman" w:hAnsi="Times New Roman" w:cs="Times New Roman"/>
          <w:sz w:val="28"/>
        </w:rPr>
        <w:t>4.2 Liquidity Risk Management</w:t>
      </w:r>
      <w:bookmarkEnd w:id="45"/>
    </w:p>
    <w:p w14:paraId="31F4B6B9" w14:textId="77777777" w:rsidR="004626B4" w:rsidRPr="004626B4" w:rsidRDefault="004626B4" w:rsidP="004626B4"/>
    <w:p w14:paraId="14129B52" w14:textId="77777777" w:rsidR="00B43088" w:rsidRPr="00903DDA" w:rsidRDefault="00B43088" w:rsidP="00903DDA">
      <w:pPr>
        <w:spacing w:line="360" w:lineRule="auto"/>
        <w:jc w:val="both"/>
        <w:rPr>
          <w:rFonts w:ascii="Times New Roman" w:hAnsi="Times New Roman"/>
          <w:sz w:val="24"/>
          <w:szCs w:val="24"/>
        </w:rPr>
      </w:pPr>
      <w:r w:rsidRPr="00903DDA">
        <w:rPr>
          <w:rFonts w:ascii="Times New Roman" w:hAnsi="Times New Roman"/>
          <w:sz w:val="24"/>
          <w:szCs w:val="24"/>
        </w:rPr>
        <w:t>With the</w:t>
      </w:r>
      <w:r w:rsidRPr="00903DDA">
        <w:rPr>
          <w:rFonts w:ascii="Times New Roman" w:hAnsi="Times New Roman"/>
          <w:sz w:val="24"/>
          <w:szCs w:val="24"/>
        </w:rPr>
        <w:t> </w:t>
      </w:r>
      <w:r w:rsidRPr="00903DDA">
        <w:rPr>
          <w:rFonts w:ascii="Times New Roman" w:hAnsi="Times New Roman"/>
          <w:sz w:val="24"/>
          <w:szCs w:val="24"/>
        </w:rPr>
        <w:t>liquidity management, the bank is able to fulfill its dues on time and without incurring unbearable losses.</w:t>
      </w:r>
    </w:p>
    <w:p w14:paraId="28DD508A" w14:textId="77777777" w:rsidR="00F16DF5" w:rsidRPr="003C682B" w:rsidRDefault="00F16DF5" w:rsidP="00D527E4">
      <w:pPr>
        <w:pStyle w:val="Heading2"/>
        <w:rPr>
          <w:rFonts w:ascii="Times New Roman" w:hAnsi="Times New Roman" w:cs="Times New Roman"/>
          <w:b/>
          <w:color w:val="4F81BD" w:themeColor="accent1"/>
          <w:sz w:val="24"/>
          <w:szCs w:val="24"/>
        </w:rPr>
      </w:pPr>
      <w:bookmarkStart w:id="46" w:name="_Toc214949038"/>
      <w:r w:rsidRPr="003C682B">
        <w:rPr>
          <w:rFonts w:ascii="Times New Roman" w:hAnsi="Times New Roman" w:cs="Times New Roman"/>
          <w:b/>
          <w:color w:val="4F81BD" w:themeColor="accent1"/>
          <w:sz w:val="24"/>
          <w:szCs w:val="24"/>
        </w:rPr>
        <w:t>4.2.1 Liquidity Ratios and Regulatory Compliance</w:t>
      </w:r>
      <w:bookmarkEnd w:id="46"/>
    </w:p>
    <w:p w14:paraId="4D677701"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Liquidity Coverage Ratio (LCR):</w:t>
      </w:r>
      <w:r w:rsidRPr="006751AF">
        <w:rPr>
          <w:rFonts w:ascii="Times New Roman" w:hAnsi="Times New Roman"/>
          <w:bCs/>
          <w:sz w:val="24"/>
          <w:szCs w:val="24"/>
        </w:rPr>
        <w:t xml:space="preserve"> </w:t>
      </w:r>
      <w:r w:rsidR="00B43088" w:rsidRPr="00B43088">
        <w:rPr>
          <w:rFonts w:ascii="Times New Roman" w:hAnsi="Times New Roman"/>
          <w:bCs/>
          <w:sz w:val="24"/>
          <w:szCs w:val="24"/>
        </w:rPr>
        <w:t>Dhaka Bank maintains LCR above 100%, which was maintained well above regulatory requirement of 100%. The bank’s LCR in 2023 was 135%</w:t>
      </w:r>
      <w:r w:rsidR="00B43088" w:rsidRPr="00B43088">
        <w:rPr>
          <w:rFonts w:ascii="Times New Roman" w:hAnsi="Times New Roman"/>
          <w:bCs/>
          <w:sz w:val="24"/>
          <w:szCs w:val="24"/>
        </w:rPr>
        <w:t> </w:t>
      </w:r>
      <w:r w:rsidR="00B43088" w:rsidRPr="00B43088">
        <w:rPr>
          <w:rFonts w:ascii="Times New Roman" w:hAnsi="Times New Roman"/>
          <w:bCs/>
          <w:sz w:val="24"/>
          <w:szCs w:val="24"/>
        </w:rPr>
        <w:t>indicating ample short-term liquidity coverage. Cash, reserves with Bangladesh Bank and</w:t>
      </w:r>
      <w:r w:rsidR="00B43088" w:rsidRPr="00B43088">
        <w:rPr>
          <w:rFonts w:ascii="Times New Roman" w:hAnsi="Times New Roman"/>
          <w:bCs/>
          <w:sz w:val="24"/>
          <w:szCs w:val="24"/>
        </w:rPr>
        <w:t> </w:t>
      </w:r>
      <w:r w:rsidR="00B43088" w:rsidRPr="00B43088">
        <w:rPr>
          <w:rFonts w:ascii="Times New Roman" w:hAnsi="Times New Roman"/>
          <w:bCs/>
          <w:sz w:val="24"/>
          <w:szCs w:val="24"/>
        </w:rPr>
        <w:t>treasury bills are the bank’s high quality liquid assets.</w:t>
      </w:r>
    </w:p>
    <w:tbl>
      <w:tblPr>
        <w:tblW w:w="6160" w:type="dxa"/>
        <w:jc w:val="center"/>
        <w:tblLook w:val="04A0" w:firstRow="1" w:lastRow="0" w:firstColumn="1" w:lastColumn="0" w:noHBand="0" w:noVBand="1"/>
      </w:tblPr>
      <w:tblGrid>
        <w:gridCol w:w="1360"/>
        <w:gridCol w:w="960"/>
        <w:gridCol w:w="960"/>
        <w:gridCol w:w="960"/>
        <w:gridCol w:w="960"/>
        <w:gridCol w:w="960"/>
      </w:tblGrid>
      <w:tr w:rsidR="00F16DF5" w:rsidRPr="006751AF" w14:paraId="05EA0569" w14:textId="77777777" w:rsidTr="001E3E58">
        <w:trPr>
          <w:trHeight w:val="315"/>
          <w:jc w:val="center"/>
        </w:trPr>
        <w:tc>
          <w:tcPr>
            <w:tcW w:w="1360" w:type="dxa"/>
            <w:tcBorders>
              <w:top w:val="single" w:sz="4" w:space="0" w:color="auto"/>
              <w:left w:val="single" w:sz="4" w:space="0" w:color="auto"/>
              <w:bottom w:val="single" w:sz="4" w:space="0" w:color="auto"/>
              <w:right w:val="single" w:sz="4" w:space="0" w:color="auto"/>
            </w:tcBorders>
            <w:noWrap/>
            <w:vAlign w:val="bottom"/>
            <w:hideMark/>
          </w:tcPr>
          <w:p w14:paraId="154D3609"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bottom"/>
            <w:hideMark/>
          </w:tcPr>
          <w:p w14:paraId="4E1EB47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4" w:space="0" w:color="auto"/>
              <w:left w:val="nil"/>
              <w:bottom w:val="single" w:sz="4" w:space="0" w:color="auto"/>
              <w:right w:val="single" w:sz="4" w:space="0" w:color="auto"/>
            </w:tcBorders>
            <w:noWrap/>
            <w:vAlign w:val="bottom"/>
            <w:hideMark/>
          </w:tcPr>
          <w:p w14:paraId="0AFEE24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bottom"/>
            <w:hideMark/>
          </w:tcPr>
          <w:p w14:paraId="6F3A659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bottom"/>
            <w:hideMark/>
          </w:tcPr>
          <w:p w14:paraId="2E5983B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bottom"/>
            <w:hideMark/>
          </w:tcPr>
          <w:p w14:paraId="3B1DEBC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34C520CC" w14:textId="77777777" w:rsidTr="001E3E58">
        <w:trPr>
          <w:trHeight w:val="315"/>
          <w:jc w:val="center"/>
        </w:trPr>
        <w:tc>
          <w:tcPr>
            <w:tcW w:w="1360" w:type="dxa"/>
            <w:tcBorders>
              <w:top w:val="nil"/>
              <w:left w:val="single" w:sz="4" w:space="0" w:color="auto"/>
              <w:bottom w:val="single" w:sz="4" w:space="0" w:color="auto"/>
              <w:right w:val="single" w:sz="4" w:space="0" w:color="auto"/>
            </w:tcBorders>
            <w:noWrap/>
            <w:vAlign w:val="bottom"/>
            <w:hideMark/>
          </w:tcPr>
          <w:p w14:paraId="7DDE4CC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LCR (%)</w:t>
            </w:r>
          </w:p>
        </w:tc>
        <w:tc>
          <w:tcPr>
            <w:tcW w:w="960" w:type="dxa"/>
            <w:tcBorders>
              <w:top w:val="nil"/>
              <w:left w:val="nil"/>
              <w:bottom w:val="single" w:sz="4" w:space="0" w:color="auto"/>
              <w:right w:val="single" w:sz="4" w:space="0" w:color="auto"/>
            </w:tcBorders>
            <w:noWrap/>
            <w:vAlign w:val="bottom"/>
            <w:hideMark/>
          </w:tcPr>
          <w:p w14:paraId="5433907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135%</w:t>
            </w:r>
          </w:p>
        </w:tc>
        <w:tc>
          <w:tcPr>
            <w:tcW w:w="960" w:type="dxa"/>
            <w:tcBorders>
              <w:top w:val="nil"/>
              <w:left w:val="nil"/>
              <w:bottom w:val="single" w:sz="4" w:space="0" w:color="auto"/>
              <w:right w:val="single" w:sz="4" w:space="0" w:color="auto"/>
            </w:tcBorders>
            <w:noWrap/>
            <w:vAlign w:val="bottom"/>
            <w:hideMark/>
          </w:tcPr>
          <w:p w14:paraId="593AAF0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132%</w:t>
            </w:r>
          </w:p>
        </w:tc>
        <w:tc>
          <w:tcPr>
            <w:tcW w:w="960" w:type="dxa"/>
            <w:tcBorders>
              <w:top w:val="nil"/>
              <w:left w:val="nil"/>
              <w:bottom w:val="single" w:sz="4" w:space="0" w:color="auto"/>
              <w:right w:val="single" w:sz="4" w:space="0" w:color="auto"/>
            </w:tcBorders>
            <w:noWrap/>
            <w:vAlign w:val="bottom"/>
            <w:hideMark/>
          </w:tcPr>
          <w:p w14:paraId="3B58778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130%</w:t>
            </w:r>
          </w:p>
        </w:tc>
        <w:tc>
          <w:tcPr>
            <w:tcW w:w="960" w:type="dxa"/>
            <w:tcBorders>
              <w:top w:val="nil"/>
              <w:left w:val="nil"/>
              <w:bottom w:val="single" w:sz="4" w:space="0" w:color="auto"/>
              <w:right w:val="single" w:sz="4" w:space="0" w:color="auto"/>
            </w:tcBorders>
            <w:noWrap/>
            <w:vAlign w:val="bottom"/>
            <w:hideMark/>
          </w:tcPr>
          <w:p w14:paraId="4BEF534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125%</w:t>
            </w:r>
          </w:p>
        </w:tc>
        <w:tc>
          <w:tcPr>
            <w:tcW w:w="960" w:type="dxa"/>
            <w:tcBorders>
              <w:top w:val="nil"/>
              <w:left w:val="nil"/>
              <w:bottom w:val="single" w:sz="4" w:space="0" w:color="auto"/>
              <w:right w:val="single" w:sz="4" w:space="0" w:color="auto"/>
            </w:tcBorders>
            <w:noWrap/>
            <w:vAlign w:val="bottom"/>
            <w:hideMark/>
          </w:tcPr>
          <w:p w14:paraId="375AE30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118%</w:t>
            </w:r>
          </w:p>
        </w:tc>
      </w:tr>
    </w:tbl>
    <w:p w14:paraId="0987F8FF" w14:textId="77777777" w:rsidR="00B43088" w:rsidRPr="00B43088" w:rsidRDefault="00B43088" w:rsidP="00B43088">
      <w:pPr>
        <w:spacing w:line="360" w:lineRule="auto"/>
        <w:jc w:val="both"/>
        <w:rPr>
          <w:rFonts w:ascii="Times New Roman" w:hAnsi="Times New Roman"/>
          <w:bCs/>
          <w:sz w:val="24"/>
          <w:szCs w:val="24"/>
        </w:rPr>
      </w:pPr>
      <w:r w:rsidRPr="00B43088">
        <w:rPr>
          <w:rFonts w:ascii="Times New Roman" w:hAnsi="Times New Roman"/>
          <w:bCs/>
          <w:sz w:val="24"/>
          <w:szCs w:val="24"/>
        </w:rPr>
        <w:t>Liquidity Coverage Ratio continues to consistently exceed regulatory minimum with upward trend, indicating</w:t>
      </w:r>
      <w:r w:rsidRPr="00B43088">
        <w:rPr>
          <w:rFonts w:ascii="Times New Roman" w:hAnsi="Times New Roman"/>
          <w:bCs/>
          <w:sz w:val="24"/>
          <w:szCs w:val="24"/>
        </w:rPr>
        <w:t> </w:t>
      </w:r>
      <w:r w:rsidRPr="00B43088">
        <w:rPr>
          <w:rFonts w:ascii="Times New Roman" w:hAnsi="Times New Roman"/>
          <w:bCs/>
          <w:sz w:val="24"/>
          <w:szCs w:val="24"/>
        </w:rPr>
        <w:t>strong liquidity management. The bank has achieved a reasonable relationship between</w:t>
      </w:r>
      <w:r w:rsidRPr="00B43088">
        <w:rPr>
          <w:rFonts w:ascii="Times New Roman" w:hAnsi="Times New Roman"/>
          <w:bCs/>
          <w:sz w:val="24"/>
          <w:szCs w:val="24"/>
        </w:rPr>
        <w:t> </w:t>
      </w:r>
      <w:r w:rsidRPr="00B43088">
        <w:rPr>
          <w:rFonts w:ascii="Times New Roman" w:hAnsi="Times New Roman"/>
          <w:bCs/>
          <w:sz w:val="24"/>
          <w:szCs w:val="24"/>
        </w:rPr>
        <w:t>its profit and liquidity objectives.</w:t>
      </w:r>
    </w:p>
    <w:p w14:paraId="4067FBAB"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Net Stable Funding Ratio (NSFR):</w:t>
      </w:r>
      <w:r w:rsidRPr="006751AF">
        <w:rPr>
          <w:rFonts w:ascii="Times New Roman" w:hAnsi="Times New Roman"/>
          <w:bCs/>
          <w:sz w:val="24"/>
          <w:szCs w:val="24"/>
        </w:rPr>
        <w:t xml:space="preserve"> </w:t>
      </w:r>
      <w:r w:rsidR="00B43088" w:rsidRPr="00B43088">
        <w:rPr>
          <w:rFonts w:ascii="Times New Roman" w:hAnsi="Times New Roman"/>
          <w:bCs/>
          <w:sz w:val="24"/>
          <w:szCs w:val="24"/>
        </w:rPr>
        <w:t>The bank's NSFR on December 31, 2023 of 118% demonstrates</w:t>
      </w:r>
      <w:r w:rsidR="00B43088" w:rsidRPr="00B43088">
        <w:rPr>
          <w:rFonts w:ascii="Times New Roman" w:hAnsi="Times New Roman"/>
          <w:bCs/>
          <w:sz w:val="24"/>
          <w:szCs w:val="24"/>
        </w:rPr>
        <w:t> </w:t>
      </w:r>
      <w:r w:rsidR="00B43088" w:rsidRPr="00B43088">
        <w:rPr>
          <w:rFonts w:ascii="Times New Roman" w:hAnsi="Times New Roman"/>
          <w:bCs/>
          <w:sz w:val="24"/>
          <w:szCs w:val="24"/>
        </w:rPr>
        <w:t>a stable funding profile above the minimum 100%. This</w:t>
      </w:r>
      <w:r w:rsidR="00B43088" w:rsidRPr="00B43088">
        <w:rPr>
          <w:rFonts w:ascii="Times New Roman" w:hAnsi="Times New Roman"/>
          <w:bCs/>
          <w:sz w:val="24"/>
          <w:szCs w:val="24"/>
        </w:rPr>
        <w:t> </w:t>
      </w:r>
      <w:r w:rsidR="00B43088" w:rsidRPr="00B43088">
        <w:rPr>
          <w:rFonts w:ascii="Times New Roman" w:hAnsi="Times New Roman"/>
          <w:bCs/>
          <w:sz w:val="24"/>
          <w:szCs w:val="24"/>
        </w:rPr>
        <w:t>ratio is a measure for the share of steady funding that is required out of all assets as compared to one that is available.</w:t>
      </w:r>
    </w:p>
    <w:tbl>
      <w:tblPr>
        <w:tblW w:w="6160" w:type="dxa"/>
        <w:jc w:val="center"/>
        <w:tblLook w:val="04A0" w:firstRow="1" w:lastRow="0" w:firstColumn="1" w:lastColumn="0" w:noHBand="0" w:noVBand="1"/>
      </w:tblPr>
      <w:tblGrid>
        <w:gridCol w:w="1360"/>
        <w:gridCol w:w="960"/>
        <w:gridCol w:w="960"/>
        <w:gridCol w:w="960"/>
        <w:gridCol w:w="960"/>
        <w:gridCol w:w="960"/>
      </w:tblGrid>
      <w:tr w:rsidR="00F16DF5" w:rsidRPr="006751AF" w14:paraId="3DFC0CC4" w14:textId="77777777" w:rsidTr="001E3E58">
        <w:trPr>
          <w:trHeight w:val="315"/>
          <w:jc w:val="center"/>
        </w:trPr>
        <w:tc>
          <w:tcPr>
            <w:tcW w:w="1360" w:type="dxa"/>
            <w:tcBorders>
              <w:top w:val="single" w:sz="4" w:space="0" w:color="auto"/>
              <w:left w:val="single" w:sz="4" w:space="0" w:color="auto"/>
              <w:bottom w:val="single" w:sz="4" w:space="0" w:color="auto"/>
              <w:right w:val="single" w:sz="4" w:space="0" w:color="auto"/>
            </w:tcBorders>
            <w:noWrap/>
            <w:vAlign w:val="bottom"/>
            <w:hideMark/>
          </w:tcPr>
          <w:p w14:paraId="702EAF54"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bottom"/>
            <w:hideMark/>
          </w:tcPr>
          <w:p w14:paraId="4A090C0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4" w:space="0" w:color="auto"/>
              <w:left w:val="nil"/>
              <w:bottom w:val="single" w:sz="4" w:space="0" w:color="auto"/>
              <w:right w:val="single" w:sz="4" w:space="0" w:color="auto"/>
            </w:tcBorders>
            <w:noWrap/>
            <w:vAlign w:val="bottom"/>
            <w:hideMark/>
          </w:tcPr>
          <w:p w14:paraId="581FFCC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bottom"/>
            <w:hideMark/>
          </w:tcPr>
          <w:p w14:paraId="5E32398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bottom"/>
            <w:hideMark/>
          </w:tcPr>
          <w:p w14:paraId="47D525C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bottom"/>
            <w:hideMark/>
          </w:tcPr>
          <w:p w14:paraId="57178FF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574C9E9E" w14:textId="77777777" w:rsidTr="001E3E58">
        <w:trPr>
          <w:trHeight w:val="315"/>
          <w:jc w:val="center"/>
        </w:trPr>
        <w:tc>
          <w:tcPr>
            <w:tcW w:w="1360" w:type="dxa"/>
            <w:tcBorders>
              <w:top w:val="nil"/>
              <w:left w:val="single" w:sz="4" w:space="0" w:color="auto"/>
              <w:bottom w:val="single" w:sz="4" w:space="0" w:color="auto"/>
              <w:right w:val="single" w:sz="4" w:space="0" w:color="auto"/>
            </w:tcBorders>
            <w:noWrap/>
            <w:vAlign w:val="bottom"/>
            <w:hideMark/>
          </w:tcPr>
          <w:p w14:paraId="0982A0F6"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NSFR (%)</w:t>
            </w:r>
          </w:p>
        </w:tc>
        <w:tc>
          <w:tcPr>
            <w:tcW w:w="960" w:type="dxa"/>
            <w:tcBorders>
              <w:top w:val="nil"/>
              <w:left w:val="nil"/>
              <w:bottom w:val="single" w:sz="4" w:space="0" w:color="auto"/>
              <w:right w:val="single" w:sz="4" w:space="0" w:color="auto"/>
            </w:tcBorders>
            <w:noWrap/>
            <w:vAlign w:val="bottom"/>
            <w:hideMark/>
          </w:tcPr>
          <w:p w14:paraId="7365A41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118%</w:t>
            </w:r>
          </w:p>
        </w:tc>
        <w:tc>
          <w:tcPr>
            <w:tcW w:w="960" w:type="dxa"/>
            <w:tcBorders>
              <w:top w:val="nil"/>
              <w:left w:val="nil"/>
              <w:bottom w:val="single" w:sz="4" w:space="0" w:color="auto"/>
              <w:right w:val="single" w:sz="4" w:space="0" w:color="auto"/>
            </w:tcBorders>
            <w:noWrap/>
            <w:vAlign w:val="bottom"/>
            <w:hideMark/>
          </w:tcPr>
          <w:p w14:paraId="1D55762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116%</w:t>
            </w:r>
          </w:p>
        </w:tc>
        <w:tc>
          <w:tcPr>
            <w:tcW w:w="960" w:type="dxa"/>
            <w:tcBorders>
              <w:top w:val="nil"/>
              <w:left w:val="nil"/>
              <w:bottom w:val="single" w:sz="4" w:space="0" w:color="auto"/>
              <w:right w:val="single" w:sz="4" w:space="0" w:color="auto"/>
            </w:tcBorders>
            <w:noWrap/>
            <w:vAlign w:val="bottom"/>
            <w:hideMark/>
          </w:tcPr>
          <w:p w14:paraId="72A18D0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115%</w:t>
            </w:r>
          </w:p>
        </w:tc>
        <w:tc>
          <w:tcPr>
            <w:tcW w:w="960" w:type="dxa"/>
            <w:tcBorders>
              <w:top w:val="nil"/>
              <w:left w:val="nil"/>
              <w:bottom w:val="single" w:sz="4" w:space="0" w:color="auto"/>
              <w:right w:val="single" w:sz="4" w:space="0" w:color="auto"/>
            </w:tcBorders>
            <w:noWrap/>
            <w:vAlign w:val="bottom"/>
            <w:hideMark/>
          </w:tcPr>
          <w:p w14:paraId="3AAD2D5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110%</w:t>
            </w:r>
          </w:p>
        </w:tc>
        <w:tc>
          <w:tcPr>
            <w:tcW w:w="960" w:type="dxa"/>
            <w:tcBorders>
              <w:top w:val="nil"/>
              <w:left w:val="nil"/>
              <w:bottom w:val="single" w:sz="4" w:space="0" w:color="auto"/>
              <w:right w:val="single" w:sz="4" w:space="0" w:color="auto"/>
            </w:tcBorders>
            <w:noWrap/>
            <w:vAlign w:val="bottom"/>
            <w:hideMark/>
          </w:tcPr>
          <w:p w14:paraId="20B1927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112%</w:t>
            </w:r>
          </w:p>
        </w:tc>
      </w:tr>
    </w:tbl>
    <w:p w14:paraId="316E06DD" w14:textId="77777777" w:rsidR="00B43088" w:rsidRPr="00B43088" w:rsidRDefault="00B43088" w:rsidP="00B43088">
      <w:pPr>
        <w:spacing w:line="360" w:lineRule="auto"/>
        <w:jc w:val="both"/>
        <w:rPr>
          <w:rFonts w:ascii="Times New Roman" w:hAnsi="Times New Roman"/>
          <w:bCs/>
          <w:sz w:val="24"/>
          <w:szCs w:val="24"/>
        </w:rPr>
      </w:pPr>
      <w:r w:rsidRPr="00B43088">
        <w:rPr>
          <w:rFonts w:ascii="Times New Roman" w:hAnsi="Times New Roman"/>
          <w:bCs/>
          <w:sz w:val="24"/>
          <w:szCs w:val="24"/>
        </w:rPr>
        <w:t>Where competitive pressure remains high, the bank has exhibited sound liquidity management by maintaining a consistently higher than regulatory minimum Net Stable Funding Ratio (NSFR)</w:t>
      </w:r>
      <w:r w:rsidRPr="00B43088">
        <w:rPr>
          <w:rFonts w:ascii="Times New Roman" w:hAnsi="Times New Roman"/>
          <w:bCs/>
          <w:sz w:val="24"/>
          <w:szCs w:val="24"/>
        </w:rPr>
        <w:t> </w:t>
      </w:r>
      <w:r w:rsidRPr="00B43088">
        <w:rPr>
          <w:rFonts w:ascii="Times New Roman" w:hAnsi="Times New Roman"/>
          <w:bCs/>
          <w:sz w:val="24"/>
          <w:szCs w:val="24"/>
        </w:rPr>
        <w:t>while showing a positively trending NSFR. It has optimally</w:t>
      </w:r>
      <w:r w:rsidRPr="00B43088">
        <w:rPr>
          <w:rFonts w:ascii="Times New Roman" w:hAnsi="Times New Roman"/>
          <w:bCs/>
          <w:sz w:val="24"/>
          <w:szCs w:val="24"/>
        </w:rPr>
        <w:t> </w:t>
      </w:r>
      <w:r w:rsidRPr="00B43088">
        <w:rPr>
          <w:rFonts w:ascii="Times New Roman" w:hAnsi="Times New Roman"/>
          <w:bCs/>
          <w:sz w:val="24"/>
          <w:szCs w:val="24"/>
        </w:rPr>
        <w:t>struck a balance between its profitability and liquidity.</w:t>
      </w:r>
    </w:p>
    <w:p w14:paraId="650A229A"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lastRenderedPageBreak/>
        <w:t>Statutory Liquidity Ratio (SLR):</w:t>
      </w:r>
      <w:r w:rsidRPr="006751AF">
        <w:rPr>
          <w:rFonts w:ascii="Times New Roman" w:hAnsi="Times New Roman"/>
          <w:bCs/>
          <w:sz w:val="24"/>
          <w:szCs w:val="24"/>
        </w:rPr>
        <w:t xml:space="preserve"> </w:t>
      </w:r>
      <w:r w:rsidR="00B43088" w:rsidRPr="00B43088">
        <w:rPr>
          <w:rFonts w:ascii="Times New Roman" w:hAnsi="Times New Roman"/>
          <w:bCs/>
          <w:sz w:val="24"/>
          <w:szCs w:val="24"/>
        </w:rPr>
        <w:t>Bangladesh Bank has a Statutory Liquidity Ratio (SLR) requirement of</w:t>
      </w:r>
      <w:r w:rsidR="00B43088" w:rsidRPr="00B43088">
        <w:rPr>
          <w:rFonts w:ascii="Times New Roman" w:hAnsi="Times New Roman"/>
          <w:bCs/>
          <w:sz w:val="24"/>
          <w:szCs w:val="24"/>
        </w:rPr>
        <w:t> </w:t>
      </w:r>
      <w:r w:rsidR="00B43088" w:rsidRPr="00B43088">
        <w:rPr>
          <w:rFonts w:ascii="Times New Roman" w:hAnsi="Times New Roman"/>
          <w:bCs/>
          <w:sz w:val="24"/>
          <w:szCs w:val="24"/>
        </w:rPr>
        <w:t>13% for banks' total deposits. Dhaka Bank's SLR</w:t>
      </w:r>
      <w:r w:rsidR="00B43088" w:rsidRPr="00B43088">
        <w:rPr>
          <w:rFonts w:ascii="Times New Roman" w:hAnsi="Times New Roman"/>
          <w:bCs/>
          <w:sz w:val="24"/>
          <w:szCs w:val="24"/>
        </w:rPr>
        <w:t> </w:t>
      </w:r>
      <w:r w:rsidR="00B43088" w:rsidRPr="00B43088">
        <w:rPr>
          <w:rFonts w:ascii="Times New Roman" w:hAnsi="Times New Roman"/>
          <w:bCs/>
          <w:sz w:val="24"/>
          <w:szCs w:val="24"/>
        </w:rPr>
        <w:t>is also above the legal limit at an average of 15–16% which again contributes to its liquidity cushion.</w:t>
      </w:r>
    </w:p>
    <w:tbl>
      <w:tblPr>
        <w:tblW w:w="6160" w:type="dxa"/>
        <w:jc w:val="center"/>
        <w:tblLook w:val="04A0" w:firstRow="1" w:lastRow="0" w:firstColumn="1" w:lastColumn="0" w:noHBand="0" w:noVBand="1"/>
      </w:tblPr>
      <w:tblGrid>
        <w:gridCol w:w="1360"/>
        <w:gridCol w:w="960"/>
        <w:gridCol w:w="960"/>
        <w:gridCol w:w="960"/>
        <w:gridCol w:w="960"/>
        <w:gridCol w:w="960"/>
      </w:tblGrid>
      <w:tr w:rsidR="00F16DF5" w:rsidRPr="006751AF" w14:paraId="30F4BED9" w14:textId="77777777" w:rsidTr="001E3E58">
        <w:trPr>
          <w:trHeight w:val="315"/>
          <w:jc w:val="center"/>
        </w:trPr>
        <w:tc>
          <w:tcPr>
            <w:tcW w:w="1360" w:type="dxa"/>
            <w:tcBorders>
              <w:top w:val="single" w:sz="4" w:space="0" w:color="auto"/>
              <w:left w:val="single" w:sz="4" w:space="0" w:color="auto"/>
              <w:bottom w:val="single" w:sz="4" w:space="0" w:color="auto"/>
              <w:right w:val="single" w:sz="4" w:space="0" w:color="auto"/>
            </w:tcBorders>
            <w:noWrap/>
            <w:vAlign w:val="bottom"/>
            <w:hideMark/>
          </w:tcPr>
          <w:p w14:paraId="50DE5160"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bottom"/>
            <w:hideMark/>
          </w:tcPr>
          <w:p w14:paraId="7BE4AB2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4" w:space="0" w:color="auto"/>
              <w:left w:val="nil"/>
              <w:bottom w:val="single" w:sz="4" w:space="0" w:color="auto"/>
              <w:right w:val="single" w:sz="4" w:space="0" w:color="auto"/>
            </w:tcBorders>
            <w:noWrap/>
            <w:vAlign w:val="bottom"/>
            <w:hideMark/>
          </w:tcPr>
          <w:p w14:paraId="0E8640B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bottom"/>
            <w:hideMark/>
          </w:tcPr>
          <w:p w14:paraId="4F6CC48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bottom"/>
            <w:hideMark/>
          </w:tcPr>
          <w:p w14:paraId="1ABD57E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bottom"/>
            <w:hideMark/>
          </w:tcPr>
          <w:p w14:paraId="6CE1E40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3F379EE5" w14:textId="77777777" w:rsidTr="001E3E58">
        <w:trPr>
          <w:trHeight w:val="315"/>
          <w:jc w:val="center"/>
        </w:trPr>
        <w:tc>
          <w:tcPr>
            <w:tcW w:w="1360" w:type="dxa"/>
            <w:tcBorders>
              <w:top w:val="nil"/>
              <w:left w:val="single" w:sz="4" w:space="0" w:color="auto"/>
              <w:bottom w:val="single" w:sz="4" w:space="0" w:color="auto"/>
              <w:right w:val="single" w:sz="4" w:space="0" w:color="auto"/>
            </w:tcBorders>
            <w:noWrap/>
            <w:vAlign w:val="bottom"/>
            <w:hideMark/>
          </w:tcPr>
          <w:p w14:paraId="384A6592"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SLR (%)</w:t>
            </w:r>
          </w:p>
        </w:tc>
        <w:tc>
          <w:tcPr>
            <w:tcW w:w="960" w:type="dxa"/>
            <w:tcBorders>
              <w:top w:val="nil"/>
              <w:left w:val="nil"/>
              <w:bottom w:val="single" w:sz="4" w:space="0" w:color="auto"/>
              <w:right w:val="single" w:sz="4" w:space="0" w:color="auto"/>
            </w:tcBorders>
            <w:noWrap/>
            <w:vAlign w:val="bottom"/>
            <w:hideMark/>
          </w:tcPr>
          <w:p w14:paraId="19276A9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15.5%</w:t>
            </w:r>
          </w:p>
        </w:tc>
        <w:tc>
          <w:tcPr>
            <w:tcW w:w="960" w:type="dxa"/>
            <w:tcBorders>
              <w:top w:val="nil"/>
              <w:left w:val="nil"/>
              <w:bottom w:val="single" w:sz="4" w:space="0" w:color="auto"/>
              <w:right w:val="single" w:sz="4" w:space="0" w:color="auto"/>
            </w:tcBorders>
            <w:noWrap/>
            <w:vAlign w:val="bottom"/>
            <w:hideMark/>
          </w:tcPr>
          <w:p w14:paraId="18318A9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15.3%</w:t>
            </w:r>
          </w:p>
        </w:tc>
        <w:tc>
          <w:tcPr>
            <w:tcW w:w="960" w:type="dxa"/>
            <w:tcBorders>
              <w:top w:val="nil"/>
              <w:left w:val="nil"/>
              <w:bottom w:val="single" w:sz="4" w:space="0" w:color="auto"/>
              <w:right w:val="single" w:sz="4" w:space="0" w:color="auto"/>
            </w:tcBorders>
            <w:noWrap/>
            <w:vAlign w:val="bottom"/>
            <w:hideMark/>
          </w:tcPr>
          <w:p w14:paraId="3F9F556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15.8%</w:t>
            </w:r>
          </w:p>
        </w:tc>
        <w:tc>
          <w:tcPr>
            <w:tcW w:w="960" w:type="dxa"/>
            <w:tcBorders>
              <w:top w:val="nil"/>
              <w:left w:val="nil"/>
              <w:bottom w:val="single" w:sz="4" w:space="0" w:color="auto"/>
              <w:right w:val="single" w:sz="4" w:space="0" w:color="auto"/>
            </w:tcBorders>
            <w:noWrap/>
            <w:vAlign w:val="bottom"/>
            <w:hideMark/>
          </w:tcPr>
          <w:p w14:paraId="5E9BCB8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16.1%</w:t>
            </w:r>
          </w:p>
        </w:tc>
        <w:tc>
          <w:tcPr>
            <w:tcW w:w="960" w:type="dxa"/>
            <w:tcBorders>
              <w:top w:val="nil"/>
              <w:left w:val="nil"/>
              <w:bottom w:val="single" w:sz="4" w:space="0" w:color="auto"/>
              <w:right w:val="single" w:sz="4" w:space="0" w:color="auto"/>
            </w:tcBorders>
            <w:noWrap/>
            <w:vAlign w:val="bottom"/>
            <w:hideMark/>
          </w:tcPr>
          <w:p w14:paraId="19DC9B1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15.2%</w:t>
            </w:r>
          </w:p>
        </w:tc>
      </w:tr>
    </w:tbl>
    <w:p w14:paraId="53D79E97" w14:textId="77777777" w:rsidR="00B43088" w:rsidRPr="00B43088" w:rsidRDefault="00B43088" w:rsidP="00B43088">
      <w:pPr>
        <w:spacing w:line="360" w:lineRule="auto"/>
        <w:jc w:val="both"/>
        <w:rPr>
          <w:rFonts w:ascii="Times New Roman" w:hAnsi="Times New Roman"/>
          <w:bCs/>
          <w:sz w:val="24"/>
          <w:szCs w:val="24"/>
        </w:rPr>
      </w:pPr>
      <w:r w:rsidRPr="00B43088">
        <w:rPr>
          <w:rFonts w:ascii="Times New Roman" w:hAnsi="Times New Roman"/>
          <w:bCs/>
          <w:sz w:val="24"/>
          <w:szCs w:val="24"/>
        </w:rPr>
        <w:t>The bank has demonstrated a positive trend of growth and good fund management in the past, evidenced by their being able to maintain its SLR requirements continuously higher than regulatory minimum stipulated under Section 24 of Banking Regulation Act during the</w:t>
      </w:r>
      <w:r w:rsidRPr="00B43088">
        <w:rPr>
          <w:rFonts w:ascii="Times New Roman" w:hAnsi="Times New Roman"/>
          <w:bCs/>
          <w:sz w:val="24"/>
          <w:szCs w:val="24"/>
        </w:rPr>
        <w:t> </w:t>
      </w:r>
      <w:r w:rsidRPr="00B43088">
        <w:rPr>
          <w:rFonts w:ascii="Times New Roman" w:hAnsi="Times New Roman"/>
          <w:bCs/>
          <w:sz w:val="24"/>
          <w:szCs w:val="24"/>
        </w:rPr>
        <w:t>period. It has achieved the objectives of profitability and liquidity and at a low</w:t>
      </w:r>
      <w:r w:rsidRPr="00B43088">
        <w:rPr>
          <w:rFonts w:ascii="Times New Roman" w:hAnsi="Times New Roman"/>
          <w:bCs/>
          <w:sz w:val="24"/>
          <w:szCs w:val="24"/>
        </w:rPr>
        <w:t> </w:t>
      </w:r>
      <w:r w:rsidRPr="00B43088">
        <w:rPr>
          <w:rFonts w:ascii="Times New Roman" w:hAnsi="Times New Roman"/>
          <w:bCs/>
          <w:sz w:val="24"/>
          <w:szCs w:val="24"/>
        </w:rPr>
        <w:t>cost.</w:t>
      </w:r>
    </w:p>
    <w:p w14:paraId="11EBFA2C" w14:textId="77777777" w:rsidR="00B43088" w:rsidRPr="00B43088" w:rsidRDefault="00F16DF5" w:rsidP="00B43088">
      <w:pPr>
        <w:spacing w:line="360" w:lineRule="auto"/>
        <w:jc w:val="both"/>
        <w:rPr>
          <w:rFonts w:ascii="Times New Roman" w:hAnsi="Times New Roman"/>
          <w:bCs/>
          <w:sz w:val="24"/>
          <w:szCs w:val="24"/>
        </w:rPr>
      </w:pPr>
      <w:r w:rsidRPr="006751AF">
        <w:rPr>
          <w:rFonts w:ascii="Times New Roman" w:hAnsi="Times New Roman"/>
          <w:b/>
          <w:bCs/>
          <w:sz w:val="24"/>
          <w:szCs w:val="24"/>
        </w:rPr>
        <w:t>Cash Reserve Ratio (CRR):</w:t>
      </w:r>
      <w:r w:rsidRPr="006751AF">
        <w:rPr>
          <w:rFonts w:ascii="Times New Roman" w:hAnsi="Times New Roman"/>
          <w:bCs/>
          <w:sz w:val="24"/>
          <w:szCs w:val="24"/>
        </w:rPr>
        <w:t xml:space="preserve"> </w:t>
      </w:r>
      <w:r w:rsidR="00B43088" w:rsidRPr="00B43088">
        <w:rPr>
          <w:rFonts w:ascii="Times New Roman" w:hAnsi="Times New Roman"/>
          <w:bCs/>
          <w:sz w:val="24"/>
          <w:szCs w:val="24"/>
        </w:rPr>
        <w:t>The limitations of CBR is to keep with Bangladesh Band the banks’ reserves at daily and fortnightly basis such as, 4% for all deposits on a daily basis, and 4% on an average basis in two weeks.</w:t>
      </w:r>
    </w:p>
    <w:p w14:paraId="24E9325E"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t>Liquid Assets Trend:</w:t>
      </w:r>
    </w:p>
    <w:tbl>
      <w:tblPr>
        <w:tblW w:w="8020" w:type="dxa"/>
        <w:jc w:val="center"/>
        <w:tblLook w:val="04A0" w:firstRow="1" w:lastRow="0" w:firstColumn="1" w:lastColumn="0" w:noHBand="0" w:noVBand="1"/>
      </w:tblPr>
      <w:tblGrid>
        <w:gridCol w:w="3220"/>
        <w:gridCol w:w="960"/>
        <w:gridCol w:w="960"/>
        <w:gridCol w:w="960"/>
        <w:gridCol w:w="960"/>
        <w:gridCol w:w="960"/>
      </w:tblGrid>
      <w:tr w:rsidR="00F16DF5" w:rsidRPr="006751AF" w14:paraId="403C77A2" w14:textId="77777777" w:rsidTr="001E3E58">
        <w:trPr>
          <w:trHeight w:val="315"/>
          <w:jc w:val="center"/>
        </w:trPr>
        <w:tc>
          <w:tcPr>
            <w:tcW w:w="3220" w:type="dxa"/>
            <w:tcBorders>
              <w:top w:val="single" w:sz="8" w:space="0" w:color="auto"/>
              <w:left w:val="single" w:sz="8" w:space="0" w:color="auto"/>
              <w:bottom w:val="single" w:sz="4" w:space="0" w:color="auto"/>
              <w:right w:val="single" w:sz="4" w:space="0" w:color="auto"/>
            </w:tcBorders>
            <w:noWrap/>
            <w:vAlign w:val="bottom"/>
            <w:hideMark/>
          </w:tcPr>
          <w:p w14:paraId="213E0576"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6364340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8" w:space="0" w:color="auto"/>
              <w:left w:val="nil"/>
              <w:bottom w:val="single" w:sz="4" w:space="0" w:color="auto"/>
              <w:right w:val="single" w:sz="4" w:space="0" w:color="auto"/>
            </w:tcBorders>
            <w:noWrap/>
            <w:vAlign w:val="bottom"/>
            <w:hideMark/>
          </w:tcPr>
          <w:p w14:paraId="162C677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408A8DF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1E75CE2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287233D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2EA2C63E" w14:textId="77777777" w:rsidTr="001E3E58">
        <w:trPr>
          <w:trHeight w:val="330"/>
          <w:jc w:val="center"/>
        </w:trPr>
        <w:tc>
          <w:tcPr>
            <w:tcW w:w="3220" w:type="dxa"/>
            <w:tcBorders>
              <w:top w:val="nil"/>
              <w:left w:val="single" w:sz="8" w:space="0" w:color="auto"/>
              <w:bottom w:val="single" w:sz="8" w:space="0" w:color="auto"/>
              <w:right w:val="single" w:sz="4" w:space="0" w:color="auto"/>
            </w:tcBorders>
            <w:noWrap/>
            <w:vAlign w:val="bottom"/>
            <w:hideMark/>
          </w:tcPr>
          <w:p w14:paraId="6AC64D3A"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Liquid Assets/Total Assets</w:t>
            </w:r>
          </w:p>
        </w:tc>
        <w:tc>
          <w:tcPr>
            <w:tcW w:w="960" w:type="dxa"/>
            <w:tcBorders>
              <w:top w:val="nil"/>
              <w:left w:val="nil"/>
              <w:bottom w:val="single" w:sz="8" w:space="0" w:color="auto"/>
              <w:right w:val="single" w:sz="4" w:space="0" w:color="auto"/>
            </w:tcBorders>
            <w:noWrap/>
            <w:vAlign w:val="bottom"/>
            <w:hideMark/>
          </w:tcPr>
          <w:p w14:paraId="548D9FE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23.1%</w:t>
            </w:r>
          </w:p>
        </w:tc>
        <w:tc>
          <w:tcPr>
            <w:tcW w:w="960" w:type="dxa"/>
            <w:tcBorders>
              <w:top w:val="nil"/>
              <w:left w:val="nil"/>
              <w:bottom w:val="single" w:sz="8" w:space="0" w:color="auto"/>
              <w:right w:val="single" w:sz="4" w:space="0" w:color="auto"/>
            </w:tcBorders>
            <w:noWrap/>
            <w:vAlign w:val="bottom"/>
            <w:hideMark/>
          </w:tcPr>
          <w:p w14:paraId="583D630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22.9%</w:t>
            </w:r>
          </w:p>
        </w:tc>
        <w:tc>
          <w:tcPr>
            <w:tcW w:w="960" w:type="dxa"/>
            <w:tcBorders>
              <w:top w:val="nil"/>
              <w:left w:val="nil"/>
              <w:bottom w:val="single" w:sz="8" w:space="0" w:color="auto"/>
              <w:right w:val="single" w:sz="4" w:space="0" w:color="auto"/>
            </w:tcBorders>
            <w:noWrap/>
            <w:vAlign w:val="bottom"/>
            <w:hideMark/>
          </w:tcPr>
          <w:p w14:paraId="460CB6C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22.4%</w:t>
            </w:r>
          </w:p>
        </w:tc>
        <w:tc>
          <w:tcPr>
            <w:tcW w:w="960" w:type="dxa"/>
            <w:tcBorders>
              <w:top w:val="nil"/>
              <w:left w:val="nil"/>
              <w:bottom w:val="single" w:sz="8" w:space="0" w:color="auto"/>
              <w:right w:val="single" w:sz="4" w:space="0" w:color="auto"/>
            </w:tcBorders>
            <w:noWrap/>
            <w:vAlign w:val="bottom"/>
            <w:hideMark/>
          </w:tcPr>
          <w:p w14:paraId="70CD6CE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22.1%</w:t>
            </w:r>
          </w:p>
        </w:tc>
        <w:tc>
          <w:tcPr>
            <w:tcW w:w="960" w:type="dxa"/>
            <w:tcBorders>
              <w:top w:val="nil"/>
              <w:left w:val="nil"/>
              <w:bottom w:val="single" w:sz="8" w:space="0" w:color="auto"/>
              <w:right w:val="single" w:sz="8" w:space="0" w:color="auto"/>
            </w:tcBorders>
            <w:noWrap/>
            <w:vAlign w:val="bottom"/>
            <w:hideMark/>
          </w:tcPr>
          <w:p w14:paraId="13D6B32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21.2%</w:t>
            </w:r>
          </w:p>
        </w:tc>
      </w:tr>
    </w:tbl>
    <w:p w14:paraId="359BF66A" w14:textId="77777777" w:rsidR="00F16DF5" w:rsidRDefault="00F16DF5" w:rsidP="00F16DF5">
      <w:pPr>
        <w:spacing w:line="360" w:lineRule="auto"/>
        <w:jc w:val="both"/>
        <w:rPr>
          <w:rFonts w:ascii="Times New Roman" w:hAnsi="Times New Roman"/>
          <w:bCs/>
          <w:sz w:val="24"/>
          <w:szCs w:val="24"/>
        </w:rPr>
      </w:pPr>
    </w:p>
    <w:p w14:paraId="3B491BB2" w14:textId="77777777" w:rsidR="00F16DF5" w:rsidRDefault="00F16DF5" w:rsidP="00F16DF5">
      <w:pPr>
        <w:spacing w:line="360" w:lineRule="auto"/>
        <w:jc w:val="center"/>
        <w:rPr>
          <w:rFonts w:ascii="Times New Roman" w:hAnsi="Times New Roman"/>
          <w:bCs/>
          <w:sz w:val="24"/>
          <w:szCs w:val="24"/>
        </w:rPr>
      </w:pPr>
      <w:r>
        <w:rPr>
          <w:noProof/>
        </w:rPr>
        <w:drawing>
          <wp:inline distT="0" distB="0" distL="0" distR="0" wp14:anchorId="37D4F80C" wp14:editId="003CBC7B">
            <wp:extent cx="4333876" cy="2390775"/>
            <wp:effectExtent l="0" t="0" r="9525" b="952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EB857AC" w14:textId="77777777" w:rsidR="00B43088" w:rsidRPr="00903DDA" w:rsidRDefault="00B43088" w:rsidP="00903DDA">
      <w:pPr>
        <w:spacing w:line="360" w:lineRule="auto"/>
        <w:jc w:val="both"/>
        <w:rPr>
          <w:rFonts w:ascii="Times New Roman" w:hAnsi="Times New Roman"/>
          <w:sz w:val="24"/>
          <w:szCs w:val="24"/>
        </w:rPr>
      </w:pPr>
      <w:r w:rsidRPr="00903DDA">
        <w:rPr>
          <w:rFonts w:ascii="Times New Roman" w:hAnsi="Times New Roman"/>
          <w:sz w:val="24"/>
          <w:szCs w:val="24"/>
        </w:rPr>
        <w:t>The rising absolute as well as</w:t>
      </w:r>
      <w:r w:rsidRPr="00903DDA">
        <w:rPr>
          <w:rFonts w:ascii="Times New Roman" w:hAnsi="Times New Roman"/>
          <w:sz w:val="24"/>
          <w:szCs w:val="24"/>
        </w:rPr>
        <w:t> </w:t>
      </w:r>
      <w:r w:rsidRPr="00903DDA">
        <w:rPr>
          <w:rFonts w:ascii="Times New Roman" w:hAnsi="Times New Roman"/>
          <w:sz w:val="24"/>
          <w:szCs w:val="24"/>
        </w:rPr>
        <w:t>relative liquid asset levels offer significant liquidity buffers.</w:t>
      </w:r>
    </w:p>
    <w:p w14:paraId="010863CA" w14:textId="77777777" w:rsidR="00F16DF5" w:rsidRPr="003C682B" w:rsidRDefault="00F16DF5" w:rsidP="00D527E4">
      <w:pPr>
        <w:pStyle w:val="Heading2"/>
        <w:rPr>
          <w:rFonts w:ascii="Times New Roman" w:hAnsi="Times New Roman" w:cs="Times New Roman"/>
          <w:b/>
          <w:sz w:val="24"/>
          <w:szCs w:val="24"/>
        </w:rPr>
      </w:pPr>
      <w:bookmarkStart w:id="47" w:name="_Toc214949039"/>
      <w:r w:rsidRPr="003C682B">
        <w:rPr>
          <w:rFonts w:ascii="Times New Roman" w:hAnsi="Times New Roman" w:cs="Times New Roman"/>
          <w:b/>
          <w:color w:val="4F81BD" w:themeColor="accent1"/>
          <w:sz w:val="24"/>
          <w:szCs w:val="24"/>
        </w:rPr>
        <w:lastRenderedPageBreak/>
        <w:t>4.2.2 Cash Flow Management and Maturity Profile</w:t>
      </w:r>
      <w:bookmarkEnd w:id="47"/>
    </w:p>
    <w:p w14:paraId="39E8EB10" w14:textId="77777777" w:rsidR="00B43088" w:rsidRPr="00B43088" w:rsidRDefault="00F16DF5" w:rsidP="00B43088">
      <w:pPr>
        <w:spacing w:line="360" w:lineRule="auto"/>
        <w:jc w:val="both"/>
        <w:rPr>
          <w:rFonts w:ascii="Times New Roman" w:hAnsi="Times New Roman"/>
          <w:bCs/>
          <w:sz w:val="24"/>
          <w:szCs w:val="24"/>
        </w:rPr>
      </w:pPr>
      <w:r w:rsidRPr="006751AF">
        <w:rPr>
          <w:rFonts w:ascii="Times New Roman" w:hAnsi="Times New Roman"/>
          <w:b/>
          <w:bCs/>
          <w:sz w:val="24"/>
          <w:szCs w:val="24"/>
        </w:rPr>
        <w:t>Behavioral Analysis:</w:t>
      </w:r>
      <w:r w:rsidRPr="006751AF">
        <w:rPr>
          <w:rFonts w:ascii="Times New Roman" w:hAnsi="Times New Roman"/>
          <w:bCs/>
          <w:sz w:val="24"/>
          <w:szCs w:val="24"/>
        </w:rPr>
        <w:t xml:space="preserve"> </w:t>
      </w:r>
      <w:r w:rsidR="00B43088" w:rsidRPr="00B43088">
        <w:rPr>
          <w:rFonts w:ascii="Times New Roman" w:hAnsi="Times New Roman"/>
          <w:bCs/>
          <w:sz w:val="24"/>
          <w:szCs w:val="24"/>
        </w:rPr>
        <w:t>The bank forecasts behavioral maturities based on historic analysis, because the bank knows that contractual maturities are often a poor indicator of true behavior (current</w:t>
      </w:r>
      <w:r w:rsidR="00B43088" w:rsidRPr="00B43088">
        <w:rPr>
          <w:rFonts w:ascii="Times New Roman" w:hAnsi="Times New Roman"/>
          <w:bCs/>
          <w:sz w:val="24"/>
          <w:szCs w:val="24"/>
        </w:rPr>
        <w:t> </w:t>
      </w:r>
      <w:r w:rsidR="00B43088" w:rsidRPr="00B43088">
        <w:rPr>
          <w:rFonts w:ascii="Times New Roman" w:hAnsi="Times New Roman"/>
          <w:bCs/>
          <w:sz w:val="24"/>
          <w:szCs w:val="24"/>
        </w:rPr>
        <w:t>deposits, for example, remain constant much of the time).</w:t>
      </w:r>
    </w:p>
    <w:p w14:paraId="378EA4DF"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t>Deposit Growth:</w:t>
      </w:r>
    </w:p>
    <w:tbl>
      <w:tblPr>
        <w:tblW w:w="7520" w:type="dxa"/>
        <w:jc w:val="center"/>
        <w:tblLook w:val="04A0" w:firstRow="1" w:lastRow="0" w:firstColumn="1" w:lastColumn="0" w:noHBand="0" w:noVBand="1"/>
      </w:tblPr>
      <w:tblGrid>
        <w:gridCol w:w="2260"/>
        <w:gridCol w:w="960"/>
        <w:gridCol w:w="1420"/>
        <w:gridCol w:w="960"/>
        <w:gridCol w:w="960"/>
        <w:gridCol w:w="960"/>
      </w:tblGrid>
      <w:tr w:rsidR="00F16DF5" w:rsidRPr="006751AF" w14:paraId="6A3579B9" w14:textId="77777777" w:rsidTr="001E3E58">
        <w:trPr>
          <w:trHeight w:val="315"/>
          <w:jc w:val="center"/>
        </w:trPr>
        <w:tc>
          <w:tcPr>
            <w:tcW w:w="2260" w:type="dxa"/>
            <w:tcBorders>
              <w:top w:val="single" w:sz="8" w:space="0" w:color="auto"/>
              <w:left w:val="single" w:sz="8" w:space="0" w:color="auto"/>
              <w:bottom w:val="single" w:sz="4" w:space="0" w:color="auto"/>
              <w:right w:val="single" w:sz="4" w:space="0" w:color="auto"/>
            </w:tcBorders>
            <w:noWrap/>
            <w:vAlign w:val="bottom"/>
            <w:hideMark/>
          </w:tcPr>
          <w:p w14:paraId="7657DF1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24158A2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1420" w:type="dxa"/>
            <w:tcBorders>
              <w:top w:val="single" w:sz="8" w:space="0" w:color="auto"/>
              <w:left w:val="nil"/>
              <w:bottom w:val="single" w:sz="4" w:space="0" w:color="auto"/>
              <w:right w:val="single" w:sz="4" w:space="0" w:color="auto"/>
            </w:tcBorders>
            <w:noWrap/>
            <w:vAlign w:val="bottom"/>
            <w:hideMark/>
          </w:tcPr>
          <w:p w14:paraId="6961170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4CBDA88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22F84C3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2A8FD04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36B4E37D" w14:textId="77777777" w:rsidTr="001E3E58">
        <w:trPr>
          <w:trHeight w:val="330"/>
          <w:jc w:val="center"/>
        </w:trPr>
        <w:tc>
          <w:tcPr>
            <w:tcW w:w="2260" w:type="dxa"/>
            <w:tcBorders>
              <w:top w:val="nil"/>
              <w:left w:val="single" w:sz="8" w:space="0" w:color="auto"/>
              <w:bottom w:val="single" w:sz="8" w:space="0" w:color="auto"/>
              <w:right w:val="single" w:sz="4" w:space="0" w:color="auto"/>
            </w:tcBorders>
            <w:noWrap/>
            <w:vAlign w:val="bottom"/>
            <w:hideMark/>
          </w:tcPr>
          <w:p w14:paraId="208B90D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Deposits Growth</w:t>
            </w:r>
          </w:p>
        </w:tc>
        <w:tc>
          <w:tcPr>
            <w:tcW w:w="960" w:type="dxa"/>
            <w:tcBorders>
              <w:top w:val="nil"/>
              <w:left w:val="nil"/>
              <w:bottom w:val="single" w:sz="8" w:space="0" w:color="auto"/>
              <w:right w:val="single" w:sz="4" w:space="0" w:color="auto"/>
            </w:tcBorders>
            <w:noWrap/>
            <w:vAlign w:val="bottom"/>
            <w:hideMark/>
          </w:tcPr>
          <w:p w14:paraId="253F56E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4.1%</w:t>
            </w:r>
          </w:p>
        </w:tc>
        <w:tc>
          <w:tcPr>
            <w:tcW w:w="1420" w:type="dxa"/>
            <w:tcBorders>
              <w:top w:val="nil"/>
              <w:left w:val="nil"/>
              <w:bottom w:val="single" w:sz="8" w:space="0" w:color="auto"/>
              <w:right w:val="single" w:sz="4" w:space="0" w:color="auto"/>
            </w:tcBorders>
            <w:noWrap/>
            <w:vAlign w:val="bottom"/>
            <w:hideMark/>
          </w:tcPr>
          <w:p w14:paraId="09F59F8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11.9%</w:t>
            </w:r>
          </w:p>
        </w:tc>
        <w:tc>
          <w:tcPr>
            <w:tcW w:w="960" w:type="dxa"/>
            <w:tcBorders>
              <w:top w:val="nil"/>
              <w:left w:val="nil"/>
              <w:bottom w:val="single" w:sz="8" w:space="0" w:color="auto"/>
              <w:right w:val="single" w:sz="4" w:space="0" w:color="auto"/>
            </w:tcBorders>
            <w:noWrap/>
            <w:vAlign w:val="bottom"/>
            <w:hideMark/>
          </w:tcPr>
          <w:p w14:paraId="2EF4EB8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8.9%</w:t>
            </w:r>
          </w:p>
        </w:tc>
        <w:tc>
          <w:tcPr>
            <w:tcW w:w="960" w:type="dxa"/>
            <w:tcBorders>
              <w:top w:val="nil"/>
              <w:left w:val="nil"/>
              <w:bottom w:val="single" w:sz="8" w:space="0" w:color="auto"/>
              <w:right w:val="single" w:sz="4" w:space="0" w:color="auto"/>
            </w:tcBorders>
            <w:noWrap/>
            <w:vAlign w:val="bottom"/>
            <w:hideMark/>
          </w:tcPr>
          <w:p w14:paraId="04FDA2A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6.8%</w:t>
            </w:r>
          </w:p>
        </w:tc>
        <w:tc>
          <w:tcPr>
            <w:tcW w:w="960" w:type="dxa"/>
            <w:tcBorders>
              <w:top w:val="nil"/>
              <w:left w:val="nil"/>
              <w:bottom w:val="single" w:sz="8" w:space="0" w:color="auto"/>
              <w:right w:val="single" w:sz="8" w:space="0" w:color="auto"/>
            </w:tcBorders>
            <w:noWrap/>
            <w:vAlign w:val="bottom"/>
            <w:hideMark/>
          </w:tcPr>
          <w:p w14:paraId="11564C2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w:t>
            </w:r>
          </w:p>
        </w:tc>
      </w:tr>
    </w:tbl>
    <w:p w14:paraId="54881264" w14:textId="77777777" w:rsidR="00B43088" w:rsidRPr="00B43088" w:rsidRDefault="00B43088" w:rsidP="00B43088">
      <w:pPr>
        <w:spacing w:line="360" w:lineRule="auto"/>
        <w:jc w:val="both"/>
        <w:rPr>
          <w:rFonts w:ascii="Times New Roman" w:hAnsi="Times New Roman"/>
          <w:bCs/>
          <w:sz w:val="24"/>
          <w:szCs w:val="24"/>
        </w:rPr>
      </w:pPr>
      <w:r w:rsidRPr="00B43088">
        <w:rPr>
          <w:rFonts w:ascii="Times New Roman" w:hAnsi="Times New Roman"/>
          <w:bCs/>
          <w:sz w:val="24"/>
          <w:szCs w:val="24"/>
        </w:rPr>
        <w:t>Steady funding footing - deposit growth</w:t>
      </w:r>
      <w:r w:rsidRPr="00B43088">
        <w:rPr>
          <w:rFonts w:ascii="Times New Roman" w:hAnsi="Times New Roman"/>
          <w:bCs/>
          <w:sz w:val="24"/>
          <w:szCs w:val="24"/>
        </w:rPr>
        <w:t> </w:t>
      </w:r>
      <w:r w:rsidRPr="00B43088">
        <w:rPr>
          <w:rFonts w:ascii="Times New Roman" w:hAnsi="Times New Roman"/>
          <w:bCs/>
          <w:sz w:val="24"/>
          <w:szCs w:val="24"/>
        </w:rPr>
        <w:t>has generally matched loan growth. Growth in</w:t>
      </w:r>
      <w:r w:rsidRPr="00B43088">
        <w:rPr>
          <w:rFonts w:ascii="Times New Roman" w:hAnsi="Times New Roman"/>
          <w:bCs/>
          <w:sz w:val="24"/>
          <w:szCs w:val="24"/>
        </w:rPr>
        <w:t> </w:t>
      </w:r>
      <w:r w:rsidRPr="00B43088">
        <w:rPr>
          <w:rFonts w:ascii="Times New Roman" w:hAnsi="Times New Roman"/>
          <w:bCs/>
          <w:sz w:val="24"/>
          <w:szCs w:val="24"/>
        </w:rPr>
        <w:t>deposits is a reflection of customers’ trust and confidence in the bank.</w:t>
      </w:r>
    </w:p>
    <w:p w14:paraId="03367A52" w14:textId="77777777" w:rsidR="00B43088" w:rsidRPr="00B43088" w:rsidRDefault="00F16DF5" w:rsidP="00B43088">
      <w:pPr>
        <w:spacing w:line="360" w:lineRule="auto"/>
        <w:jc w:val="both"/>
        <w:rPr>
          <w:rFonts w:ascii="Times New Roman" w:hAnsi="Times New Roman"/>
          <w:bCs/>
          <w:sz w:val="24"/>
          <w:szCs w:val="24"/>
        </w:rPr>
      </w:pPr>
      <w:r w:rsidRPr="006751AF">
        <w:rPr>
          <w:rFonts w:ascii="Times New Roman" w:hAnsi="Times New Roman"/>
          <w:b/>
          <w:bCs/>
          <w:sz w:val="24"/>
          <w:szCs w:val="24"/>
        </w:rPr>
        <w:t>Loan-to-Deposit Ratio (LDR):</w:t>
      </w:r>
      <w:r w:rsidRPr="006751AF">
        <w:rPr>
          <w:rFonts w:ascii="Times New Roman" w:hAnsi="Times New Roman"/>
          <w:bCs/>
          <w:sz w:val="24"/>
          <w:szCs w:val="24"/>
        </w:rPr>
        <w:t xml:space="preserve"> </w:t>
      </w:r>
      <w:r w:rsidR="00B43088" w:rsidRPr="00B43088">
        <w:rPr>
          <w:rFonts w:ascii="Times New Roman" w:hAnsi="Times New Roman"/>
          <w:bCs/>
          <w:sz w:val="24"/>
          <w:szCs w:val="24"/>
        </w:rPr>
        <w:t>Dhaka Bank maintains its LDR at 80:85% which is the product Lending Ethics and Profitable</w:t>
      </w:r>
      <w:r w:rsidR="00B43088" w:rsidRPr="00B43088">
        <w:rPr>
          <w:rFonts w:ascii="Times New Roman" w:hAnsi="Times New Roman"/>
          <w:bCs/>
          <w:sz w:val="24"/>
          <w:szCs w:val="24"/>
        </w:rPr>
        <w:t> </w:t>
      </w:r>
      <w:r w:rsidR="00B43088" w:rsidRPr="00B43088">
        <w:rPr>
          <w:rFonts w:ascii="Times New Roman" w:hAnsi="Times New Roman"/>
          <w:bCs/>
          <w:sz w:val="24"/>
          <w:szCs w:val="24"/>
        </w:rPr>
        <w:t>Business. This relatively low ratio ensures the highest interest income and offers a suitable</w:t>
      </w:r>
      <w:r w:rsidR="00B43088" w:rsidRPr="00B43088">
        <w:rPr>
          <w:rFonts w:ascii="Times New Roman" w:hAnsi="Times New Roman"/>
          <w:bCs/>
          <w:sz w:val="24"/>
          <w:szCs w:val="24"/>
        </w:rPr>
        <w:t> </w:t>
      </w:r>
      <w:r w:rsidR="00B43088" w:rsidRPr="00B43088">
        <w:rPr>
          <w:rFonts w:ascii="Times New Roman" w:hAnsi="Times New Roman"/>
          <w:bCs/>
          <w:sz w:val="24"/>
          <w:szCs w:val="24"/>
        </w:rPr>
        <w:t>margin of liquidity.</w:t>
      </w:r>
    </w:p>
    <w:p w14:paraId="5BFF5628"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t>Loan Growth:</w:t>
      </w:r>
    </w:p>
    <w:tbl>
      <w:tblPr>
        <w:tblW w:w="6900" w:type="dxa"/>
        <w:jc w:val="center"/>
        <w:tblLook w:val="04A0" w:firstRow="1" w:lastRow="0" w:firstColumn="1" w:lastColumn="0" w:noHBand="0" w:noVBand="1"/>
      </w:tblPr>
      <w:tblGrid>
        <w:gridCol w:w="2100"/>
        <w:gridCol w:w="960"/>
        <w:gridCol w:w="960"/>
        <w:gridCol w:w="960"/>
        <w:gridCol w:w="960"/>
        <w:gridCol w:w="960"/>
      </w:tblGrid>
      <w:tr w:rsidR="00F16DF5" w:rsidRPr="006751AF" w14:paraId="019EEB10" w14:textId="77777777" w:rsidTr="001E3E58">
        <w:trPr>
          <w:trHeight w:val="315"/>
          <w:jc w:val="center"/>
        </w:trPr>
        <w:tc>
          <w:tcPr>
            <w:tcW w:w="2100" w:type="dxa"/>
            <w:tcBorders>
              <w:top w:val="single" w:sz="8" w:space="0" w:color="auto"/>
              <w:left w:val="single" w:sz="8" w:space="0" w:color="auto"/>
              <w:bottom w:val="single" w:sz="4" w:space="0" w:color="auto"/>
              <w:right w:val="single" w:sz="4" w:space="0" w:color="auto"/>
            </w:tcBorders>
            <w:noWrap/>
            <w:vAlign w:val="bottom"/>
            <w:hideMark/>
          </w:tcPr>
          <w:p w14:paraId="6D99297A"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27D9223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8" w:space="0" w:color="auto"/>
              <w:left w:val="nil"/>
              <w:bottom w:val="single" w:sz="4" w:space="0" w:color="auto"/>
              <w:right w:val="single" w:sz="4" w:space="0" w:color="auto"/>
            </w:tcBorders>
            <w:noWrap/>
            <w:vAlign w:val="bottom"/>
            <w:hideMark/>
          </w:tcPr>
          <w:p w14:paraId="500232E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7F66C39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246A809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24D45A7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2CEDF158" w14:textId="77777777" w:rsidTr="001E3E58">
        <w:trPr>
          <w:trHeight w:val="330"/>
          <w:jc w:val="center"/>
        </w:trPr>
        <w:tc>
          <w:tcPr>
            <w:tcW w:w="2100" w:type="dxa"/>
            <w:tcBorders>
              <w:top w:val="nil"/>
              <w:left w:val="single" w:sz="8" w:space="0" w:color="auto"/>
              <w:bottom w:val="single" w:sz="8" w:space="0" w:color="auto"/>
              <w:right w:val="single" w:sz="4" w:space="0" w:color="auto"/>
            </w:tcBorders>
            <w:noWrap/>
            <w:vAlign w:val="bottom"/>
            <w:hideMark/>
          </w:tcPr>
          <w:p w14:paraId="48AC6CE6"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Loans Growth</w:t>
            </w:r>
          </w:p>
        </w:tc>
        <w:tc>
          <w:tcPr>
            <w:tcW w:w="960" w:type="dxa"/>
            <w:tcBorders>
              <w:top w:val="nil"/>
              <w:left w:val="nil"/>
              <w:bottom w:val="single" w:sz="8" w:space="0" w:color="auto"/>
              <w:right w:val="single" w:sz="4" w:space="0" w:color="auto"/>
            </w:tcBorders>
            <w:noWrap/>
            <w:vAlign w:val="bottom"/>
            <w:hideMark/>
          </w:tcPr>
          <w:p w14:paraId="19DA943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3.2%</w:t>
            </w:r>
          </w:p>
        </w:tc>
        <w:tc>
          <w:tcPr>
            <w:tcW w:w="960" w:type="dxa"/>
            <w:tcBorders>
              <w:top w:val="nil"/>
              <w:left w:val="nil"/>
              <w:bottom w:val="single" w:sz="8" w:space="0" w:color="auto"/>
              <w:right w:val="single" w:sz="4" w:space="0" w:color="auto"/>
            </w:tcBorders>
            <w:noWrap/>
            <w:vAlign w:val="bottom"/>
            <w:hideMark/>
          </w:tcPr>
          <w:p w14:paraId="7174CD0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14.2%</w:t>
            </w:r>
          </w:p>
        </w:tc>
        <w:tc>
          <w:tcPr>
            <w:tcW w:w="960" w:type="dxa"/>
            <w:tcBorders>
              <w:top w:val="nil"/>
              <w:left w:val="nil"/>
              <w:bottom w:val="single" w:sz="8" w:space="0" w:color="auto"/>
              <w:right w:val="single" w:sz="4" w:space="0" w:color="auto"/>
            </w:tcBorders>
            <w:noWrap/>
            <w:vAlign w:val="bottom"/>
            <w:hideMark/>
          </w:tcPr>
          <w:p w14:paraId="28EB927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11.2%</w:t>
            </w:r>
          </w:p>
        </w:tc>
        <w:tc>
          <w:tcPr>
            <w:tcW w:w="960" w:type="dxa"/>
            <w:tcBorders>
              <w:top w:val="nil"/>
              <w:left w:val="nil"/>
              <w:bottom w:val="single" w:sz="8" w:space="0" w:color="auto"/>
              <w:right w:val="single" w:sz="4" w:space="0" w:color="auto"/>
            </w:tcBorders>
            <w:noWrap/>
            <w:vAlign w:val="bottom"/>
            <w:hideMark/>
          </w:tcPr>
          <w:p w14:paraId="705DB25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7.0%</w:t>
            </w:r>
          </w:p>
        </w:tc>
        <w:tc>
          <w:tcPr>
            <w:tcW w:w="960" w:type="dxa"/>
            <w:tcBorders>
              <w:top w:val="nil"/>
              <w:left w:val="nil"/>
              <w:bottom w:val="single" w:sz="8" w:space="0" w:color="auto"/>
              <w:right w:val="single" w:sz="8" w:space="0" w:color="auto"/>
            </w:tcBorders>
            <w:noWrap/>
            <w:vAlign w:val="bottom"/>
            <w:hideMark/>
          </w:tcPr>
          <w:p w14:paraId="5590BEA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w:t>
            </w:r>
          </w:p>
        </w:tc>
      </w:tr>
    </w:tbl>
    <w:p w14:paraId="3F50820E" w14:textId="77777777" w:rsidR="00B43088" w:rsidRPr="00B43088" w:rsidRDefault="00B43088" w:rsidP="00B43088">
      <w:pPr>
        <w:spacing w:line="360" w:lineRule="auto"/>
        <w:jc w:val="both"/>
        <w:rPr>
          <w:rFonts w:ascii="Times New Roman" w:hAnsi="Times New Roman"/>
          <w:bCs/>
          <w:sz w:val="24"/>
          <w:szCs w:val="24"/>
        </w:rPr>
      </w:pPr>
      <w:r w:rsidRPr="00B43088">
        <w:rPr>
          <w:rFonts w:ascii="Times New Roman" w:hAnsi="Times New Roman"/>
          <w:bCs/>
          <w:sz w:val="24"/>
          <w:szCs w:val="24"/>
        </w:rPr>
        <w:t>Average annual growth of loans was 9%, indicating a gradual</w:t>
      </w:r>
      <w:r w:rsidRPr="00B43088">
        <w:rPr>
          <w:rFonts w:ascii="Times New Roman" w:hAnsi="Times New Roman"/>
          <w:bCs/>
          <w:sz w:val="24"/>
          <w:szCs w:val="24"/>
        </w:rPr>
        <w:t> </w:t>
      </w:r>
      <w:r w:rsidRPr="00B43088">
        <w:rPr>
          <w:rFonts w:ascii="Times New Roman" w:hAnsi="Times New Roman"/>
          <w:bCs/>
          <w:sz w:val="24"/>
          <w:szCs w:val="24"/>
        </w:rPr>
        <w:t>expansion that balances risk aversion with growth targets. The slowdown in 2023 can be attributed to the economic picture or a focused strategy</w:t>
      </w:r>
      <w:r w:rsidRPr="00B43088">
        <w:rPr>
          <w:rFonts w:ascii="Times New Roman" w:hAnsi="Times New Roman"/>
          <w:bCs/>
          <w:sz w:val="24"/>
          <w:szCs w:val="24"/>
        </w:rPr>
        <w:t> </w:t>
      </w:r>
      <w:r w:rsidRPr="00B43088">
        <w:rPr>
          <w:rFonts w:ascii="Times New Roman" w:hAnsi="Times New Roman"/>
          <w:bCs/>
          <w:sz w:val="24"/>
          <w:szCs w:val="24"/>
        </w:rPr>
        <w:t>on quality of portfolio.</w:t>
      </w:r>
    </w:p>
    <w:p w14:paraId="0E9A18B3" w14:textId="77777777" w:rsidR="00F16DF5" w:rsidRPr="006751AF" w:rsidRDefault="00F16DF5" w:rsidP="00F16DF5">
      <w:pPr>
        <w:spacing w:line="360" w:lineRule="auto"/>
        <w:jc w:val="both"/>
        <w:rPr>
          <w:rFonts w:ascii="Times New Roman" w:hAnsi="Times New Roman"/>
          <w:b/>
          <w:bCs/>
          <w:sz w:val="24"/>
          <w:szCs w:val="24"/>
        </w:rPr>
      </w:pPr>
      <w:r w:rsidRPr="006751AF">
        <w:rPr>
          <w:rFonts w:ascii="Times New Roman" w:hAnsi="Times New Roman"/>
          <w:b/>
          <w:bCs/>
          <w:sz w:val="24"/>
          <w:szCs w:val="24"/>
        </w:rPr>
        <w:t>Loan-to-Deposit Ratio:</w:t>
      </w:r>
    </w:p>
    <w:tbl>
      <w:tblPr>
        <w:tblStyle w:val="TableGrid"/>
        <w:tblW w:w="0" w:type="auto"/>
        <w:jc w:val="center"/>
        <w:tblLook w:val="04A0" w:firstRow="1" w:lastRow="0" w:firstColumn="1" w:lastColumn="0" w:noHBand="0" w:noVBand="1"/>
      </w:tblPr>
      <w:tblGrid>
        <w:gridCol w:w="3380"/>
        <w:gridCol w:w="960"/>
        <w:gridCol w:w="960"/>
        <w:gridCol w:w="960"/>
        <w:gridCol w:w="960"/>
        <w:gridCol w:w="960"/>
      </w:tblGrid>
      <w:tr w:rsidR="00F16DF5" w:rsidRPr="006751AF" w14:paraId="68033F16" w14:textId="77777777" w:rsidTr="001E3E58">
        <w:trPr>
          <w:trHeight w:val="315"/>
          <w:jc w:val="center"/>
        </w:trPr>
        <w:tc>
          <w:tcPr>
            <w:tcW w:w="3380" w:type="dxa"/>
            <w:noWrap/>
            <w:hideMark/>
          </w:tcPr>
          <w:p w14:paraId="48B234B0" w14:textId="77777777" w:rsidR="00F16DF5" w:rsidRPr="006751AF" w:rsidRDefault="00F16DF5" w:rsidP="001E3E58">
            <w:pPr>
              <w:spacing w:line="360" w:lineRule="auto"/>
              <w:jc w:val="both"/>
              <w:rPr>
                <w:rFonts w:ascii="Times New Roman" w:hAnsi="Times New Roman"/>
                <w:bCs/>
                <w:sz w:val="24"/>
                <w:szCs w:val="24"/>
              </w:rPr>
            </w:pPr>
            <w:r w:rsidRPr="006751AF">
              <w:rPr>
                <w:rFonts w:ascii="Times New Roman" w:hAnsi="Times New Roman"/>
                <w:bCs/>
                <w:sz w:val="24"/>
                <w:szCs w:val="24"/>
              </w:rPr>
              <w:t> </w:t>
            </w:r>
          </w:p>
        </w:tc>
        <w:tc>
          <w:tcPr>
            <w:tcW w:w="960" w:type="dxa"/>
            <w:noWrap/>
            <w:hideMark/>
          </w:tcPr>
          <w:p w14:paraId="779C1D79" w14:textId="77777777" w:rsidR="00F16DF5" w:rsidRPr="006751AF" w:rsidRDefault="00F16DF5" w:rsidP="003E7FD5">
            <w:pPr>
              <w:spacing w:line="360" w:lineRule="auto"/>
              <w:jc w:val="center"/>
              <w:rPr>
                <w:rFonts w:ascii="Times New Roman" w:hAnsi="Times New Roman"/>
                <w:bCs/>
                <w:sz w:val="24"/>
                <w:szCs w:val="24"/>
              </w:rPr>
            </w:pPr>
            <w:r w:rsidRPr="006751AF">
              <w:rPr>
                <w:rFonts w:ascii="Times New Roman" w:hAnsi="Times New Roman"/>
                <w:bCs/>
                <w:sz w:val="24"/>
                <w:szCs w:val="24"/>
              </w:rPr>
              <w:t>2023</w:t>
            </w:r>
          </w:p>
        </w:tc>
        <w:tc>
          <w:tcPr>
            <w:tcW w:w="960" w:type="dxa"/>
            <w:noWrap/>
            <w:hideMark/>
          </w:tcPr>
          <w:p w14:paraId="3B23AD7C" w14:textId="77777777" w:rsidR="00F16DF5" w:rsidRPr="006751AF" w:rsidRDefault="00F16DF5" w:rsidP="003E7FD5">
            <w:pPr>
              <w:spacing w:line="360" w:lineRule="auto"/>
              <w:jc w:val="center"/>
              <w:rPr>
                <w:rFonts w:ascii="Times New Roman" w:hAnsi="Times New Roman"/>
                <w:bCs/>
                <w:sz w:val="24"/>
                <w:szCs w:val="24"/>
              </w:rPr>
            </w:pPr>
            <w:r w:rsidRPr="006751AF">
              <w:rPr>
                <w:rFonts w:ascii="Times New Roman" w:hAnsi="Times New Roman"/>
                <w:bCs/>
                <w:sz w:val="24"/>
                <w:szCs w:val="24"/>
              </w:rPr>
              <w:t>2022</w:t>
            </w:r>
          </w:p>
        </w:tc>
        <w:tc>
          <w:tcPr>
            <w:tcW w:w="960" w:type="dxa"/>
            <w:noWrap/>
            <w:hideMark/>
          </w:tcPr>
          <w:p w14:paraId="62C331B5" w14:textId="77777777" w:rsidR="00F16DF5" w:rsidRPr="006751AF" w:rsidRDefault="00F16DF5" w:rsidP="003E7FD5">
            <w:pPr>
              <w:spacing w:line="360" w:lineRule="auto"/>
              <w:jc w:val="center"/>
              <w:rPr>
                <w:rFonts w:ascii="Times New Roman" w:hAnsi="Times New Roman"/>
                <w:bCs/>
                <w:sz w:val="24"/>
                <w:szCs w:val="24"/>
              </w:rPr>
            </w:pPr>
            <w:r w:rsidRPr="006751AF">
              <w:rPr>
                <w:rFonts w:ascii="Times New Roman" w:hAnsi="Times New Roman"/>
                <w:bCs/>
                <w:sz w:val="24"/>
                <w:szCs w:val="24"/>
              </w:rPr>
              <w:t>2021</w:t>
            </w:r>
          </w:p>
        </w:tc>
        <w:tc>
          <w:tcPr>
            <w:tcW w:w="960" w:type="dxa"/>
            <w:noWrap/>
            <w:hideMark/>
          </w:tcPr>
          <w:p w14:paraId="7556C76A" w14:textId="77777777" w:rsidR="00F16DF5" w:rsidRPr="006751AF" w:rsidRDefault="00F16DF5" w:rsidP="003E7FD5">
            <w:pPr>
              <w:spacing w:line="360" w:lineRule="auto"/>
              <w:jc w:val="center"/>
              <w:rPr>
                <w:rFonts w:ascii="Times New Roman" w:hAnsi="Times New Roman"/>
                <w:bCs/>
                <w:sz w:val="24"/>
                <w:szCs w:val="24"/>
              </w:rPr>
            </w:pPr>
            <w:r w:rsidRPr="006751AF">
              <w:rPr>
                <w:rFonts w:ascii="Times New Roman" w:hAnsi="Times New Roman"/>
                <w:bCs/>
                <w:sz w:val="24"/>
                <w:szCs w:val="24"/>
              </w:rPr>
              <w:t>2020</w:t>
            </w:r>
          </w:p>
        </w:tc>
        <w:tc>
          <w:tcPr>
            <w:tcW w:w="960" w:type="dxa"/>
            <w:noWrap/>
            <w:hideMark/>
          </w:tcPr>
          <w:p w14:paraId="1D2D2578" w14:textId="77777777" w:rsidR="00F16DF5" w:rsidRPr="006751AF" w:rsidRDefault="00F16DF5" w:rsidP="003E7FD5">
            <w:pPr>
              <w:spacing w:line="360" w:lineRule="auto"/>
              <w:jc w:val="center"/>
              <w:rPr>
                <w:rFonts w:ascii="Times New Roman" w:hAnsi="Times New Roman"/>
                <w:bCs/>
                <w:sz w:val="24"/>
                <w:szCs w:val="24"/>
              </w:rPr>
            </w:pPr>
            <w:r w:rsidRPr="006751AF">
              <w:rPr>
                <w:rFonts w:ascii="Times New Roman" w:hAnsi="Times New Roman"/>
                <w:bCs/>
                <w:sz w:val="24"/>
                <w:szCs w:val="24"/>
              </w:rPr>
              <w:t>2019</w:t>
            </w:r>
          </w:p>
        </w:tc>
      </w:tr>
      <w:tr w:rsidR="00F16DF5" w:rsidRPr="006751AF" w14:paraId="1C500D59" w14:textId="77777777" w:rsidTr="001E3E58">
        <w:trPr>
          <w:trHeight w:val="330"/>
          <w:jc w:val="center"/>
        </w:trPr>
        <w:tc>
          <w:tcPr>
            <w:tcW w:w="3380" w:type="dxa"/>
            <w:noWrap/>
            <w:hideMark/>
          </w:tcPr>
          <w:p w14:paraId="5F982EAB" w14:textId="77777777" w:rsidR="00F16DF5" w:rsidRPr="006751AF" w:rsidRDefault="00F16DF5" w:rsidP="003E7FD5">
            <w:pPr>
              <w:spacing w:line="360" w:lineRule="auto"/>
              <w:jc w:val="center"/>
              <w:rPr>
                <w:rFonts w:ascii="Times New Roman" w:hAnsi="Times New Roman"/>
                <w:bCs/>
                <w:sz w:val="24"/>
                <w:szCs w:val="24"/>
              </w:rPr>
            </w:pPr>
            <w:r w:rsidRPr="006751AF">
              <w:rPr>
                <w:rFonts w:ascii="Times New Roman" w:hAnsi="Times New Roman"/>
                <w:bCs/>
                <w:sz w:val="24"/>
                <w:szCs w:val="24"/>
              </w:rPr>
              <w:t>Loan-to-Deposit Ratio (LDR)</w:t>
            </w:r>
          </w:p>
        </w:tc>
        <w:tc>
          <w:tcPr>
            <w:tcW w:w="960" w:type="dxa"/>
            <w:noWrap/>
            <w:hideMark/>
          </w:tcPr>
          <w:p w14:paraId="6C4343BD" w14:textId="77777777" w:rsidR="00F16DF5" w:rsidRPr="006751AF" w:rsidRDefault="00F16DF5" w:rsidP="001E3E58">
            <w:pPr>
              <w:spacing w:line="360" w:lineRule="auto"/>
              <w:jc w:val="both"/>
              <w:rPr>
                <w:rFonts w:ascii="Times New Roman" w:hAnsi="Times New Roman"/>
                <w:bCs/>
                <w:sz w:val="24"/>
                <w:szCs w:val="24"/>
              </w:rPr>
            </w:pPr>
            <w:r w:rsidRPr="006751AF">
              <w:rPr>
                <w:rFonts w:ascii="Times New Roman" w:hAnsi="Times New Roman"/>
                <w:bCs/>
                <w:sz w:val="24"/>
                <w:szCs w:val="24"/>
              </w:rPr>
              <w:t>82.6%</w:t>
            </w:r>
          </w:p>
        </w:tc>
        <w:tc>
          <w:tcPr>
            <w:tcW w:w="960" w:type="dxa"/>
            <w:noWrap/>
            <w:hideMark/>
          </w:tcPr>
          <w:p w14:paraId="6B8A9FE5" w14:textId="77777777" w:rsidR="00F16DF5" w:rsidRPr="006751AF" w:rsidRDefault="00F16DF5" w:rsidP="001E3E58">
            <w:pPr>
              <w:spacing w:line="360" w:lineRule="auto"/>
              <w:jc w:val="both"/>
              <w:rPr>
                <w:rFonts w:ascii="Times New Roman" w:hAnsi="Times New Roman"/>
                <w:bCs/>
                <w:sz w:val="24"/>
                <w:szCs w:val="24"/>
              </w:rPr>
            </w:pPr>
            <w:r w:rsidRPr="006751AF">
              <w:rPr>
                <w:rFonts w:ascii="Times New Roman" w:hAnsi="Times New Roman"/>
                <w:bCs/>
                <w:sz w:val="24"/>
                <w:szCs w:val="24"/>
              </w:rPr>
              <w:t>83.3%</w:t>
            </w:r>
          </w:p>
        </w:tc>
        <w:tc>
          <w:tcPr>
            <w:tcW w:w="960" w:type="dxa"/>
            <w:noWrap/>
            <w:hideMark/>
          </w:tcPr>
          <w:p w14:paraId="4025064F" w14:textId="77777777" w:rsidR="00F16DF5" w:rsidRPr="006751AF" w:rsidRDefault="00F16DF5" w:rsidP="001E3E58">
            <w:pPr>
              <w:spacing w:line="360" w:lineRule="auto"/>
              <w:jc w:val="both"/>
              <w:rPr>
                <w:rFonts w:ascii="Times New Roman" w:hAnsi="Times New Roman"/>
                <w:bCs/>
                <w:sz w:val="24"/>
                <w:szCs w:val="24"/>
              </w:rPr>
            </w:pPr>
            <w:r w:rsidRPr="006751AF">
              <w:rPr>
                <w:rFonts w:ascii="Times New Roman" w:hAnsi="Times New Roman"/>
                <w:bCs/>
                <w:sz w:val="24"/>
                <w:szCs w:val="24"/>
              </w:rPr>
              <w:t>81.6%</w:t>
            </w:r>
          </w:p>
        </w:tc>
        <w:tc>
          <w:tcPr>
            <w:tcW w:w="960" w:type="dxa"/>
            <w:noWrap/>
            <w:hideMark/>
          </w:tcPr>
          <w:p w14:paraId="676FD0C0" w14:textId="77777777" w:rsidR="00F16DF5" w:rsidRPr="006751AF" w:rsidRDefault="00F16DF5" w:rsidP="001E3E58">
            <w:pPr>
              <w:spacing w:line="360" w:lineRule="auto"/>
              <w:jc w:val="both"/>
              <w:rPr>
                <w:rFonts w:ascii="Times New Roman" w:hAnsi="Times New Roman"/>
                <w:bCs/>
                <w:sz w:val="24"/>
                <w:szCs w:val="24"/>
              </w:rPr>
            </w:pPr>
            <w:r w:rsidRPr="006751AF">
              <w:rPr>
                <w:rFonts w:ascii="Times New Roman" w:hAnsi="Times New Roman"/>
                <w:bCs/>
                <w:sz w:val="24"/>
                <w:szCs w:val="24"/>
              </w:rPr>
              <w:t>80.0%</w:t>
            </w:r>
          </w:p>
        </w:tc>
        <w:tc>
          <w:tcPr>
            <w:tcW w:w="960" w:type="dxa"/>
            <w:noWrap/>
            <w:hideMark/>
          </w:tcPr>
          <w:p w14:paraId="47A83D9A" w14:textId="77777777" w:rsidR="00F16DF5" w:rsidRPr="006751AF" w:rsidRDefault="00F16DF5" w:rsidP="001E3E58">
            <w:pPr>
              <w:spacing w:line="360" w:lineRule="auto"/>
              <w:jc w:val="both"/>
              <w:rPr>
                <w:rFonts w:ascii="Times New Roman" w:hAnsi="Times New Roman"/>
                <w:bCs/>
                <w:sz w:val="24"/>
                <w:szCs w:val="24"/>
              </w:rPr>
            </w:pPr>
            <w:r w:rsidRPr="006751AF">
              <w:rPr>
                <w:rFonts w:ascii="Times New Roman" w:hAnsi="Times New Roman"/>
                <w:bCs/>
                <w:sz w:val="24"/>
                <w:szCs w:val="24"/>
              </w:rPr>
              <w:t>79.9%</w:t>
            </w:r>
          </w:p>
        </w:tc>
      </w:tr>
    </w:tbl>
    <w:p w14:paraId="461CBEFD" w14:textId="77777777" w:rsidR="00F16DF5" w:rsidRDefault="00F16DF5" w:rsidP="00F16DF5">
      <w:pPr>
        <w:spacing w:line="360" w:lineRule="auto"/>
        <w:jc w:val="both"/>
        <w:rPr>
          <w:rFonts w:ascii="Times New Roman" w:hAnsi="Times New Roman"/>
          <w:bCs/>
          <w:sz w:val="24"/>
          <w:szCs w:val="24"/>
        </w:rPr>
      </w:pPr>
    </w:p>
    <w:p w14:paraId="57D7B777" w14:textId="77777777" w:rsidR="00F16DF5" w:rsidRDefault="00F16DF5" w:rsidP="00F16DF5">
      <w:pPr>
        <w:spacing w:line="360" w:lineRule="auto"/>
        <w:jc w:val="center"/>
        <w:rPr>
          <w:rFonts w:ascii="Times New Roman" w:hAnsi="Times New Roman"/>
          <w:bCs/>
          <w:sz w:val="24"/>
          <w:szCs w:val="24"/>
        </w:rPr>
      </w:pPr>
      <w:r>
        <w:rPr>
          <w:noProof/>
        </w:rPr>
        <w:lastRenderedPageBreak/>
        <w:drawing>
          <wp:inline distT="0" distB="0" distL="0" distR="0" wp14:anchorId="35175F2D" wp14:editId="5CAB066E">
            <wp:extent cx="4248150" cy="2438400"/>
            <wp:effectExtent l="0" t="0" r="19050"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9A63BFB" w14:textId="77777777" w:rsidR="00B43088" w:rsidRPr="00B43088" w:rsidRDefault="00B43088" w:rsidP="00B43088">
      <w:pPr>
        <w:spacing w:line="360" w:lineRule="auto"/>
        <w:jc w:val="both"/>
        <w:rPr>
          <w:rFonts w:ascii="Times New Roman" w:hAnsi="Times New Roman"/>
          <w:bCs/>
          <w:sz w:val="24"/>
          <w:szCs w:val="24"/>
        </w:rPr>
      </w:pPr>
      <w:r w:rsidRPr="00B43088">
        <w:rPr>
          <w:rFonts w:ascii="Times New Roman" w:hAnsi="Times New Roman"/>
          <w:bCs/>
          <w:sz w:val="24"/>
          <w:szCs w:val="24"/>
        </w:rPr>
        <w:t>The LDR has remained around 80-83 per cent and this indicates that the deposits have been optimally deployed with</w:t>
      </w:r>
      <w:r w:rsidRPr="00B43088">
        <w:rPr>
          <w:rFonts w:ascii="Times New Roman" w:hAnsi="Times New Roman"/>
          <w:bCs/>
          <w:sz w:val="24"/>
          <w:szCs w:val="24"/>
        </w:rPr>
        <w:t> </w:t>
      </w:r>
      <w:r w:rsidRPr="00B43088">
        <w:rPr>
          <w:rFonts w:ascii="Times New Roman" w:hAnsi="Times New Roman"/>
          <w:bCs/>
          <w:sz w:val="24"/>
          <w:szCs w:val="24"/>
        </w:rPr>
        <w:t>adequate liquidity buffers. This ratio</w:t>
      </w:r>
      <w:r w:rsidRPr="00B43088">
        <w:rPr>
          <w:rFonts w:ascii="Times New Roman" w:hAnsi="Times New Roman"/>
          <w:bCs/>
          <w:sz w:val="24"/>
          <w:szCs w:val="24"/>
        </w:rPr>
        <w:t> </w:t>
      </w:r>
      <w:r w:rsidRPr="00B43088">
        <w:rPr>
          <w:rFonts w:ascii="Times New Roman" w:hAnsi="Times New Roman"/>
          <w:bCs/>
          <w:sz w:val="24"/>
          <w:szCs w:val="24"/>
        </w:rPr>
        <w:t>is consistent with well-run banks.</w:t>
      </w:r>
    </w:p>
    <w:p w14:paraId="4957C74D"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Concentration of Funding Sources:</w:t>
      </w:r>
      <w:r w:rsidRPr="006751AF">
        <w:rPr>
          <w:rFonts w:ascii="Times New Roman" w:hAnsi="Times New Roman"/>
          <w:bCs/>
          <w:sz w:val="24"/>
          <w:szCs w:val="24"/>
        </w:rPr>
        <w:t xml:space="preserve"> </w:t>
      </w:r>
      <w:r w:rsidR="00B43088" w:rsidRPr="00B43088">
        <w:rPr>
          <w:rFonts w:ascii="Times New Roman" w:hAnsi="Times New Roman"/>
          <w:bCs/>
          <w:sz w:val="24"/>
          <w:szCs w:val="24"/>
        </w:rPr>
        <w:t>The bank will monitor this closely to ensure that</w:t>
      </w:r>
      <w:r w:rsidR="00B43088" w:rsidRPr="00B43088">
        <w:rPr>
          <w:rFonts w:ascii="Times New Roman" w:hAnsi="Times New Roman"/>
          <w:bCs/>
          <w:sz w:val="24"/>
          <w:szCs w:val="24"/>
        </w:rPr>
        <w:t> </w:t>
      </w:r>
      <w:r w:rsidR="00B43088" w:rsidRPr="00B43088">
        <w:rPr>
          <w:rFonts w:ascii="Times New Roman" w:hAnsi="Times New Roman"/>
          <w:bCs/>
          <w:sz w:val="24"/>
          <w:szCs w:val="24"/>
        </w:rPr>
        <w:t>the funding isn’t overly reliant on volatile wholesale or high depositor concentrations. Secure funding is provided by the</w:t>
      </w:r>
      <w:r w:rsidR="00B43088" w:rsidRPr="00B43088">
        <w:rPr>
          <w:rFonts w:ascii="Times New Roman" w:hAnsi="Times New Roman"/>
          <w:bCs/>
          <w:sz w:val="24"/>
          <w:szCs w:val="24"/>
        </w:rPr>
        <w:t> </w:t>
      </w:r>
      <w:r w:rsidR="00B43088" w:rsidRPr="00B43088">
        <w:rPr>
          <w:rFonts w:ascii="Times New Roman" w:hAnsi="Times New Roman"/>
          <w:bCs/>
          <w:sz w:val="24"/>
          <w:szCs w:val="24"/>
        </w:rPr>
        <w:t>retail deposits, which account for over 60% of total deposits.</w:t>
      </w:r>
    </w:p>
    <w:tbl>
      <w:tblPr>
        <w:tblW w:w="8260" w:type="dxa"/>
        <w:jc w:val="center"/>
        <w:tblLook w:val="04A0" w:firstRow="1" w:lastRow="0" w:firstColumn="1" w:lastColumn="0" w:noHBand="0" w:noVBand="1"/>
      </w:tblPr>
      <w:tblGrid>
        <w:gridCol w:w="3460"/>
        <w:gridCol w:w="960"/>
        <w:gridCol w:w="960"/>
        <w:gridCol w:w="960"/>
        <w:gridCol w:w="960"/>
        <w:gridCol w:w="960"/>
      </w:tblGrid>
      <w:tr w:rsidR="00F16DF5" w:rsidRPr="006751AF" w14:paraId="469F93D5" w14:textId="77777777" w:rsidTr="001E3E58">
        <w:trPr>
          <w:trHeight w:val="300"/>
          <w:jc w:val="center"/>
        </w:trPr>
        <w:tc>
          <w:tcPr>
            <w:tcW w:w="3460" w:type="dxa"/>
            <w:tcBorders>
              <w:top w:val="single" w:sz="4" w:space="0" w:color="auto"/>
              <w:left w:val="single" w:sz="4" w:space="0" w:color="auto"/>
              <w:bottom w:val="single" w:sz="4" w:space="0" w:color="auto"/>
              <w:right w:val="single" w:sz="4" w:space="0" w:color="auto"/>
            </w:tcBorders>
            <w:noWrap/>
            <w:vAlign w:val="center"/>
            <w:hideMark/>
          </w:tcPr>
          <w:p w14:paraId="4785BAE0"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center"/>
            <w:hideMark/>
          </w:tcPr>
          <w:p w14:paraId="705EFE69"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c>
          <w:tcPr>
            <w:tcW w:w="960" w:type="dxa"/>
            <w:tcBorders>
              <w:top w:val="single" w:sz="4" w:space="0" w:color="auto"/>
              <w:left w:val="nil"/>
              <w:bottom w:val="single" w:sz="4" w:space="0" w:color="auto"/>
              <w:right w:val="single" w:sz="4" w:space="0" w:color="auto"/>
            </w:tcBorders>
            <w:noWrap/>
            <w:vAlign w:val="center"/>
            <w:hideMark/>
          </w:tcPr>
          <w:p w14:paraId="0752F696"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center"/>
            <w:hideMark/>
          </w:tcPr>
          <w:p w14:paraId="14CA9676"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center"/>
            <w:hideMark/>
          </w:tcPr>
          <w:p w14:paraId="3AFAE8A9"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center"/>
            <w:hideMark/>
          </w:tcPr>
          <w:p w14:paraId="46BC7349"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r>
      <w:tr w:rsidR="00F16DF5" w:rsidRPr="006751AF" w14:paraId="63B64AEF" w14:textId="77777777" w:rsidTr="001E3E58">
        <w:trPr>
          <w:trHeight w:val="300"/>
          <w:jc w:val="center"/>
        </w:trPr>
        <w:tc>
          <w:tcPr>
            <w:tcW w:w="3460" w:type="dxa"/>
            <w:tcBorders>
              <w:top w:val="nil"/>
              <w:left w:val="single" w:sz="4" w:space="0" w:color="auto"/>
              <w:bottom w:val="single" w:sz="4" w:space="0" w:color="auto"/>
              <w:right w:val="single" w:sz="4" w:space="0" w:color="auto"/>
            </w:tcBorders>
            <w:noWrap/>
            <w:vAlign w:val="center"/>
            <w:hideMark/>
          </w:tcPr>
          <w:p w14:paraId="72F723D3"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Retail deposits / Total deposits</w:t>
            </w:r>
          </w:p>
        </w:tc>
        <w:tc>
          <w:tcPr>
            <w:tcW w:w="960" w:type="dxa"/>
            <w:tcBorders>
              <w:top w:val="nil"/>
              <w:left w:val="nil"/>
              <w:bottom w:val="single" w:sz="4" w:space="0" w:color="auto"/>
              <w:right w:val="single" w:sz="4" w:space="0" w:color="auto"/>
            </w:tcBorders>
            <w:noWrap/>
            <w:vAlign w:val="center"/>
            <w:hideMark/>
          </w:tcPr>
          <w:p w14:paraId="0E26408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62.0%</w:t>
            </w:r>
          </w:p>
        </w:tc>
        <w:tc>
          <w:tcPr>
            <w:tcW w:w="960" w:type="dxa"/>
            <w:tcBorders>
              <w:top w:val="nil"/>
              <w:left w:val="nil"/>
              <w:bottom w:val="single" w:sz="4" w:space="0" w:color="auto"/>
              <w:right w:val="single" w:sz="4" w:space="0" w:color="auto"/>
            </w:tcBorders>
            <w:noWrap/>
            <w:vAlign w:val="center"/>
            <w:hideMark/>
          </w:tcPr>
          <w:p w14:paraId="6C85493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63.5%</w:t>
            </w:r>
          </w:p>
        </w:tc>
        <w:tc>
          <w:tcPr>
            <w:tcW w:w="960" w:type="dxa"/>
            <w:tcBorders>
              <w:top w:val="nil"/>
              <w:left w:val="nil"/>
              <w:bottom w:val="single" w:sz="4" w:space="0" w:color="auto"/>
              <w:right w:val="single" w:sz="4" w:space="0" w:color="auto"/>
            </w:tcBorders>
            <w:noWrap/>
            <w:vAlign w:val="center"/>
            <w:hideMark/>
          </w:tcPr>
          <w:p w14:paraId="505781B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65.0%</w:t>
            </w:r>
          </w:p>
        </w:tc>
        <w:tc>
          <w:tcPr>
            <w:tcW w:w="960" w:type="dxa"/>
            <w:tcBorders>
              <w:top w:val="nil"/>
              <w:left w:val="nil"/>
              <w:bottom w:val="single" w:sz="4" w:space="0" w:color="auto"/>
              <w:right w:val="single" w:sz="4" w:space="0" w:color="auto"/>
            </w:tcBorders>
            <w:noWrap/>
            <w:vAlign w:val="center"/>
            <w:hideMark/>
          </w:tcPr>
          <w:p w14:paraId="48188B0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66.0%</w:t>
            </w:r>
          </w:p>
        </w:tc>
        <w:tc>
          <w:tcPr>
            <w:tcW w:w="960" w:type="dxa"/>
            <w:tcBorders>
              <w:top w:val="nil"/>
              <w:left w:val="nil"/>
              <w:bottom w:val="single" w:sz="4" w:space="0" w:color="auto"/>
              <w:right w:val="single" w:sz="4" w:space="0" w:color="auto"/>
            </w:tcBorders>
            <w:noWrap/>
            <w:vAlign w:val="center"/>
            <w:hideMark/>
          </w:tcPr>
          <w:p w14:paraId="709A1F7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67.5%</w:t>
            </w:r>
          </w:p>
        </w:tc>
      </w:tr>
    </w:tbl>
    <w:p w14:paraId="636594E7" w14:textId="77777777" w:rsidR="00B43088" w:rsidRPr="00903DDA" w:rsidRDefault="00B43088" w:rsidP="00903DDA">
      <w:pPr>
        <w:spacing w:line="360" w:lineRule="auto"/>
        <w:jc w:val="both"/>
        <w:rPr>
          <w:rFonts w:ascii="Times New Roman" w:hAnsi="Times New Roman"/>
          <w:sz w:val="24"/>
          <w:szCs w:val="24"/>
        </w:rPr>
      </w:pPr>
      <w:r w:rsidRPr="00903DDA">
        <w:rPr>
          <w:rFonts w:ascii="Times New Roman" w:hAnsi="Times New Roman"/>
          <w:sz w:val="24"/>
          <w:szCs w:val="24"/>
        </w:rPr>
        <w:t>Dhaka Bank's growing dependence on customer</w:t>
      </w:r>
      <w:r w:rsidRPr="00903DDA">
        <w:rPr>
          <w:rFonts w:ascii="Times New Roman" w:hAnsi="Times New Roman"/>
          <w:sz w:val="24"/>
          <w:szCs w:val="24"/>
        </w:rPr>
        <w:t> </w:t>
      </w:r>
      <w:r w:rsidRPr="00903DDA">
        <w:rPr>
          <w:rFonts w:ascii="Times New Roman" w:hAnsi="Times New Roman"/>
          <w:sz w:val="24"/>
          <w:szCs w:val="24"/>
        </w:rPr>
        <w:t>deposits (of above 60% over 2019-2023) provides stability and diversification in funding base, reducing its exposure to volatile wholesale finance. It contributes to enhancing financial stability, avoiding the problems associated with lack of liquidity</w:t>
      </w:r>
      <w:r w:rsidRPr="00903DDA">
        <w:rPr>
          <w:rFonts w:ascii="Times New Roman" w:hAnsi="Times New Roman"/>
          <w:sz w:val="24"/>
          <w:szCs w:val="24"/>
        </w:rPr>
        <w:t> </w:t>
      </w:r>
      <w:r w:rsidRPr="00903DDA">
        <w:rPr>
          <w:rFonts w:ascii="Times New Roman" w:hAnsi="Times New Roman"/>
          <w:sz w:val="24"/>
          <w:szCs w:val="24"/>
        </w:rPr>
        <w:t>and showing a model for efficient risk management relying in long-term, relatively cheap funding.</w:t>
      </w:r>
    </w:p>
    <w:p w14:paraId="4B0E5934" w14:textId="77777777" w:rsidR="00F16DF5" w:rsidRPr="003C682B" w:rsidRDefault="00F16DF5" w:rsidP="00D527E4">
      <w:pPr>
        <w:pStyle w:val="Heading2"/>
        <w:rPr>
          <w:rFonts w:ascii="Times New Roman" w:hAnsi="Times New Roman" w:cs="Times New Roman"/>
          <w:b/>
          <w:sz w:val="24"/>
          <w:szCs w:val="24"/>
        </w:rPr>
      </w:pPr>
      <w:bookmarkStart w:id="48" w:name="_Toc214949040"/>
      <w:r w:rsidRPr="003C682B">
        <w:rPr>
          <w:rFonts w:ascii="Times New Roman" w:hAnsi="Times New Roman" w:cs="Times New Roman"/>
          <w:b/>
          <w:sz w:val="24"/>
          <w:szCs w:val="24"/>
        </w:rPr>
        <w:t>4.2.3 Contingency Funding Plan</w:t>
      </w:r>
      <w:bookmarkEnd w:id="48"/>
    </w:p>
    <w:p w14:paraId="00810054" w14:textId="77777777" w:rsidR="00D24214" w:rsidRPr="00D24214" w:rsidRDefault="00D24214" w:rsidP="00D24214">
      <w:pPr>
        <w:spacing w:line="360" w:lineRule="auto"/>
        <w:jc w:val="both"/>
        <w:rPr>
          <w:rFonts w:ascii="Times New Roman" w:hAnsi="Times New Roman"/>
          <w:bCs/>
          <w:sz w:val="24"/>
          <w:szCs w:val="24"/>
        </w:rPr>
      </w:pPr>
      <w:r w:rsidRPr="00D24214">
        <w:rPr>
          <w:rFonts w:ascii="Times New Roman" w:hAnsi="Times New Roman"/>
          <w:bCs/>
          <w:sz w:val="24"/>
          <w:szCs w:val="24"/>
        </w:rPr>
        <w:t>To deal with potential eventualities of liquidity crisis Dhaka Bank maintains the substantial Contingency Funding</w:t>
      </w:r>
      <w:r w:rsidRPr="00D24214">
        <w:rPr>
          <w:rFonts w:ascii="Times New Roman" w:hAnsi="Times New Roman"/>
          <w:bCs/>
          <w:sz w:val="24"/>
          <w:szCs w:val="24"/>
        </w:rPr>
        <w:t> </w:t>
      </w:r>
      <w:r w:rsidRPr="00D24214">
        <w:rPr>
          <w:rFonts w:ascii="Times New Roman" w:hAnsi="Times New Roman"/>
          <w:bCs/>
          <w:sz w:val="24"/>
          <w:szCs w:val="24"/>
        </w:rPr>
        <w:t>Plan (CFP):</w:t>
      </w:r>
    </w:p>
    <w:p w14:paraId="6FF64139" w14:textId="77777777" w:rsidR="00D24214" w:rsidRPr="00D24214" w:rsidRDefault="00F16DF5" w:rsidP="00D24214">
      <w:pPr>
        <w:spacing w:line="360" w:lineRule="auto"/>
        <w:jc w:val="both"/>
        <w:rPr>
          <w:rFonts w:ascii="Times New Roman" w:hAnsi="Times New Roman"/>
          <w:bCs/>
          <w:sz w:val="24"/>
          <w:szCs w:val="24"/>
        </w:rPr>
      </w:pPr>
      <w:r w:rsidRPr="006751AF">
        <w:rPr>
          <w:rFonts w:ascii="Times New Roman" w:hAnsi="Times New Roman"/>
          <w:b/>
          <w:bCs/>
          <w:sz w:val="24"/>
          <w:szCs w:val="24"/>
        </w:rPr>
        <w:t>Early Warning Indicators:</w:t>
      </w:r>
      <w:r w:rsidRPr="006751AF">
        <w:rPr>
          <w:rFonts w:ascii="Times New Roman" w:hAnsi="Times New Roman"/>
          <w:bCs/>
          <w:sz w:val="24"/>
          <w:szCs w:val="24"/>
        </w:rPr>
        <w:t xml:space="preserve"> </w:t>
      </w:r>
      <w:r w:rsidR="00D24214" w:rsidRPr="00D24214">
        <w:rPr>
          <w:rFonts w:ascii="Times New Roman" w:hAnsi="Times New Roman"/>
          <w:bCs/>
          <w:sz w:val="24"/>
          <w:szCs w:val="24"/>
        </w:rPr>
        <w:t>The scheme mentions early warning signals such as panic withdrawals, counter-party lines of credit drying up, a</w:t>
      </w:r>
      <w:r w:rsidR="00D24214" w:rsidRPr="00D24214">
        <w:rPr>
          <w:rFonts w:ascii="Times New Roman" w:hAnsi="Times New Roman"/>
          <w:bCs/>
          <w:sz w:val="24"/>
          <w:szCs w:val="24"/>
        </w:rPr>
        <w:t> </w:t>
      </w:r>
      <w:r w:rsidR="00D24214" w:rsidRPr="00D24214">
        <w:rPr>
          <w:rFonts w:ascii="Times New Roman" w:hAnsi="Times New Roman"/>
          <w:bCs/>
          <w:sz w:val="24"/>
          <w:szCs w:val="24"/>
        </w:rPr>
        <w:t>sharp deterioration in asset quality, rating downgrades and negative media reports.</w:t>
      </w:r>
    </w:p>
    <w:p w14:paraId="55311614" w14:textId="77777777" w:rsidR="00D24214" w:rsidRPr="00D24214" w:rsidRDefault="00F16DF5" w:rsidP="00D24214">
      <w:pPr>
        <w:spacing w:line="360" w:lineRule="auto"/>
        <w:jc w:val="both"/>
        <w:rPr>
          <w:rFonts w:ascii="Times New Roman" w:hAnsi="Times New Roman"/>
          <w:bCs/>
          <w:sz w:val="24"/>
          <w:szCs w:val="24"/>
        </w:rPr>
      </w:pPr>
      <w:r w:rsidRPr="006751AF">
        <w:rPr>
          <w:rFonts w:ascii="Times New Roman" w:hAnsi="Times New Roman"/>
          <w:b/>
          <w:bCs/>
          <w:sz w:val="24"/>
          <w:szCs w:val="24"/>
        </w:rPr>
        <w:lastRenderedPageBreak/>
        <w:t>Stress Scenarios:</w:t>
      </w:r>
      <w:r w:rsidRPr="006751AF">
        <w:rPr>
          <w:rFonts w:ascii="Times New Roman" w:eastAsia="Times New Roman" w:hAnsi="Times New Roman"/>
          <w:sz w:val="24"/>
          <w:szCs w:val="24"/>
        </w:rPr>
        <w:t xml:space="preserve"> </w:t>
      </w:r>
      <w:r w:rsidR="00D24214" w:rsidRPr="00D24214">
        <w:rPr>
          <w:rFonts w:ascii="Times New Roman" w:hAnsi="Times New Roman"/>
          <w:bCs/>
          <w:sz w:val="24"/>
          <w:szCs w:val="24"/>
        </w:rPr>
        <w:t>It calculates estimated needs for funding under a range of scenarios, from market-wide</w:t>
      </w:r>
      <w:r w:rsidR="00D24214" w:rsidRPr="00D24214">
        <w:rPr>
          <w:rFonts w:ascii="Times New Roman" w:hAnsi="Times New Roman"/>
          <w:bCs/>
          <w:sz w:val="24"/>
          <w:szCs w:val="24"/>
        </w:rPr>
        <w:t> </w:t>
      </w:r>
      <w:r w:rsidR="00D24214" w:rsidRPr="00D24214">
        <w:rPr>
          <w:rFonts w:ascii="Times New Roman" w:hAnsi="Times New Roman"/>
          <w:bCs/>
          <w:sz w:val="24"/>
          <w:szCs w:val="24"/>
        </w:rPr>
        <w:t>problems to the specific issues affecting an institution.</w:t>
      </w:r>
    </w:p>
    <w:p w14:paraId="5728D1B5" w14:textId="77777777" w:rsidR="00D24214" w:rsidRPr="00D24214" w:rsidRDefault="00F16DF5" w:rsidP="00D24214">
      <w:pPr>
        <w:spacing w:line="360" w:lineRule="auto"/>
        <w:jc w:val="both"/>
        <w:rPr>
          <w:rFonts w:ascii="Times New Roman" w:hAnsi="Times New Roman"/>
          <w:bCs/>
          <w:sz w:val="24"/>
          <w:szCs w:val="24"/>
        </w:rPr>
      </w:pPr>
      <w:r w:rsidRPr="006751AF">
        <w:rPr>
          <w:rFonts w:ascii="Times New Roman" w:hAnsi="Times New Roman"/>
          <w:b/>
          <w:bCs/>
          <w:sz w:val="24"/>
          <w:szCs w:val="24"/>
        </w:rPr>
        <w:t>Liquidity Sources:</w:t>
      </w:r>
      <w:r w:rsidRPr="006751AF">
        <w:rPr>
          <w:rFonts w:ascii="Times New Roman" w:hAnsi="Times New Roman"/>
          <w:bCs/>
          <w:sz w:val="24"/>
          <w:szCs w:val="24"/>
        </w:rPr>
        <w:t xml:space="preserve"> </w:t>
      </w:r>
      <w:r w:rsidR="00D24214" w:rsidRPr="00D24214">
        <w:rPr>
          <w:rFonts w:ascii="Times New Roman" w:hAnsi="Times New Roman"/>
          <w:bCs/>
          <w:sz w:val="24"/>
          <w:szCs w:val="24"/>
        </w:rPr>
        <w:t>Other G-securities that may be sold or repo'd; standby credit facilities; reducing investments in liquid assets; constraining new loan disbursements, and use</w:t>
      </w:r>
      <w:r w:rsidR="00D24214" w:rsidRPr="00D24214">
        <w:rPr>
          <w:rFonts w:ascii="Times New Roman" w:hAnsi="Times New Roman"/>
          <w:bCs/>
          <w:sz w:val="24"/>
          <w:szCs w:val="24"/>
        </w:rPr>
        <w:t> </w:t>
      </w:r>
      <w:r w:rsidR="00D24214" w:rsidRPr="00D24214">
        <w:rPr>
          <w:rFonts w:ascii="Times New Roman" w:hAnsi="Times New Roman"/>
          <w:bCs/>
          <w:sz w:val="24"/>
          <w:szCs w:val="24"/>
        </w:rPr>
        <w:t>of Bangladesh Bank emergency liquidity facility have been identified as alternative sources of contingent funding.</w:t>
      </w:r>
    </w:p>
    <w:p w14:paraId="540201CA" w14:textId="77777777" w:rsidR="00D24214" w:rsidRPr="00D24214" w:rsidRDefault="00F16DF5" w:rsidP="00D24214">
      <w:pPr>
        <w:spacing w:line="360" w:lineRule="auto"/>
        <w:jc w:val="both"/>
        <w:rPr>
          <w:rFonts w:ascii="Times New Roman" w:hAnsi="Times New Roman"/>
          <w:bCs/>
          <w:sz w:val="24"/>
          <w:szCs w:val="24"/>
        </w:rPr>
      </w:pPr>
      <w:r w:rsidRPr="006751AF">
        <w:rPr>
          <w:rFonts w:ascii="Times New Roman" w:hAnsi="Times New Roman"/>
          <w:b/>
          <w:bCs/>
          <w:sz w:val="24"/>
          <w:szCs w:val="24"/>
        </w:rPr>
        <w:t>Governance:</w:t>
      </w:r>
      <w:r w:rsidRPr="006751AF">
        <w:rPr>
          <w:rFonts w:ascii="Times New Roman" w:hAnsi="Times New Roman"/>
          <w:bCs/>
          <w:sz w:val="24"/>
          <w:szCs w:val="24"/>
        </w:rPr>
        <w:t xml:space="preserve"> </w:t>
      </w:r>
      <w:r w:rsidR="00D24214" w:rsidRPr="00D24214">
        <w:rPr>
          <w:rFonts w:ascii="Times New Roman" w:hAnsi="Times New Roman"/>
          <w:bCs/>
          <w:sz w:val="24"/>
          <w:szCs w:val="24"/>
        </w:rPr>
        <w:t>In case of liquidity stress events, the</w:t>
      </w:r>
      <w:r w:rsidR="00D24214" w:rsidRPr="00D24214">
        <w:rPr>
          <w:rFonts w:ascii="Times New Roman" w:hAnsi="Times New Roman"/>
          <w:bCs/>
          <w:sz w:val="24"/>
          <w:szCs w:val="24"/>
        </w:rPr>
        <w:t> </w:t>
      </w:r>
      <w:r w:rsidR="00D24214" w:rsidRPr="00D24214">
        <w:rPr>
          <w:rFonts w:ascii="Times New Roman" w:hAnsi="Times New Roman"/>
          <w:bCs/>
          <w:sz w:val="24"/>
          <w:szCs w:val="24"/>
        </w:rPr>
        <w:t>CFP clarifies who makes what decisions, who communicates where with whom, and how issues are escalated.</w:t>
      </w:r>
    </w:p>
    <w:p w14:paraId="6C0B97F1" w14:textId="77777777" w:rsidR="00F16DF5" w:rsidRDefault="00F16DF5" w:rsidP="00D527E4">
      <w:pPr>
        <w:pStyle w:val="Heading1"/>
        <w:jc w:val="left"/>
        <w:rPr>
          <w:rFonts w:ascii="Times New Roman" w:hAnsi="Times New Roman" w:cs="Times New Roman"/>
          <w:sz w:val="28"/>
        </w:rPr>
      </w:pPr>
      <w:bookmarkStart w:id="49" w:name="_Toc214949041"/>
      <w:r w:rsidRPr="003C682B">
        <w:rPr>
          <w:rFonts w:ascii="Times New Roman" w:hAnsi="Times New Roman" w:cs="Times New Roman"/>
          <w:sz w:val="28"/>
        </w:rPr>
        <w:t>4.3 Market Risk Management</w:t>
      </w:r>
      <w:bookmarkEnd w:id="49"/>
    </w:p>
    <w:p w14:paraId="13D0F888" w14:textId="77777777" w:rsidR="00E11522" w:rsidRPr="00E11522" w:rsidRDefault="00E11522" w:rsidP="00E11522"/>
    <w:p w14:paraId="52DB362C" w14:textId="77777777" w:rsidR="00663FBD" w:rsidRPr="00903DDA" w:rsidRDefault="00663FBD" w:rsidP="00903DDA">
      <w:pPr>
        <w:spacing w:line="360" w:lineRule="auto"/>
        <w:jc w:val="both"/>
        <w:rPr>
          <w:rFonts w:ascii="Times New Roman" w:hAnsi="Times New Roman"/>
          <w:sz w:val="24"/>
          <w:szCs w:val="24"/>
        </w:rPr>
      </w:pPr>
      <w:r w:rsidRPr="00903DDA">
        <w:rPr>
          <w:rFonts w:ascii="Times New Roman" w:hAnsi="Times New Roman"/>
          <w:sz w:val="24"/>
          <w:szCs w:val="24"/>
        </w:rPr>
        <w:t>Dhaka Bank manages market risk associated with interest rate exposures, stock investment and foreign exchange</w:t>
      </w:r>
      <w:r w:rsidRPr="00903DDA">
        <w:rPr>
          <w:rFonts w:ascii="Times New Roman" w:hAnsi="Times New Roman"/>
          <w:sz w:val="24"/>
          <w:szCs w:val="24"/>
        </w:rPr>
        <w:t> </w:t>
      </w:r>
      <w:r w:rsidRPr="00903DDA">
        <w:rPr>
          <w:rFonts w:ascii="Times New Roman" w:hAnsi="Times New Roman"/>
          <w:sz w:val="24"/>
          <w:szCs w:val="24"/>
        </w:rPr>
        <w:t>positions.</w:t>
      </w:r>
    </w:p>
    <w:p w14:paraId="3EBA1BBD" w14:textId="77777777" w:rsidR="00F16DF5" w:rsidRPr="003C682B" w:rsidRDefault="00F16DF5" w:rsidP="00D527E4">
      <w:pPr>
        <w:pStyle w:val="Heading2"/>
        <w:rPr>
          <w:rFonts w:ascii="Times New Roman" w:hAnsi="Times New Roman" w:cs="Times New Roman"/>
          <w:b/>
          <w:sz w:val="24"/>
          <w:szCs w:val="24"/>
        </w:rPr>
      </w:pPr>
      <w:bookmarkStart w:id="50" w:name="_Toc214949042"/>
      <w:r w:rsidRPr="003C682B">
        <w:rPr>
          <w:rFonts w:ascii="Times New Roman" w:hAnsi="Times New Roman" w:cs="Times New Roman"/>
          <w:b/>
          <w:sz w:val="24"/>
          <w:szCs w:val="24"/>
        </w:rPr>
        <w:t>4.3.1 Interest Rate Risk Management</w:t>
      </w:r>
      <w:bookmarkEnd w:id="50"/>
    </w:p>
    <w:p w14:paraId="04C6EEC4" w14:textId="77777777" w:rsidR="00663FBD" w:rsidRPr="00663FBD" w:rsidRDefault="00663FBD" w:rsidP="00663FBD">
      <w:pPr>
        <w:spacing w:line="360" w:lineRule="auto"/>
        <w:jc w:val="both"/>
        <w:rPr>
          <w:rFonts w:ascii="Times New Roman" w:hAnsi="Times New Roman"/>
          <w:bCs/>
          <w:sz w:val="24"/>
          <w:szCs w:val="24"/>
        </w:rPr>
      </w:pPr>
      <w:r w:rsidRPr="00663FBD">
        <w:rPr>
          <w:rFonts w:ascii="Times New Roman" w:hAnsi="Times New Roman"/>
          <w:bCs/>
          <w:sz w:val="24"/>
          <w:szCs w:val="24"/>
        </w:rPr>
        <w:t>Monthly the Asset-Liability Committee (ALCO) meets to review interest</w:t>
      </w:r>
      <w:r w:rsidRPr="00663FBD">
        <w:rPr>
          <w:rFonts w:ascii="Times New Roman" w:hAnsi="Times New Roman"/>
          <w:bCs/>
          <w:sz w:val="24"/>
          <w:szCs w:val="24"/>
        </w:rPr>
        <w:t> </w:t>
      </w:r>
      <w:r w:rsidRPr="00663FBD">
        <w:rPr>
          <w:rFonts w:ascii="Times New Roman" w:hAnsi="Times New Roman"/>
          <w:bCs/>
          <w:sz w:val="24"/>
          <w:szCs w:val="24"/>
        </w:rPr>
        <w:t>rate risk positions and develop strategies.</w:t>
      </w:r>
    </w:p>
    <w:p w14:paraId="5EC28528" w14:textId="77777777" w:rsidR="00663FBD" w:rsidRPr="00663FBD" w:rsidRDefault="00F16DF5" w:rsidP="00663FBD">
      <w:pPr>
        <w:spacing w:line="360" w:lineRule="auto"/>
        <w:jc w:val="both"/>
        <w:rPr>
          <w:rFonts w:ascii="Times New Roman" w:hAnsi="Times New Roman"/>
          <w:bCs/>
          <w:sz w:val="24"/>
          <w:szCs w:val="24"/>
        </w:rPr>
      </w:pPr>
      <w:r w:rsidRPr="006751AF">
        <w:rPr>
          <w:rFonts w:ascii="Times New Roman" w:hAnsi="Times New Roman"/>
          <w:b/>
          <w:bCs/>
          <w:sz w:val="24"/>
          <w:szCs w:val="24"/>
        </w:rPr>
        <w:t>Gap Analysis:</w:t>
      </w:r>
      <w:r w:rsidRPr="006751AF">
        <w:rPr>
          <w:rFonts w:ascii="Times New Roman" w:hAnsi="Times New Roman"/>
          <w:bCs/>
          <w:sz w:val="24"/>
          <w:szCs w:val="24"/>
        </w:rPr>
        <w:t xml:space="preserve"> </w:t>
      </w:r>
      <w:r w:rsidR="00663FBD" w:rsidRPr="00663FBD">
        <w:rPr>
          <w:rFonts w:ascii="Times New Roman" w:hAnsi="Times New Roman"/>
          <w:bCs/>
          <w:sz w:val="24"/>
          <w:szCs w:val="24"/>
        </w:rPr>
        <w:t>The bank measures interest rate sensitivity gap in time buckets the time buckets are: 1-3 months, 3-6 months, 6-12 months, 1-3 years, and over 3 years</w:t>
      </w:r>
      <w:r w:rsidR="00663FBD">
        <w:rPr>
          <w:rFonts w:ascii="Times New Roman" w:hAnsi="Times New Roman"/>
          <w:bCs/>
          <w:sz w:val="24"/>
          <w:szCs w:val="24"/>
        </w:rPr>
        <w:t xml:space="preserve">. </w:t>
      </w:r>
      <w:r w:rsidR="00663FBD" w:rsidRPr="00663FBD">
        <w:rPr>
          <w:rFonts w:ascii="Times New Roman" w:hAnsi="Times New Roman"/>
          <w:bCs/>
          <w:sz w:val="24"/>
          <w:szCs w:val="24"/>
        </w:rPr>
        <w:t>Wh</w:t>
      </w:r>
      <w:r w:rsidR="00663FBD">
        <w:rPr>
          <w:rFonts w:ascii="Times New Roman" w:hAnsi="Times New Roman"/>
          <w:bCs/>
          <w:sz w:val="24"/>
          <w:szCs w:val="24"/>
        </w:rPr>
        <w:t xml:space="preserve">en rates go up, positive gaps - </w:t>
      </w:r>
      <w:r w:rsidR="00663FBD" w:rsidRPr="00663FBD">
        <w:rPr>
          <w:rFonts w:ascii="Times New Roman" w:hAnsi="Times New Roman"/>
          <w:bCs/>
          <w:sz w:val="24"/>
          <w:szCs w:val="24"/>
        </w:rPr>
        <w:t>rate-sensitive assets that exce</w:t>
      </w:r>
      <w:r w:rsidR="00663FBD">
        <w:rPr>
          <w:rFonts w:ascii="Times New Roman" w:hAnsi="Times New Roman"/>
          <w:bCs/>
          <w:sz w:val="24"/>
          <w:szCs w:val="24"/>
        </w:rPr>
        <w:t xml:space="preserve">ed rate-sensitive liabilities - </w:t>
      </w:r>
      <w:r w:rsidR="00663FBD" w:rsidRPr="00663FBD">
        <w:rPr>
          <w:rFonts w:ascii="Times New Roman" w:hAnsi="Times New Roman"/>
          <w:bCs/>
          <w:sz w:val="24"/>
          <w:szCs w:val="24"/>
        </w:rPr>
        <w:t>are a</w:t>
      </w:r>
      <w:r w:rsidR="00663FBD" w:rsidRPr="00663FBD">
        <w:rPr>
          <w:rFonts w:ascii="Times New Roman" w:hAnsi="Times New Roman"/>
          <w:bCs/>
          <w:sz w:val="24"/>
          <w:szCs w:val="24"/>
        </w:rPr>
        <w:t> </w:t>
      </w:r>
      <w:r w:rsidR="00663FBD" w:rsidRPr="00663FBD">
        <w:rPr>
          <w:rFonts w:ascii="Times New Roman" w:hAnsi="Times New Roman"/>
          <w:bCs/>
          <w:sz w:val="24"/>
          <w:szCs w:val="24"/>
        </w:rPr>
        <w:t>boon and when they fall, they are a bane, and vice versa.</w:t>
      </w:r>
    </w:p>
    <w:tbl>
      <w:tblPr>
        <w:tblW w:w="7060" w:type="dxa"/>
        <w:jc w:val="center"/>
        <w:tblLook w:val="04A0" w:firstRow="1" w:lastRow="0" w:firstColumn="1" w:lastColumn="0" w:noHBand="0" w:noVBand="1"/>
      </w:tblPr>
      <w:tblGrid>
        <w:gridCol w:w="2260"/>
        <w:gridCol w:w="960"/>
        <w:gridCol w:w="960"/>
        <w:gridCol w:w="960"/>
        <w:gridCol w:w="960"/>
        <w:gridCol w:w="960"/>
      </w:tblGrid>
      <w:tr w:rsidR="00F16DF5" w:rsidRPr="006751AF" w14:paraId="187EA680" w14:textId="77777777" w:rsidTr="001E3E58">
        <w:trPr>
          <w:trHeight w:val="300"/>
          <w:jc w:val="center"/>
        </w:trPr>
        <w:tc>
          <w:tcPr>
            <w:tcW w:w="2260" w:type="dxa"/>
            <w:tcBorders>
              <w:top w:val="single" w:sz="4" w:space="0" w:color="auto"/>
              <w:left w:val="single" w:sz="4" w:space="0" w:color="auto"/>
              <w:bottom w:val="single" w:sz="4" w:space="0" w:color="auto"/>
              <w:right w:val="single" w:sz="4" w:space="0" w:color="auto"/>
            </w:tcBorders>
            <w:noWrap/>
            <w:vAlign w:val="center"/>
            <w:hideMark/>
          </w:tcPr>
          <w:p w14:paraId="677B32F6"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Time bucket</w:t>
            </w:r>
          </w:p>
        </w:tc>
        <w:tc>
          <w:tcPr>
            <w:tcW w:w="960" w:type="dxa"/>
            <w:tcBorders>
              <w:top w:val="single" w:sz="4" w:space="0" w:color="auto"/>
              <w:left w:val="nil"/>
              <w:bottom w:val="single" w:sz="4" w:space="0" w:color="auto"/>
              <w:right w:val="single" w:sz="4" w:space="0" w:color="auto"/>
            </w:tcBorders>
            <w:noWrap/>
            <w:vAlign w:val="center"/>
            <w:hideMark/>
          </w:tcPr>
          <w:p w14:paraId="7C5EE2A0"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c>
          <w:tcPr>
            <w:tcW w:w="960" w:type="dxa"/>
            <w:tcBorders>
              <w:top w:val="single" w:sz="4" w:space="0" w:color="auto"/>
              <w:left w:val="nil"/>
              <w:bottom w:val="single" w:sz="4" w:space="0" w:color="auto"/>
              <w:right w:val="single" w:sz="4" w:space="0" w:color="auto"/>
            </w:tcBorders>
            <w:noWrap/>
            <w:vAlign w:val="center"/>
            <w:hideMark/>
          </w:tcPr>
          <w:p w14:paraId="5F291D78"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center"/>
            <w:hideMark/>
          </w:tcPr>
          <w:p w14:paraId="475C5C7C"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center"/>
            <w:hideMark/>
          </w:tcPr>
          <w:p w14:paraId="3D54DD5C"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center"/>
            <w:hideMark/>
          </w:tcPr>
          <w:p w14:paraId="7BBCE3DE"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r>
      <w:tr w:rsidR="00F16DF5" w:rsidRPr="006751AF" w14:paraId="3503D984" w14:textId="77777777" w:rsidTr="001E3E58">
        <w:trPr>
          <w:trHeight w:val="300"/>
          <w:jc w:val="center"/>
        </w:trPr>
        <w:tc>
          <w:tcPr>
            <w:tcW w:w="2260" w:type="dxa"/>
            <w:tcBorders>
              <w:top w:val="nil"/>
              <w:left w:val="single" w:sz="4" w:space="0" w:color="auto"/>
              <w:bottom w:val="single" w:sz="4" w:space="0" w:color="auto"/>
              <w:right w:val="single" w:sz="4" w:space="0" w:color="auto"/>
            </w:tcBorders>
            <w:noWrap/>
            <w:vAlign w:val="center"/>
            <w:hideMark/>
          </w:tcPr>
          <w:p w14:paraId="4DC630E0"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Overnight</w:t>
            </w:r>
          </w:p>
        </w:tc>
        <w:tc>
          <w:tcPr>
            <w:tcW w:w="960" w:type="dxa"/>
            <w:tcBorders>
              <w:top w:val="nil"/>
              <w:left w:val="nil"/>
              <w:bottom w:val="single" w:sz="4" w:space="0" w:color="auto"/>
              <w:right w:val="single" w:sz="4" w:space="0" w:color="auto"/>
            </w:tcBorders>
            <w:noWrap/>
            <w:vAlign w:val="center"/>
            <w:hideMark/>
          </w:tcPr>
          <w:p w14:paraId="474DD9F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+4.0</w:t>
            </w:r>
          </w:p>
        </w:tc>
        <w:tc>
          <w:tcPr>
            <w:tcW w:w="960" w:type="dxa"/>
            <w:tcBorders>
              <w:top w:val="nil"/>
              <w:left w:val="nil"/>
              <w:bottom w:val="single" w:sz="4" w:space="0" w:color="auto"/>
              <w:right w:val="single" w:sz="4" w:space="0" w:color="auto"/>
            </w:tcBorders>
            <w:noWrap/>
            <w:vAlign w:val="center"/>
            <w:hideMark/>
          </w:tcPr>
          <w:p w14:paraId="10AEC0D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+3.5</w:t>
            </w:r>
          </w:p>
        </w:tc>
        <w:tc>
          <w:tcPr>
            <w:tcW w:w="960" w:type="dxa"/>
            <w:tcBorders>
              <w:top w:val="nil"/>
              <w:left w:val="nil"/>
              <w:bottom w:val="single" w:sz="4" w:space="0" w:color="auto"/>
              <w:right w:val="single" w:sz="4" w:space="0" w:color="auto"/>
            </w:tcBorders>
            <w:noWrap/>
            <w:vAlign w:val="center"/>
            <w:hideMark/>
          </w:tcPr>
          <w:p w14:paraId="1B293DE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+3.0</w:t>
            </w:r>
          </w:p>
        </w:tc>
        <w:tc>
          <w:tcPr>
            <w:tcW w:w="960" w:type="dxa"/>
            <w:tcBorders>
              <w:top w:val="nil"/>
              <w:left w:val="nil"/>
              <w:bottom w:val="single" w:sz="4" w:space="0" w:color="auto"/>
              <w:right w:val="single" w:sz="4" w:space="0" w:color="auto"/>
            </w:tcBorders>
            <w:noWrap/>
            <w:vAlign w:val="center"/>
            <w:hideMark/>
          </w:tcPr>
          <w:p w14:paraId="1839283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+2.0</w:t>
            </w:r>
          </w:p>
        </w:tc>
        <w:tc>
          <w:tcPr>
            <w:tcW w:w="960" w:type="dxa"/>
            <w:tcBorders>
              <w:top w:val="nil"/>
              <w:left w:val="nil"/>
              <w:bottom w:val="single" w:sz="4" w:space="0" w:color="auto"/>
              <w:right w:val="single" w:sz="4" w:space="0" w:color="auto"/>
            </w:tcBorders>
            <w:noWrap/>
            <w:vAlign w:val="center"/>
            <w:hideMark/>
          </w:tcPr>
          <w:p w14:paraId="63C91A5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+1.5</w:t>
            </w:r>
          </w:p>
        </w:tc>
      </w:tr>
      <w:tr w:rsidR="00F16DF5" w:rsidRPr="006751AF" w14:paraId="1405D630" w14:textId="77777777" w:rsidTr="001E3E58">
        <w:trPr>
          <w:trHeight w:val="300"/>
          <w:jc w:val="center"/>
        </w:trPr>
        <w:tc>
          <w:tcPr>
            <w:tcW w:w="2260" w:type="dxa"/>
            <w:tcBorders>
              <w:top w:val="nil"/>
              <w:left w:val="single" w:sz="4" w:space="0" w:color="auto"/>
              <w:bottom w:val="single" w:sz="4" w:space="0" w:color="auto"/>
              <w:right w:val="single" w:sz="4" w:space="0" w:color="auto"/>
            </w:tcBorders>
            <w:noWrap/>
            <w:vAlign w:val="center"/>
            <w:hideMark/>
          </w:tcPr>
          <w:p w14:paraId="6FBC5DFD"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w:t>
            </w:r>
            <w:r w:rsidRPr="006751AF">
              <w:rPr>
                <w:rFonts w:ascii="Times New Roman" w:eastAsia="Times New Roman" w:hAnsi="Times New Roman"/>
                <w:color w:val="000000"/>
                <w:sz w:val="24"/>
                <w:szCs w:val="24"/>
              </w:rPr>
              <w:noBreakHyphen/>
              <w:t>3 months</w:t>
            </w:r>
          </w:p>
        </w:tc>
        <w:tc>
          <w:tcPr>
            <w:tcW w:w="960" w:type="dxa"/>
            <w:tcBorders>
              <w:top w:val="nil"/>
              <w:left w:val="nil"/>
              <w:bottom w:val="single" w:sz="4" w:space="0" w:color="auto"/>
              <w:right w:val="single" w:sz="4" w:space="0" w:color="auto"/>
            </w:tcBorders>
            <w:noWrap/>
            <w:vAlign w:val="center"/>
            <w:hideMark/>
          </w:tcPr>
          <w:p w14:paraId="286EA63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+6.0</w:t>
            </w:r>
          </w:p>
        </w:tc>
        <w:tc>
          <w:tcPr>
            <w:tcW w:w="960" w:type="dxa"/>
            <w:tcBorders>
              <w:top w:val="nil"/>
              <w:left w:val="nil"/>
              <w:bottom w:val="single" w:sz="4" w:space="0" w:color="auto"/>
              <w:right w:val="single" w:sz="4" w:space="0" w:color="auto"/>
            </w:tcBorders>
            <w:noWrap/>
            <w:vAlign w:val="center"/>
            <w:hideMark/>
          </w:tcPr>
          <w:p w14:paraId="37EBC78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+5.5</w:t>
            </w:r>
          </w:p>
        </w:tc>
        <w:tc>
          <w:tcPr>
            <w:tcW w:w="960" w:type="dxa"/>
            <w:tcBorders>
              <w:top w:val="nil"/>
              <w:left w:val="nil"/>
              <w:bottom w:val="single" w:sz="4" w:space="0" w:color="auto"/>
              <w:right w:val="single" w:sz="4" w:space="0" w:color="auto"/>
            </w:tcBorders>
            <w:noWrap/>
            <w:vAlign w:val="center"/>
            <w:hideMark/>
          </w:tcPr>
          <w:p w14:paraId="6B52525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+5.0</w:t>
            </w:r>
          </w:p>
        </w:tc>
        <w:tc>
          <w:tcPr>
            <w:tcW w:w="960" w:type="dxa"/>
            <w:tcBorders>
              <w:top w:val="nil"/>
              <w:left w:val="nil"/>
              <w:bottom w:val="single" w:sz="4" w:space="0" w:color="auto"/>
              <w:right w:val="single" w:sz="4" w:space="0" w:color="auto"/>
            </w:tcBorders>
            <w:noWrap/>
            <w:vAlign w:val="center"/>
            <w:hideMark/>
          </w:tcPr>
          <w:p w14:paraId="502CEA2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+4.0</w:t>
            </w:r>
          </w:p>
        </w:tc>
        <w:tc>
          <w:tcPr>
            <w:tcW w:w="960" w:type="dxa"/>
            <w:tcBorders>
              <w:top w:val="nil"/>
              <w:left w:val="nil"/>
              <w:bottom w:val="single" w:sz="4" w:space="0" w:color="auto"/>
              <w:right w:val="single" w:sz="4" w:space="0" w:color="auto"/>
            </w:tcBorders>
            <w:noWrap/>
            <w:vAlign w:val="center"/>
            <w:hideMark/>
          </w:tcPr>
          <w:p w14:paraId="6620D12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+3.0</w:t>
            </w:r>
          </w:p>
        </w:tc>
      </w:tr>
      <w:tr w:rsidR="00F16DF5" w:rsidRPr="006751AF" w14:paraId="6FB1FC16" w14:textId="77777777" w:rsidTr="001E3E58">
        <w:trPr>
          <w:trHeight w:val="300"/>
          <w:jc w:val="center"/>
        </w:trPr>
        <w:tc>
          <w:tcPr>
            <w:tcW w:w="2260" w:type="dxa"/>
            <w:tcBorders>
              <w:top w:val="nil"/>
              <w:left w:val="single" w:sz="4" w:space="0" w:color="auto"/>
              <w:bottom w:val="single" w:sz="4" w:space="0" w:color="auto"/>
              <w:right w:val="single" w:sz="4" w:space="0" w:color="auto"/>
            </w:tcBorders>
            <w:noWrap/>
            <w:vAlign w:val="center"/>
            <w:hideMark/>
          </w:tcPr>
          <w:p w14:paraId="3EF6A84F"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w:t>
            </w:r>
            <w:r w:rsidRPr="006751AF">
              <w:rPr>
                <w:rFonts w:ascii="Times New Roman" w:eastAsia="Times New Roman" w:hAnsi="Times New Roman"/>
                <w:color w:val="000000"/>
                <w:sz w:val="24"/>
                <w:szCs w:val="24"/>
              </w:rPr>
              <w:noBreakHyphen/>
              <w:t>6 months</w:t>
            </w:r>
          </w:p>
        </w:tc>
        <w:tc>
          <w:tcPr>
            <w:tcW w:w="960" w:type="dxa"/>
            <w:tcBorders>
              <w:top w:val="nil"/>
              <w:left w:val="nil"/>
              <w:bottom w:val="single" w:sz="4" w:space="0" w:color="auto"/>
              <w:right w:val="single" w:sz="4" w:space="0" w:color="auto"/>
            </w:tcBorders>
            <w:noWrap/>
            <w:vAlign w:val="center"/>
            <w:hideMark/>
          </w:tcPr>
          <w:p w14:paraId="17A3B35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+5.0</w:t>
            </w:r>
          </w:p>
        </w:tc>
        <w:tc>
          <w:tcPr>
            <w:tcW w:w="960" w:type="dxa"/>
            <w:tcBorders>
              <w:top w:val="nil"/>
              <w:left w:val="nil"/>
              <w:bottom w:val="single" w:sz="4" w:space="0" w:color="auto"/>
              <w:right w:val="single" w:sz="4" w:space="0" w:color="auto"/>
            </w:tcBorders>
            <w:noWrap/>
            <w:vAlign w:val="center"/>
            <w:hideMark/>
          </w:tcPr>
          <w:p w14:paraId="7E2500B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+4.5</w:t>
            </w:r>
          </w:p>
        </w:tc>
        <w:tc>
          <w:tcPr>
            <w:tcW w:w="960" w:type="dxa"/>
            <w:tcBorders>
              <w:top w:val="nil"/>
              <w:left w:val="nil"/>
              <w:bottom w:val="single" w:sz="4" w:space="0" w:color="auto"/>
              <w:right w:val="single" w:sz="4" w:space="0" w:color="auto"/>
            </w:tcBorders>
            <w:noWrap/>
            <w:vAlign w:val="center"/>
            <w:hideMark/>
          </w:tcPr>
          <w:p w14:paraId="6C99C8C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+4.0</w:t>
            </w:r>
          </w:p>
        </w:tc>
        <w:tc>
          <w:tcPr>
            <w:tcW w:w="960" w:type="dxa"/>
            <w:tcBorders>
              <w:top w:val="nil"/>
              <w:left w:val="nil"/>
              <w:bottom w:val="single" w:sz="4" w:space="0" w:color="auto"/>
              <w:right w:val="single" w:sz="4" w:space="0" w:color="auto"/>
            </w:tcBorders>
            <w:noWrap/>
            <w:vAlign w:val="center"/>
            <w:hideMark/>
          </w:tcPr>
          <w:p w14:paraId="62B8084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+3.5</w:t>
            </w:r>
          </w:p>
        </w:tc>
        <w:tc>
          <w:tcPr>
            <w:tcW w:w="960" w:type="dxa"/>
            <w:tcBorders>
              <w:top w:val="nil"/>
              <w:left w:val="nil"/>
              <w:bottom w:val="single" w:sz="4" w:space="0" w:color="auto"/>
              <w:right w:val="single" w:sz="4" w:space="0" w:color="auto"/>
            </w:tcBorders>
            <w:noWrap/>
            <w:vAlign w:val="center"/>
            <w:hideMark/>
          </w:tcPr>
          <w:p w14:paraId="492370F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+2.5</w:t>
            </w:r>
          </w:p>
        </w:tc>
      </w:tr>
      <w:tr w:rsidR="00F16DF5" w:rsidRPr="006751AF" w14:paraId="3CE870DE" w14:textId="77777777" w:rsidTr="001E3E58">
        <w:trPr>
          <w:trHeight w:val="300"/>
          <w:jc w:val="center"/>
        </w:trPr>
        <w:tc>
          <w:tcPr>
            <w:tcW w:w="2260" w:type="dxa"/>
            <w:tcBorders>
              <w:top w:val="nil"/>
              <w:left w:val="single" w:sz="4" w:space="0" w:color="auto"/>
              <w:bottom w:val="single" w:sz="4" w:space="0" w:color="auto"/>
              <w:right w:val="single" w:sz="4" w:space="0" w:color="auto"/>
            </w:tcBorders>
            <w:noWrap/>
            <w:vAlign w:val="center"/>
            <w:hideMark/>
          </w:tcPr>
          <w:p w14:paraId="1A20CCF5"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w:t>
            </w:r>
            <w:r w:rsidRPr="006751AF">
              <w:rPr>
                <w:rFonts w:ascii="Times New Roman" w:eastAsia="Times New Roman" w:hAnsi="Times New Roman"/>
                <w:color w:val="000000"/>
                <w:sz w:val="24"/>
                <w:szCs w:val="24"/>
              </w:rPr>
              <w:noBreakHyphen/>
              <w:t>12 months</w:t>
            </w:r>
          </w:p>
        </w:tc>
        <w:tc>
          <w:tcPr>
            <w:tcW w:w="960" w:type="dxa"/>
            <w:tcBorders>
              <w:top w:val="nil"/>
              <w:left w:val="nil"/>
              <w:bottom w:val="single" w:sz="4" w:space="0" w:color="auto"/>
              <w:right w:val="single" w:sz="4" w:space="0" w:color="auto"/>
            </w:tcBorders>
            <w:noWrap/>
            <w:vAlign w:val="center"/>
            <w:hideMark/>
          </w:tcPr>
          <w:p w14:paraId="77639B4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+3.0</w:t>
            </w:r>
          </w:p>
        </w:tc>
        <w:tc>
          <w:tcPr>
            <w:tcW w:w="960" w:type="dxa"/>
            <w:tcBorders>
              <w:top w:val="nil"/>
              <w:left w:val="nil"/>
              <w:bottom w:val="single" w:sz="4" w:space="0" w:color="auto"/>
              <w:right w:val="single" w:sz="4" w:space="0" w:color="auto"/>
            </w:tcBorders>
            <w:noWrap/>
            <w:vAlign w:val="center"/>
            <w:hideMark/>
          </w:tcPr>
          <w:p w14:paraId="434A0A6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+2.5</w:t>
            </w:r>
          </w:p>
        </w:tc>
        <w:tc>
          <w:tcPr>
            <w:tcW w:w="960" w:type="dxa"/>
            <w:tcBorders>
              <w:top w:val="nil"/>
              <w:left w:val="nil"/>
              <w:bottom w:val="single" w:sz="4" w:space="0" w:color="auto"/>
              <w:right w:val="single" w:sz="4" w:space="0" w:color="auto"/>
            </w:tcBorders>
            <w:noWrap/>
            <w:vAlign w:val="center"/>
            <w:hideMark/>
          </w:tcPr>
          <w:p w14:paraId="0A7DF00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+2.0</w:t>
            </w:r>
          </w:p>
        </w:tc>
        <w:tc>
          <w:tcPr>
            <w:tcW w:w="960" w:type="dxa"/>
            <w:tcBorders>
              <w:top w:val="nil"/>
              <w:left w:val="nil"/>
              <w:bottom w:val="single" w:sz="4" w:space="0" w:color="auto"/>
              <w:right w:val="single" w:sz="4" w:space="0" w:color="auto"/>
            </w:tcBorders>
            <w:noWrap/>
            <w:vAlign w:val="center"/>
            <w:hideMark/>
          </w:tcPr>
          <w:p w14:paraId="1C6F0C6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+1.5</w:t>
            </w:r>
          </w:p>
        </w:tc>
        <w:tc>
          <w:tcPr>
            <w:tcW w:w="960" w:type="dxa"/>
            <w:tcBorders>
              <w:top w:val="nil"/>
              <w:left w:val="nil"/>
              <w:bottom w:val="single" w:sz="4" w:space="0" w:color="auto"/>
              <w:right w:val="single" w:sz="4" w:space="0" w:color="auto"/>
            </w:tcBorders>
            <w:noWrap/>
            <w:vAlign w:val="center"/>
            <w:hideMark/>
          </w:tcPr>
          <w:p w14:paraId="6B3A76B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+1.0</w:t>
            </w:r>
          </w:p>
        </w:tc>
      </w:tr>
      <w:tr w:rsidR="00F16DF5" w:rsidRPr="006751AF" w14:paraId="5A9EAF4C" w14:textId="77777777" w:rsidTr="001E3E58">
        <w:trPr>
          <w:trHeight w:val="300"/>
          <w:jc w:val="center"/>
        </w:trPr>
        <w:tc>
          <w:tcPr>
            <w:tcW w:w="2260" w:type="dxa"/>
            <w:tcBorders>
              <w:top w:val="nil"/>
              <w:left w:val="single" w:sz="4" w:space="0" w:color="auto"/>
              <w:bottom w:val="single" w:sz="4" w:space="0" w:color="auto"/>
              <w:right w:val="single" w:sz="4" w:space="0" w:color="auto"/>
            </w:tcBorders>
            <w:noWrap/>
            <w:vAlign w:val="center"/>
            <w:hideMark/>
          </w:tcPr>
          <w:p w14:paraId="3C3EC532"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w:t>
            </w:r>
            <w:r w:rsidRPr="006751AF">
              <w:rPr>
                <w:rFonts w:ascii="Times New Roman" w:eastAsia="Times New Roman" w:hAnsi="Times New Roman"/>
                <w:color w:val="000000"/>
                <w:sz w:val="24"/>
                <w:szCs w:val="24"/>
              </w:rPr>
              <w:noBreakHyphen/>
              <w:t>3 years</w:t>
            </w:r>
          </w:p>
        </w:tc>
        <w:tc>
          <w:tcPr>
            <w:tcW w:w="960" w:type="dxa"/>
            <w:tcBorders>
              <w:top w:val="nil"/>
              <w:left w:val="nil"/>
              <w:bottom w:val="single" w:sz="4" w:space="0" w:color="auto"/>
              <w:right w:val="single" w:sz="4" w:space="0" w:color="auto"/>
            </w:tcBorders>
            <w:noWrap/>
            <w:vAlign w:val="center"/>
            <w:hideMark/>
          </w:tcPr>
          <w:p w14:paraId="4F1FF31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–1.0</w:t>
            </w:r>
          </w:p>
        </w:tc>
        <w:tc>
          <w:tcPr>
            <w:tcW w:w="960" w:type="dxa"/>
            <w:tcBorders>
              <w:top w:val="nil"/>
              <w:left w:val="nil"/>
              <w:bottom w:val="single" w:sz="4" w:space="0" w:color="auto"/>
              <w:right w:val="single" w:sz="4" w:space="0" w:color="auto"/>
            </w:tcBorders>
            <w:noWrap/>
            <w:vAlign w:val="center"/>
            <w:hideMark/>
          </w:tcPr>
          <w:p w14:paraId="17BEAB9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–0.5</w:t>
            </w:r>
          </w:p>
        </w:tc>
        <w:tc>
          <w:tcPr>
            <w:tcW w:w="960" w:type="dxa"/>
            <w:tcBorders>
              <w:top w:val="nil"/>
              <w:left w:val="nil"/>
              <w:bottom w:val="single" w:sz="4" w:space="0" w:color="auto"/>
              <w:right w:val="single" w:sz="4" w:space="0" w:color="auto"/>
            </w:tcBorders>
            <w:noWrap/>
            <w:vAlign w:val="center"/>
            <w:hideMark/>
          </w:tcPr>
          <w:p w14:paraId="08C912E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0.0</w:t>
            </w:r>
          </w:p>
        </w:tc>
        <w:tc>
          <w:tcPr>
            <w:tcW w:w="960" w:type="dxa"/>
            <w:tcBorders>
              <w:top w:val="nil"/>
              <w:left w:val="nil"/>
              <w:bottom w:val="single" w:sz="4" w:space="0" w:color="auto"/>
              <w:right w:val="single" w:sz="4" w:space="0" w:color="auto"/>
            </w:tcBorders>
            <w:noWrap/>
            <w:vAlign w:val="center"/>
            <w:hideMark/>
          </w:tcPr>
          <w:p w14:paraId="24E6DBF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+0.5</w:t>
            </w:r>
          </w:p>
        </w:tc>
        <w:tc>
          <w:tcPr>
            <w:tcW w:w="960" w:type="dxa"/>
            <w:tcBorders>
              <w:top w:val="nil"/>
              <w:left w:val="nil"/>
              <w:bottom w:val="single" w:sz="4" w:space="0" w:color="auto"/>
              <w:right w:val="single" w:sz="4" w:space="0" w:color="auto"/>
            </w:tcBorders>
            <w:noWrap/>
            <w:vAlign w:val="center"/>
            <w:hideMark/>
          </w:tcPr>
          <w:p w14:paraId="4792825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+1.0</w:t>
            </w:r>
          </w:p>
        </w:tc>
      </w:tr>
      <w:tr w:rsidR="00F16DF5" w:rsidRPr="006751AF" w14:paraId="60A97133" w14:textId="77777777" w:rsidTr="001E3E58">
        <w:trPr>
          <w:trHeight w:val="300"/>
          <w:jc w:val="center"/>
        </w:trPr>
        <w:tc>
          <w:tcPr>
            <w:tcW w:w="2260" w:type="dxa"/>
            <w:tcBorders>
              <w:top w:val="nil"/>
              <w:left w:val="single" w:sz="4" w:space="0" w:color="auto"/>
              <w:bottom w:val="single" w:sz="4" w:space="0" w:color="auto"/>
              <w:right w:val="single" w:sz="4" w:space="0" w:color="auto"/>
            </w:tcBorders>
            <w:noWrap/>
            <w:vAlign w:val="center"/>
            <w:hideMark/>
          </w:tcPr>
          <w:p w14:paraId="14B7EE33"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Over 3 years</w:t>
            </w:r>
          </w:p>
        </w:tc>
        <w:tc>
          <w:tcPr>
            <w:tcW w:w="960" w:type="dxa"/>
            <w:tcBorders>
              <w:top w:val="nil"/>
              <w:left w:val="nil"/>
              <w:bottom w:val="single" w:sz="4" w:space="0" w:color="auto"/>
              <w:right w:val="single" w:sz="4" w:space="0" w:color="auto"/>
            </w:tcBorders>
            <w:noWrap/>
            <w:vAlign w:val="center"/>
            <w:hideMark/>
          </w:tcPr>
          <w:p w14:paraId="6F39CA1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–2.0</w:t>
            </w:r>
          </w:p>
        </w:tc>
        <w:tc>
          <w:tcPr>
            <w:tcW w:w="960" w:type="dxa"/>
            <w:tcBorders>
              <w:top w:val="nil"/>
              <w:left w:val="nil"/>
              <w:bottom w:val="single" w:sz="4" w:space="0" w:color="auto"/>
              <w:right w:val="single" w:sz="4" w:space="0" w:color="auto"/>
            </w:tcBorders>
            <w:noWrap/>
            <w:vAlign w:val="center"/>
            <w:hideMark/>
          </w:tcPr>
          <w:p w14:paraId="170B54C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–1.5</w:t>
            </w:r>
          </w:p>
        </w:tc>
        <w:tc>
          <w:tcPr>
            <w:tcW w:w="960" w:type="dxa"/>
            <w:tcBorders>
              <w:top w:val="nil"/>
              <w:left w:val="nil"/>
              <w:bottom w:val="single" w:sz="4" w:space="0" w:color="auto"/>
              <w:right w:val="single" w:sz="4" w:space="0" w:color="auto"/>
            </w:tcBorders>
            <w:noWrap/>
            <w:vAlign w:val="center"/>
            <w:hideMark/>
          </w:tcPr>
          <w:p w14:paraId="28BF867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–1.0</w:t>
            </w:r>
          </w:p>
        </w:tc>
        <w:tc>
          <w:tcPr>
            <w:tcW w:w="960" w:type="dxa"/>
            <w:tcBorders>
              <w:top w:val="nil"/>
              <w:left w:val="nil"/>
              <w:bottom w:val="single" w:sz="4" w:space="0" w:color="auto"/>
              <w:right w:val="single" w:sz="4" w:space="0" w:color="auto"/>
            </w:tcBorders>
            <w:noWrap/>
            <w:vAlign w:val="center"/>
            <w:hideMark/>
          </w:tcPr>
          <w:p w14:paraId="56977ED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–0.5</w:t>
            </w:r>
          </w:p>
        </w:tc>
        <w:tc>
          <w:tcPr>
            <w:tcW w:w="960" w:type="dxa"/>
            <w:tcBorders>
              <w:top w:val="nil"/>
              <w:left w:val="nil"/>
              <w:bottom w:val="single" w:sz="4" w:space="0" w:color="auto"/>
              <w:right w:val="single" w:sz="4" w:space="0" w:color="auto"/>
            </w:tcBorders>
            <w:noWrap/>
            <w:vAlign w:val="center"/>
            <w:hideMark/>
          </w:tcPr>
          <w:p w14:paraId="0CE8F91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0.0</w:t>
            </w:r>
          </w:p>
        </w:tc>
      </w:tr>
    </w:tbl>
    <w:p w14:paraId="5F689D0C" w14:textId="77777777" w:rsidR="00663FBD" w:rsidRPr="00663FBD" w:rsidRDefault="00663FBD" w:rsidP="00663FBD">
      <w:pPr>
        <w:spacing w:line="360" w:lineRule="auto"/>
        <w:jc w:val="both"/>
        <w:rPr>
          <w:rFonts w:ascii="Times New Roman" w:hAnsi="Times New Roman"/>
          <w:bCs/>
          <w:sz w:val="24"/>
          <w:szCs w:val="24"/>
        </w:rPr>
      </w:pPr>
      <w:r w:rsidRPr="00663FBD">
        <w:rPr>
          <w:rFonts w:ascii="Times New Roman" w:hAnsi="Times New Roman"/>
          <w:bCs/>
          <w:sz w:val="24"/>
          <w:szCs w:val="24"/>
        </w:rPr>
        <w:t>This schedule indicates that the bank is long-run exposed (1–3 years and beyond) but short run benefits (overnight to 6–12 months); from rises in</w:t>
      </w:r>
      <w:r w:rsidRPr="00663FBD">
        <w:rPr>
          <w:rFonts w:ascii="Times New Roman" w:hAnsi="Times New Roman"/>
          <w:bCs/>
          <w:sz w:val="24"/>
          <w:szCs w:val="24"/>
        </w:rPr>
        <w:t> </w:t>
      </w:r>
      <w:r w:rsidRPr="00663FBD">
        <w:rPr>
          <w:rFonts w:ascii="Times New Roman" w:hAnsi="Times New Roman"/>
          <w:bCs/>
          <w:sz w:val="24"/>
          <w:szCs w:val="24"/>
        </w:rPr>
        <w:t>interest rates. The bank´s long-term gaps reduced and the short-term stuff has grown over time, this evidencing tactical</w:t>
      </w:r>
      <w:r w:rsidRPr="00663FBD">
        <w:rPr>
          <w:rFonts w:ascii="Times New Roman" w:hAnsi="Times New Roman"/>
          <w:bCs/>
          <w:sz w:val="24"/>
          <w:szCs w:val="24"/>
        </w:rPr>
        <w:t> </w:t>
      </w:r>
      <w:r w:rsidRPr="00663FBD">
        <w:rPr>
          <w:rFonts w:ascii="Times New Roman" w:hAnsi="Times New Roman"/>
          <w:bCs/>
          <w:sz w:val="24"/>
          <w:szCs w:val="24"/>
        </w:rPr>
        <w:t xml:space="preserve">adaptations in </w:t>
      </w:r>
      <w:r w:rsidRPr="00663FBD">
        <w:rPr>
          <w:rFonts w:ascii="Times New Roman" w:hAnsi="Times New Roman"/>
          <w:bCs/>
          <w:sz w:val="24"/>
          <w:szCs w:val="24"/>
        </w:rPr>
        <w:lastRenderedPageBreak/>
        <w:t>asset-liability management. The bank in 2023</w:t>
      </w:r>
      <w:r w:rsidRPr="00663FBD">
        <w:rPr>
          <w:rFonts w:ascii="Times New Roman" w:hAnsi="Times New Roman"/>
          <w:bCs/>
          <w:sz w:val="24"/>
          <w:szCs w:val="24"/>
        </w:rPr>
        <w:t> </w:t>
      </w:r>
      <w:r w:rsidRPr="00663FBD">
        <w:rPr>
          <w:rFonts w:ascii="Times New Roman" w:hAnsi="Times New Roman"/>
          <w:bCs/>
          <w:sz w:val="24"/>
          <w:szCs w:val="24"/>
        </w:rPr>
        <w:t>will have a better match of its long-term rates sensitive assets and liabilities.</w:t>
      </w:r>
    </w:p>
    <w:p w14:paraId="4B5DC84D" w14:textId="77777777" w:rsidR="00663FBD" w:rsidRPr="00663FBD" w:rsidRDefault="00F16DF5" w:rsidP="00663FBD">
      <w:pPr>
        <w:spacing w:line="360" w:lineRule="auto"/>
        <w:jc w:val="both"/>
        <w:rPr>
          <w:rFonts w:ascii="Times New Roman" w:hAnsi="Times New Roman"/>
          <w:bCs/>
          <w:sz w:val="24"/>
          <w:szCs w:val="24"/>
        </w:rPr>
      </w:pPr>
      <w:r w:rsidRPr="006751AF">
        <w:rPr>
          <w:rFonts w:ascii="Times New Roman" w:hAnsi="Times New Roman"/>
          <w:b/>
          <w:bCs/>
          <w:sz w:val="24"/>
          <w:szCs w:val="24"/>
        </w:rPr>
        <w:t>Duration Analysis:</w:t>
      </w:r>
      <w:r w:rsidRPr="006751AF">
        <w:rPr>
          <w:rFonts w:ascii="Times New Roman" w:hAnsi="Times New Roman"/>
          <w:bCs/>
          <w:sz w:val="24"/>
          <w:szCs w:val="24"/>
        </w:rPr>
        <w:t xml:space="preserve"> </w:t>
      </w:r>
      <w:r w:rsidR="00663FBD" w:rsidRPr="00663FBD">
        <w:rPr>
          <w:rFonts w:ascii="Times New Roman" w:hAnsi="Times New Roman"/>
          <w:bCs/>
          <w:sz w:val="24"/>
          <w:szCs w:val="24"/>
        </w:rPr>
        <w:t>Sensitivity of stock value to</w:t>
      </w:r>
      <w:r w:rsidR="00663FBD" w:rsidRPr="00663FBD">
        <w:rPr>
          <w:rFonts w:ascii="Times New Roman" w:hAnsi="Times New Roman"/>
          <w:bCs/>
          <w:sz w:val="24"/>
          <w:szCs w:val="24"/>
        </w:rPr>
        <w:t> </w:t>
      </w:r>
      <w:r w:rsidR="00663FBD" w:rsidRPr="00663FBD">
        <w:rPr>
          <w:rFonts w:ascii="Times New Roman" w:hAnsi="Times New Roman"/>
          <w:bCs/>
          <w:sz w:val="24"/>
          <w:szCs w:val="24"/>
        </w:rPr>
        <w:t>interest rate shifts is explored by using the modified durations. The bank does not want to have a duration gap that is too large, and this will be defined by whatever the bank’s</w:t>
      </w:r>
      <w:r w:rsidR="00663FBD" w:rsidRPr="00663FBD">
        <w:rPr>
          <w:rFonts w:ascii="Times New Roman" w:hAnsi="Times New Roman"/>
          <w:bCs/>
          <w:sz w:val="24"/>
          <w:szCs w:val="24"/>
        </w:rPr>
        <w:t> </w:t>
      </w:r>
      <w:r w:rsidR="00663FBD" w:rsidRPr="00663FBD">
        <w:rPr>
          <w:rFonts w:ascii="Times New Roman" w:hAnsi="Times New Roman"/>
          <w:bCs/>
          <w:sz w:val="24"/>
          <w:szCs w:val="24"/>
        </w:rPr>
        <w:t>desired level of risk is.</w:t>
      </w:r>
    </w:p>
    <w:tbl>
      <w:tblPr>
        <w:tblW w:w="7800" w:type="dxa"/>
        <w:jc w:val="center"/>
        <w:tblLook w:val="04A0" w:firstRow="1" w:lastRow="0" w:firstColumn="1" w:lastColumn="0" w:noHBand="0" w:noVBand="1"/>
      </w:tblPr>
      <w:tblGrid>
        <w:gridCol w:w="3000"/>
        <w:gridCol w:w="960"/>
        <w:gridCol w:w="960"/>
        <w:gridCol w:w="960"/>
        <w:gridCol w:w="960"/>
        <w:gridCol w:w="960"/>
      </w:tblGrid>
      <w:tr w:rsidR="00F16DF5" w:rsidRPr="006751AF" w14:paraId="6FB392D4" w14:textId="77777777" w:rsidTr="001E3E58">
        <w:trPr>
          <w:trHeight w:val="300"/>
          <w:jc w:val="center"/>
        </w:trPr>
        <w:tc>
          <w:tcPr>
            <w:tcW w:w="3000" w:type="dxa"/>
            <w:tcBorders>
              <w:top w:val="single" w:sz="4" w:space="0" w:color="auto"/>
              <w:left w:val="single" w:sz="4" w:space="0" w:color="auto"/>
              <w:bottom w:val="single" w:sz="4" w:space="0" w:color="auto"/>
              <w:right w:val="single" w:sz="4" w:space="0" w:color="auto"/>
            </w:tcBorders>
            <w:noWrap/>
            <w:vAlign w:val="center"/>
            <w:hideMark/>
          </w:tcPr>
          <w:p w14:paraId="67D9FDDF"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center"/>
            <w:hideMark/>
          </w:tcPr>
          <w:p w14:paraId="30ED544A"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c>
          <w:tcPr>
            <w:tcW w:w="960" w:type="dxa"/>
            <w:tcBorders>
              <w:top w:val="single" w:sz="4" w:space="0" w:color="auto"/>
              <w:left w:val="nil"/>
              <w:bottom w:val="single" w:sz="4" w:space="0" w:color="auto"/>
              <w:right w:val="single" w:sz="4" w:space="0" w:color="auto"/>
            </w:tcBorders>
            <w:noWrap/>
            <w:vAlign w:val="center"/>
            <w:hideMark/>
          </w:tcPr>
          <w:p w14:paraId="1BC77387"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center"/>
            <w:hideMark/>
          </w:tcPr>
          <w:p w14:paraId="4DA7B0F3"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center"/>
            <w:hideMark/>
          </w:tcPr>
          <w:p w14:paraId="353C28E1"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center"/>
            <w:hideMark/>
          </w:tcPr>
          <w:p w14:paraId="5FF907F8"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r>
      <w:tr w:rsidR="00F16DF5" w:rsidRPr="006751AF" w14:paraId="6988CEB8" w14:textId="77777777" w:rsidTr="001E3E58">
        <w:trPr>
          <w:trHeight w:val="300"/>
          <w:jc w:val="center"/>
        </w:trPr>
        <w:tc>
          <w:tcPr>
            <w:tcW w:w="3000" w:type="dxa"/>
            <w:tcBorders>
              <w:top w:val="nil"/>
              <w:left w:val="single" w:sz="4" w:space="0" w:color="auto"/>
              <w:bottom w:val="single" w:sz="4" w:space="0" w:color="auto"/>
              <w:right w:val="single" w:sz="4" w:space="0" w:color="auto"/>
            </w:tcBorders>
            <w:noWrap/>
            <w:vAlign w:val="center"/>
            <w:hideMark/>
          </w:tcPr>
          <w:p w14:paraId="5714B1C5"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Duration</w:t>
            </w:r>
            <w:r w:rsidRPr="006751AF">
              <w:rPr>
                <w:rFonts w:ascii="Times New Roman" w:eastAsia="Times New Roman" w:hAnsi="Times New Roman"/>
                <w:color w:val="000000"/>
                <w:sz w:val="24"/>
                <w:szCs w:val="24"/>
              </w:rPr>
              <w:noBreakHyphen/>
              <w:t>Gap (% of equity)</w:t>
            </w:r>
          </w:p>
        </w:tc>
        <w:tc>
          <w:tcPr>
            <w:tcW w:w="960" w:type="dxa"/>
            <w:tcBorders>
              <w:top w:val="nil"/>
              <w:left w:val="nil"/>
              <w:bottom w:val="single" w:sz="4" w:space="0" w:color="auto"/>
              <w:right w:val="single" w:sz="4" w:space="0" w:color="auto"/>
            </w:tcBorders>
            <w:noWrap/>
            <w:vAlign w:val="center"/>
            <w:hideMark/>
          </w:tcPr>
          <w:p w14:paraId="4FF4BBF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4.2%</w:t>
            </w:r>
          </w:p>
        </w:tc>
        <w:tc>
          <w:tcPr>
            <w:tcW w:w="960" w:type="dxa"/>
            <w:tcBorders>
              <w:top w:val="nil"/>
              <w:left w:val="nil"/>
              <w:bottom w:val="single" w:sz="4" w:space="0" w:color="auto"/>
              <w:right w:val="single" w:sz="4" w:space="0" w:color="auto"/>
            </w:tcBorders>
            <w:noWrap/>
            <w:vAlign w:val="center"/>
            <w:hideMark/>
          </w:tcPr>
          <w:p w14:paraId="7ADCC88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3.8%</w:t>
            </w:r>
          </w:p>
        </w:tc>
        <w:tc>
          <w:tcPr>
            <w:tcW w:w="960" w:type="dxa"/>
            <w:tcBorders>
              <w:top w:val="nil"/>
              <w:left w:val="nil"/>
              <w:bottom w:val="single" w:sz="4" w:space="0" w:color="auto"/>
              <w:right w:val="single" w:sz="4" w:space="0" w:color="auto"/>
            </w:tcBorders>
            <w:noWrap/>
            <w:vAlign w:val="center"/>
            <w:hideMark/>
          </w:tcPr>
          <w:p w14:paraId="0306BBC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3.0%</w:t>
            </w:r>
          </w:p>
        </w:tc>
        <w:tc>
          <w:tcPr>
            <w:tcW w:w="960" w:type="dxa"/>
            <w:tcBorders>
              <w:top w:val="nil"/>
              <w:left w:val="nil"/>
              <w:bottom w:val="single" w:sz="4" w:space="0" w:color="auto"/>
              <w:right w:val="single" w:sz="4" w:space="0" w:color="auto"/>
            </w:tcBorders>
            <w:noWrap/>
            <w:vAlign w:val="center"/>
            <w:hideMark/>
          </w:tcPr>
          <w:p w14:paraId="345F03E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2.5%</w:t>
            </w:r>
          </w:p>
        </w:tc>
        <w:tc>
          <w:tcPr>
            <w:tcW w:w="960" w:type="dxa"/>
            <w:tcBorders>
              <w:top w:val="nil"/>
              <w:left w:val="nil"/>
              <w:bottom w:val="single" w:sz="4" w:space="0" w:color="auto"/>
              <w:right w:val="single" w:sz="4" w:space="0" w:color="auto"/>
            </w:tcBorders>
            <w:noWrap/>
            <w:vAlign w:val="center"/>
            <w:hideMark/>
          </w:tcPr>
          <w:p w14:paraId="3C24C43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2.3%</w:t>
            </w:r>
          </w:p>
        </w:tc>
      </w:tr>
    </w:tbl>
    <w:p w14:paraId="406F4707" w14:textId="77777777" w:rsidR="00F16DF5" w:rsidRPr="006751AF" w:rsidRDefault="00F16DF5" w:rsidP="00F16DF5">
      <w:pPr>
        <w:spacing w:line="360" w:lineRule="auto"/>
        <w:jc w:val="both"/>
        <w:rPr>
          <w:rFonts w:ascii="Times New Roman" w:hAnsi="Times New Roman"/>
          <w:bCs/>
          <w:sz w:val="24"/>
          <w:szCs w:val="24"/>
        </w:rPr>
      </w:pPr>
    </w:p>
    <w:p w14:paraId="0804BDC0" w14:textId="77777777" w:rsidR="00F16DF5" w:rsidRDefault="00F16DF5" w:rsidP="00F16DF5">
      <w:pPr>
        <w:spacing w:line="360" w:lineRule="auto"/>
        <w:jc w:val="center"/>
        <w:rPr>
          <w:rFonts w:ascii="Times New Roman" w:hAnsi="Times New Roman"/>
          <w:bCs/>
          <w:sz w:val="24"/>
          <w:szCs w:val="24"/>
        </w:rPr>
      </w:pPr>
      <w:r>
        <w:rPr>
          <w:noProof/>
        </w:rPr>
        <w:drawing>
          <wp:inline distT="0" distB="0" distL="0" distR="0" wp14:anchorId="2822A452" wp14:editId="5406A904">
            <wp:extent cx="4029075" cy="2314575"/>
            <wp:effectExtent l="0" t="0" r="952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8F018EF" w14:textId="77777777" w:rsidR="00663FBD" w:rsidRPr="00663FBD" w:rsidRDefault="00663FBD" w:rsidP="00663FBD">
      <w:pPr>
        <w:spacing w:line="360" w:lineRule="auto"/>
        <w:jc w:val="both"/>
        <w:rPr>
          <w:rFonts w:ascii="Times New Roman" w:hAnsi="Times New Roman"/>
          <w:bCs/>
          <w:sz w:val="24"/>
          <w:szCs w:val="24"/>
        </w:rPr>
      </w:pPr>
      <w:r w:rsidRPr="00663FBD">
        <w:rPr>
          <w:rFonts w:ascii="Times New Roman" w:hAnsi="Times New Roman"/>
          <w:bCs/>
          <w:sz w:val="24"/>
          <w:szCs w:val="24"/>
        </w:rPr>
        <w:t>It tells how sensitive the bank</w:t>
      </w:r>
      <w:r w:rsidRPr="00663FBD">
        <w:rPr>
          <w:rFonts w:ascii="Times New Roman" w:hAnsi="Times New Roman"/>
          <w:bCs/>
          <w:sz w:val="24"/>
          <w:szCs w:val="24"/>
        </w:rPr>
        <w:t> </w:t>
      </w:r>
      <w:r w:rsidRPr="00663FBD">
        <w:rPr>
          <w:rFonts w:ascii="Times New Roman" w:hAnsi="Times New Roman"/>
          <w:bCs/>
          <w:sz w:val="24"/>
          <w:szCs w:val="24"/>
        </w:rPr>
        <w:t>is to changes in interest rates. The</w:t>
      </w:r>
      <w:r w:rsidRPr="00663FBD">
        <w:rPr>
          <w:rFonts w:ascii="Times New Roman" w:hAnsi="Times New Roman"/>
          <w:bCs/>
          <w:sz w:val="24"/>
          <w:szCs w:val="24"/>
        </w:rPr>
        <w:t> </w:t>
      </w:r>
      <w:r w:rsidRPr="00663FBD">
        <w:rPr>
          <w:rFonts w:ascii="Times New Roman" w:hAnsi="Times New Roman"/>
          <w:bCs/>
          <w:sz w:val="24"/>
          <w:szCs w:val="24"/>
        </w:rPr>
        <w:t>bank’s efforts to align asset-liability management with risk tolerance can be seen in the fact that, relatively speaking, numbers are worked lower steadily throughout the period as lower sensitivity to interest rate changes is being achieved.</w:t>
      </w:r>
    </w:p>
    <w:p w14:paraId="6DF96CC7" w14:textId="77777777" w:rsidR="00663FBD" w:rsidRPr="00663FBD" w:rsidRDefault="00F16DF5" w:rsidP="00663FBD">
      <w:pPr>
        <w:spacing w:line="360" w:lineRule="auto"/>
        <w:jc w:val="both"/>
        <w:rPr>
          <w:rFonts w:ascii="Times New Roman" w:hAnsi="Times New Roman"/>
          <w:bCs/>
          <w:sz w:val="24"/>
          <w:szCs w:val="24"/>
        </w:rPr>
      </w:pPr>
      <w:r w:rsidRPr="006751AF">
        <w:rPr>
          <w:rFonts w:ascii="Times New Roman" w:hAnsi="Times New Roman"/>
          <w:b/>
          <w:bCs/>
          <w:sz w:val="24"/>
          <w:szCs w:val="24"/>
        </w:rPr>
        <w:t>Rate Repricing:</w:t>
      </w:r>
      <w:r w:rsidRPr="006751AF">
        <w:rPr>
          <w:rFonts w:ascii="Times New Roman" w:hAnsi="Times New Roman"/>
          <w:bCs/>
          <w:sz w:val="24"/>
          <w:szCs w:val="24"/>
        </w:rPr>
        <w:t xml:space="preserve"> </w:t>
      </w:r>
      <w:r w:rsidR="00663FBD" w:rsidRPr="00663FBD">
        <w:rPr>
          <w:rFonts w:ascii="Times New Roman" w:hAnsi="Times New Roman"/>
          <w:bCs/>
          <w:sz w:val="24"/>
          <w:szCs w:val="24"/>
        </w:rPr>
        <w:t>To keep the net interest margins at a consistent level, ALCO changes deposit and lending rates</w:t>
      </w:r>
      <w:r w:rsidR="00663FBD" w:rsidRPr="00663FBD">
        <w:rPr>
          <w:rFonts w:ascii="Times New Roman" w:hAnsi="Times New Roman"/>
          <w:bCs/>
          <w:sz w:val="24"/>
          <w:szCs w:val="24"/>
        </w:rPr>
        <w:t> </w:t>
      </w:r>
      <w:r w:rsidR="00663FBD" w:rsidRPr="00663FBD">
        <w:rPr>
          <w:rFonts w:ascii="Times New Roman" w:hAnsi="Times New Roman"/>
          <w:bCs/>
          <w:sz w:val="24"/>
          <w:szCs w:val="24"/>
        </w:rPr>
        <w:t>corresponding to Bangladesh Bank policy rates, competitive landscape and funding need.</w:t>
      </w:r>
    </w:p>
    <w:p w14:paraId="14CEF3F9" w14:textId="77777777" w:rsidR="00F16DF5" w:rsidRPr="000530C8" w:rsidRDefault="00F16DF5" w:rsidP="000530C8">
      <w:pPr>
        <w:pStyle w:val="Heading2"/>
        <w:rPr>
          <w:rFonts w:ascii="Times New Roman" w:hAnsi="Times New Roman" w:cs="Times New Roman"/>
          <w:b/>
          <w:sz w:val="24"/>
          <w:szCs w:val="24"/>
        </w:rPr>
      </w:pPr>
      <w:bookmarkStart w:id="51" w:name="_Toc214949043"/>
      <w:r w:rsidRPr="000530C8">
        <w:rPr>
          <w:rFonts w:ascii="Times New Roman" w:hAnsi="Times New Roman" w:cs="Times New Roman"/>
          <w:b/>
          <w:sz w:val="24"/>
          <w:szCs w:val="24"/>
        </w:rPr>
        <w:t>4.3.2 Investment Portfolio Management</w:t>
      </w:r>
      <w:bookmarkEnd w:id="51"/>
    </w:p>
    <w:p w14:paraId="62725DAA" w14:textId="77777777" w:rsidR="008668EE" w:rsidRPr="008668EE" w:rsidRDefault="008668EE" w:rsidP="008668EE">
      <w:pPr>
        <w:spacing w:line="360" w:lineRule="auto"/>
        <w:jc w:val="both"/>
        <w:rPr>
          <w:rFonts w:ascii="Times New Roman" w:hAnsi="Times New Roman"/>
          <w:bCs/>
          <w:sz w:val="24"/>
          <w:szCs w:val="24"/>
        </w:rPr>
      </w:pPr>
      <w:r w:rsidRPr="008668EE">
        <w:rPr>
          <w:rFonts w:ascii="Times New Roman" w:hAnsi="Times New Roman"/>
          <w:bCs/>
          <w:sz w:val="24"/>
          <w:szCs w:val="24"/>
        </w:rPr>
        <w:t>Dhaka Bank has government securities, corporate bonds and equities as</w:t>
      </w:r>
      <w:r w:rsidRPr="008668EE">
        <w:rPr>
          <w:rFonts w:ascii="Times New Roman" w:hAnsi="Times New Roman"/>
          <w:bCs/>
          <w:sz w:val="24"/>
          <w:szCs w:val="24"/>
        </w:rPr>
        <w:t> </w:t>
      </w:r>
      <w:r w:rsidRPr="008668EE">
        <w:rPr>
          <w:rFonts w:ascii="Times New Roman" w:hAnsi="Times New Roman"/>
          <w:bCs/>
          <w:sz w:val="24"/>
          <w:szCs w:val="24"/>
        </w:rPr>
        <w:t>its investments:</w:t>
      </w:r>
    </w:p>
    <w:p w14:paraId="5880242A" w14:textId="77777777" w:rsidR="008668EE" w:rsidRPr="008668EE" w:rsidRDefault="00F16DF5" w:rsidP="008668EE">
      <w:pPr>
        <w:spacing w:line="360" w:lineRule="auto"/>
        <w:jc w:val="both"/>
        <w:rPr>
          <w:rFonts w:ascii="Times New Roman" w:hAnsi="Times New Roman"/>
          <w:bCs/>
          <w:sz w:val="24"/>
          <w:szCs w:val="24"/>
        </w:rPr>
      </w:pPr>
      <w:r w:rsidRPr="006751AF">
        <w:rPr>
          <w:rFonts w:ascii="Times New Roman" w:hAnsi="Times New Roman"/>
          <w:b/>
          <w:bCs/>
          <w:sz w:val="24"/>
          <w:szCs w:val="24"/>
        </w:rPr>
        <w:lastRenderedPageBreak/>
        <w:t>Government Securities:</w:t>
      </w:r>
      <w:r w:rsidRPr="006751AF">
        <w:rPr>
          <w:rFonts w:ascii="Times New Roman" w:hAnsi="Times New Roman"/>
          <w:bCs/>
          <w:sz w:val="24"/>
          <w:szCs w:val="24"/>
        </w:rPr>
        <w:t xml:space="preserve"> </w:t>
      </w:r>
      <w:r w:rsidR="008668EE" w:rsidRPr="008668EE">
        <w:rPr>
          <w:rFonts w:ascii="Times New Roman" w:hAnsi="Times New Roman"/>
          <w:bCs/>
          <w:sz w:val="24"/>
          <w:szCs w:val="24"/>
        </w:rPr>
        <w:t>These include Treasury bills and bonds that are primarily held for enabling compliance with the statutory liquidity ratios (SLR)</w:t>
      </w:r>
      <w:r w:rsidR="008668EE" w:rsidRPr="008668EE">
        <w:rPr>
          <w:rFonts w:ascii="Times New Roman" w:hAnsi="Times New Roman"/>
          <w:bCs/>
          <w:sz w:val="24"/>
          <w:szCs w:val="24"/>
        </w:rPr>
        <w:t> </w:t>
      </w:r>
      <w:r w:rsidR="008668EE" w:rsidRPr="008668EE">
        <w:rPr>
          <w:rFonts w:ascii="Times New Roman" w:hAnsi="Times New Roman"/>
          <w:bCs/>
          <w:sz w:val="24"/>
          <w:szCs w:val="24"/>
        </w:rPr>
        <w:t>and also for managing the banks' liquidity. Interest rate risk is controlled by the relatively short duration</w:t>
      </w:r>
      <w:r w:rsidR="008668EE" w:rsidRPr="008668EE">
        <w:rPr>
          <w:rFonts w:ascii="Times New Roman" w:hAnsi="Times New Roman"/>
          <w:bCs/>
          <w:sz w:val="24"/>
          <w:szCs w:val="24"/>
        </w:rPr>
        <w:t> </w:t>
      </w:r>
      <w:r w:rsidR="008668EE" w:rsidRPr="008668EE">
        <w:rPr>
          <w:rFonts w:ascii="Times New Roman" w:hAnsi="Times New Roman"/>
          <w:bCs/>
          <w:sz w:val="24"/>
          <w:szCs w:val="24"/>
        </w:rPr>
        <w:t>of the portfolio.</w:t>
      </w:r>
    </w:p>
    <w:tbl>
      <w:tblPr>
        <w:tblW w:w="7360" w:type="dxa"/>
        <w:jc w:val="center"/>
        <w:tblLook w:val="04A0" w:firstRow="1" w:lastRow="0" w:firstColumn="1" w:lastColumn="0" w:noHBand="0" w:noVBand="1"/>
      </w:tblPr>
      <w:tblGrid>
        <w:gridCol w:w="2560"/>
        <w:gridCol w:w="960"/>
        <w:gridCol w:w="960"/>
        <w:gridCol w:w="960"/>
        <w:gridCol w:w="960"/>
        <w:gridCol w:w="960"/>
      </w:tblGrid>
      <w:tr w:rsidR="00F16DF5" w:rsidRPr="006751AF" w14:paraId="0FF4F631" w14:textId="77777777" w:rsidTr="001E3E58">
        <w:trPr>
          <w:trHeight w:val="300"/>
          <w:jc w:val="center"/>
        </w:trPr>
        <w:tc>
          <w:tcPr>
            <w:tcW w:w="2560" w:type="dxa"/>
            <w:tcBorders>
              <w:top w:val="single" w:sz="4" w:space="0" w:color="auto"/>
              <w:left w:val="single" w:sz="4" w:space="0" w:color="auto"/>
              <w:bottom w:val="single" w:sz="4" w:space="0" w:color="auto"/>
              <w:right w:val="single" w:sz="4" w:space="0" w:color="auto"/>
            </w:tcBorders>
            <w:noWrap/>
            <w:vAlign w:val="center"/>
            <w:hideMark/>
          </w:tcPr>
          <w:p w14:paraId="46F83E31"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Category</w:t>
            </w:r>
          </w:p>
        </w:tc>
        <w:tc>
          <w:tcPr>
            <w:tcW w:w="960" w:type="dxa"/>
            <w:tcBorders>
              <w:top w:val="single" w:sz="4" w:space="0" w:color="auto"/>
              <w:left w:val="nil"/>
              <w:bottom w:val="single" w:sz="4" w:space="0" w:color="auto"/>
              <w:right w:val="single" w:sz="4" w:space="0" w:color="auto"/>
            </w:tcBorders>
            <w:noWrap/>
            <w:vAlign w:val="center"/>
            <w:hideMark/>
          </w:tcPr>
          <w:p w14:paraId="3C76BCF6"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2019</w:t>
            </w:r>
          </w:p>
        </w:tc>
        <w:tc>
          <w:tcPr>
            <w:tcW w:w="960" w:type="dxa"/>
            <w:tcBorders>
              <w:top w:val="single" w:sz="4" w:space="0" w:color="auto"/>
              <w:left w:val="nil"/>
              <w:bottom w:val="single" w:sz="4" w:space="0" w:color="auto"/>
              <w:right w:val="single" w:sz="4" w:space="0" w:color="auto"/>
            </w:tcBorders>
            <w:noWrap/>
            <w:vAlign w:val="center"/>
            <w:hideMark/>
          </w:tcPr>
          <w:p w14:paraId="323BF712"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2020</w:t>
            </w:r>
          </w:p>
        </w:tc>
        <w:tc>
          <w:tcPr>
            <w:tcW w:w="960" w:type="dxa"/>
            <w:tcBorders>
              <w:top w:val="single" w:sz="4" w:space="0" w:color="auto"/>
              <w:left w:val="nil"/>
              <w:bottom w:val="single" w:sz="4" w:space="0" w:color="auto"/>
              <w:right w:val="single" w:sz="4" w:space="0" w:color="auto"/>
            </w:tcBorders>
            <w:noWrap/>
            <w:vAlign w:val="center"/>
            <w:hideMark/>
          </w:tcPr>
          <w:p w14:paraId="41822EE0"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2021</w:t>
            </w:r>
          </w:p>
        </w:tc>
        <w:tc>
          <w:tcPr>
            <w:tcW w:w="960" w:type="dxa"/>
            <w:tcBorders>
              <w:top w:val="single" w:sz="4" w:space="0" w:color="auto"/>
              <w:left w:val="nil"/>
              <w:bottom w:val="single" w:sz="4" w:space="0" w:color="auto"/>
              <w:right w:val="single" w:sz="4" w:space="0" w:color="auto"/>
            </w:tcBorders>
            <w:noWrap/>
            <w:vAlign w:val="center"/>
            <w:hideMark/>
          </w:tcPr>
          <w:p w14:paraId="3A4D3033"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2022</w:t>
            </w:r>
          </w:p>
        </w:tc>
        <w:tc>
          <w:tcPr>
            <w:tcW w:w="960" w:type="dxa"/>
            <w:tcBorders>
              <w:top w:val="single" w:sz="4" w:space="0" w:color="auto"/>
              <w:left w:val="nil"/>
              <w:bottom w:val="single" w:sz="4" w:space="0" w:color="auto"/>
              <w:right w:val="single" w:sz="4" w:space="0" w:color="auto"/>
            </w:tcBorders>
            <w:noWrap/>
            <w:vAlign w:val="center"/>
            <w:hideMark/>
          </w:tcPr>
          <w:p w14:paraId="3E3EF2CA" w14:textId="77777777" w:rsidR="00F16DF5" w:rsidRPr="006751AF" w:rsidRDefault="00F16DF5" w:rsidP="001E3E58">
            <w:pPr>
              <w:spacing w:after="0" w:line="240" w:lineRule="auto"/>
              <w:jc w:val="center"/>
              <w:rPr>
                <w:rFonts w:ascii="Times New Roman" w:eastAsia="Times New Roman" w:hAnsi="Times New Roman"/>
                <w:color w:val="000000"/>
              </w:rPr>
            </w:pPr>
            <w:r w:rsidRPr="006751AF">
              <w:rPr>
                <w:rFonts w:ascii="Times New Roman" w:eastAsia="Times New Roman" w:hAnsi="Times New Roman"/>
                <w:color w:val="000000"/>
              </w:rPr>
              <w:t>2023</w:t>
            </w:r>
          </w:p>
        </w:tc>
      </w:tr>
      <w:tr w:rsidR="00F16DF5" w:rsidRPr="006751AF" w14:paraId="0AD4F3B1"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4395823A"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Treasury Bills</w:t>
            </w:r>
          </w:p>
        </w:tc>
        <w:tc>
          <w:tcPr>
            <w:tcW w:w="960" w:type="dxa"/>
            <w:tcBorders>
              <w:top w:val="nil"/>
              <w:left w:val="nil"/>
              <w:bottom w:val="single" w:sz="4" w:space="0" w:color="auto"/>
              <w:right w:val="single" w:sz="4" w:space="0" w:color="auto"/>
            </w:tcBorders>
            <w:noWrap/>
            <w:vAlign w:val="center"/>
            <w:hideMark/>
          </w:tcPr>
          <w:p w14:paraId="59B1CF6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4.5%</w:t>
            </w:r>
          </w:p>
        </w:tc>
        <w:tc>
          <w:tcPr>
            <w:tcW w:w="960" w:type="dxa"/>
            <w:tcBorders>
              <w:top w:val="nil"/>
              <w:left w:val="nil"/>
              <w:bottom w:val="single" w:sz="4" w:space="0" w:color="auto"/>
              <w:right w:val="single" w:sz="4" w:space="0" w:color="auto"/>
            </w:tcBorders>
            <w:noWrap/>
            <w:vAlign w:val="center"/>
            <w:hideMark/>
          </w:tcPr>
          <w:p w14:paraId="156E5E37"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5.0%</w:t>
            </w:r>
          </w:p>
        </w:tc>
        <w:tc>
          <w:tcPr>
            <w:tcW w:w="960" w:type="dxa"/>
            <w:tcBorders>
              <w:top w:val="nil"/>
              <w:left w:val="nil"/>
              <w:bottom w:val="single" w:sz="4" w:space="0" w:color="auto"/>
              <w:right w:val="single" w:sz="4" w:space="0" w:color="auto"/>
            </w:tcBorders>
            <w:noWrap/>
            <w:vAlign w:val="center"/>
            <w:hideMark/>
          </w:tcPr>
          <w:p w14:paraId="4621158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5.2%</w:t>
            </w:r>
          </w:p>
        </w:tc>
        <w:tc>
          <w:tcPr>
            <w:tcW w:w="960" w:type="dxa"/>
            <w:tcBorders>
              <w:top w:val="nil"/>
              <w:left w:val="nil"/>
              <w:bottom w:val="single" w:sz="4" w:space="0" w:color="auto"/>
              <w:right w:val="single" w:sz="4" w:space="0" w:color="auto"/>
            </w:tcBorders>
            <w:noWrap/>
            <w:vAlign w:val="center"/>
            <w:hideMark/>
          </w:tcPr>
          <w:p w14:paraId="7E42F889"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5.0%</w:t>
            </w:r>
          </w:p>
        </w:tc>
        <w:tc>
          <w:tcPr>
            <w:tcW w:w="960" w:type="dxa"/>
            <w:tcBorders>
              <w:top w:val="nil"/>
              <w:left w:val="nil"/>
              <w:bottom w:val="single" w:sz="4" w:space="0" w:color="auto"/>
              <w:right w:val="single" w:sz="4" w:space="0" w:color="auto"/>
            </w:tcBorders>
            <w:noWrap/>
            <w:vAlign w:val="center"/>
            <w:hideMark/>
          </w:tcPr>
          <w:p w14:paraId="6A45979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4.8%</w:t>
            </w:r>
          </w:p>
        </w:tc>
      </w:tr>
      <w:tr w:rsidR="00F16DF5" w:rsidRPr="006751AF" w14:paraId="69CA9B96"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2695887F"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Government Bonds</w:t>
            </w:r>
          </w:p>
        </w:tc>
        <w:tc>
          <w:tcPr>
            <w:tcW w:w="960" w:type="dxa"/>
            <w:tcBorders>
              <w:top w:val="nil"/>
              <w:left w:val="nil"/>
              <w:bottom w:val="single" w:sz="4" w:space="0" w:color="auto"/>
              <w:right w:val="single" w:sz="4" w:space="0" w:color="auto"/>
            </w:tcBorders>
            <w:noWrap/>
            <w:vAlign w:val="center"/>
            <w:hideMark/>
          </w:tcPr>
          <w:p w14:paraId="51A236A5"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6.2%</w:t>
            </w:r>
          </w:p>
        </w:tc>
        <w:tc>
          <w:tcPr>
            <w:tcW w:w="960" w:type="dxa"/>
            <w:tcBorders>
              <w:top w:val="nil"/>
              <w:left w:val="nil"/>
              <w:bottom w:val="single" w:sz="4" w:space="0" w:color="auto"/>
              <w:right w:val="single" w:sz="4" w:space="0" w:color="auto"/>
            </w:tcBorders>
            <w:noWrap/>
            <w:vAlign w:val="center"/>
            <w:hideMark/>
          </w:tcPr>
          <w:p w14:paraId="57172EDB"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6.5%</w:t>
            </w:r>
          </w:p>
        </w:tc>
        <w:tc>
          <w:tcPr>
            <w:tcW w:w="960" w:type="dxa"/>
            <w:tcBorders>
              <w:top w:val="nil"/>
              <w:left w:val="nil"/>
              <w:bottom w:val="single" w:sz="4" w:space="0" w:color="auto"/>
              <w:right w:val="single" w:sz="4" w:space="0" w:color="auto"/>
            </w:tcBorders>
            <w:noWrap/>
            <w:vAlign w:val="center"/>
            <w:hideMark/>
          </w:tcPr>
          <w:p w14:paraId="2F6D7C60"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6.8%</w:t>
            </w:r>
          </w:p>
        </w:tc>
        <w:tc>
          <w:tcPr>
            <w:tcW w:w="960" w:type="dxa"/>
            <w:tcBorders>
              <w:top w:val="nil"/>
              <w:left w:val="nil"/>
              <w:bottom w:val="single" w:sz="4" w:space="0" w:color="auto"/>
              <w:right w:val="single" w:sz="4" w:space="0" w:color="auto"/>
            </w:tcBorders>
            <w:noWrap/>
            <w:vAlign w:val="center"/>
            <w:hideMark/>
          </w:tcPr>
          <w:p w14:paraId="1649292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6.5%</w:t>
            </w:r>
          </w:p>
        </w:tc>
        <w:tc>
          <w:tcPr>
            <w:tcW w:w="960" w:type="dxa"/>
            <w:tcBorders>
              <w:top w:val="nil"/>
              <w:left w:val="nil"/>
              <w:bottom w:val="single" w:sz="4" w:space="0" w:color="auto"/>
              <w:right w:val="single" w:sz="4" w:space="0" w:color="auto"/>
            </w:tcBorders>
            <w:noWrap/>
            <w:vAlign w:val="center"/>
            <w:hideMark/>
          </w:tcPr>
          <w:p w14:paraId="0FBD3C9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6.3%</w:t>
            </w:r>
          </w:p>
        </w:tc>
      </w:tr>
      <w:tr w:rsidR="00F16DF5" w:rsidRPr="006751AF" w14:paraId="412A3651"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1CBFB9D0"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Liquidity Management</w:t>
            </w:r>
          </w:p>
        </w:tc>
        <w:tc>
          <w:tcPr>
            <w:tcW w:w="960" w:type="dxa"/>
            <w:tcBorders>
              <w:top w:val="nil"/>
              <w:left w:val="nil"/>
              <w:bottom w:val="single" w:sz="4" w:space="0" w:color="auto"/>
              <w:right w:val="single" w:sz="4" w:space="0" w:color="auto"/>
            </w:tcBorders>
            <w:noWrap/>
            <w:vAlign w:val="center"/>
            <w:hideMark/>
          </w:tcPr>
          <w:p w14:paraId="02481EC2"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3.5%</w:t>
            </w:r>
          </w:p>
        </w:tc>
        <w:tc>
          <w:tcPr>
            <w:tcW w:w="960" w:type="dxa"/>
            <w:tcBorders>
              <w:top w:val="nil"/>
              <w:left w:val="nil"/>
              <w:bottom w:val="single" w:sz="4" w:space="0" w:color="auto"/>
              <w:right w:val="single" w:sz="4" w:space="0" w:color="auto"/>
            </w:tcBorders>
            <w:noWrap/>
            <w:vAlign w:val="center"/>
            <w:hideMark/>
          </w:tcPr>
          <w:p w14:paraId="23D0A2D0"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4.0%</w:t>
            </w:r>
          </w:p>
        </w:tc>
        <w:tc>
          <w:tcPr>
            <w:tcW w:w="960" w:type="dxa"/>
            <w:tcBorders>
              <w:top w:val="nil"/>
              <w:left w:val="nil"/>
              <w:bottom w:val="single" w:sz="4" w:space="0" w:color="auto"/>
              <w:right w:val="single" w:sz="4" w:space="0" w:color="auto"/>
            </w:tcBorders>
            <w:noWrap/>
            <w:vAlign w:val="center"/>
            <w:hideMark/>
          </w:tcPr>
          <w:p w14:paraId="1602D118"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4.3%</w:t>
            </w:r>
          </w:p>
        </w:tc>
        <w:tc>
          <w:tcPr>
            <w:tcW w:w="960" w:type="dxa"/>
            <w:tcBorders>
              <w:top w:val="nil"/>
              <w:left w:val="nil"/>
              <w:bottom w:val="single" w:sz="4" w:space="0" w:color="auto"/>
              <w:right w:val="single" w:sz="4" w:space="0" w:color="auto"/>
            </w:tcBorders>
            <w:noWrap/>
            <w:vAlign w:val="center"/>
            <w:hideMark/>
          </w:tcPr>
          <w:p w14:paraId="051C53CC"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4.0%</w:t>
            </w:r>
          </w:p>
        </w:tc>
        <w:tc>
          <w:tcPr>
            <w:tcW w:w="960" w:type="dxa"/>
            <w:tcBorders>
              <w:top w:val="nil"/>
              <w:left w:val="nil"/>
              <w:bottom w:val="single" w:sz="4" w:space="0" w:color="auto"/>
              <w:right w:val="single" w:sz="4" w:space="0" w:color="auto"/>
            </w:tcBorders>
            <w:noWrap/>
            <w:vAlign w:val="center"/>
            <w:hideMark/>
          </w:tcPr>
          <w:p w14:paraId="2AC776ED"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3.8%</w:t>
            </w:r>
          </w:p>
        </w:tc>
      </w:tr>
      <w:tr w:rsidR="00F16DF5" w:rsidRPr="006751AF" w14:paraId="254E7EDD" w14:textId="77777777" w:rsidTr="001E3E58">
        <w:trPr>
          <w:trHeight w:val="300"/>
          <w:jc w:val="center"/>
        </w:trPr>
        <w:tc>
          <w:tcPr>
            <w:tcW w:w="2560" w:type="dxa"/>
            <w:tcBorders>
              <w:top w:val="nil"/>
              <w:left w:val="single" w:sz="4" w:space="0" w:color="auto"/>
              <w:bottom w:val="single" w:sz="4" w:space="0" w:color="auto"/>
              <w:right w:val="single" w:sz="4" w:space="0" w:color="auto"/>
            </w:tcBorders>
            <w:noWrap/>
            <w:vAlign w:val="center"/>
            <w:hideMark/>
          </w:tcPr>
          <w:p w14:paraId="0B72A190" w14:textId="77777777" w:rsidR="00F16DF5" w:rsidRPr="006751AF" w:rsidRDefault="00F16DF5" w:rsidP="001E3E58">
            <w:pPr>
              <w:spacing w:after="0" w:line="240" w:lineRule="auto"/>
              <w:rPr>
                <w:rFonts w:ascii="Times New Roman" w:eastAsia="Times New Roman" w:hAnsi="Times New Roman"/>
                <w:color w:val="000000"/>
              </w:rPr>
            </w:pPr>
            <w:r w:rsidRPr="006751AF">
              <w:rPr>
                <w:rFonts w:ascii="Times New Roman" w:eastAsia="Times New Roman" w:hAnsi="Times New Roman"/>
                <w:color w:val="000000"/>
              </w:rPr>
              <w:t>SLR Compliance</w:t>
            </w:r>
          </w:p>
        </w:tc>
        <w:tc>
          <w:tcPr>
            <w:tcW w:w="960" w:type="dxa"/>
            <w:tcBorders>
              <w:top w:val="nil"/>
              <w:left w:val="nil"/>
              <w:bottom w:val="single" w:sz="4" w:space="0" w:color="auto"/>
              <w:right w:val="single" w:sz="4" w:space="0" w:color="auto"/>
            </w:tcBorders>
            <w:noWrap/>
            <w:vAlign w:val="center"/>
            <w:hideMark/>
          </w:tcPr>
          <w:p w14:paraId="47ACC683"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5.0%</w:t>
            </w:r>
          </w:p>
        </w:tc>
        <w:tc>
          <w:tcPr>
            <w:tcW w:w="960" w:type="dxa"/>
            <w:tcBorders>
              <w:top w:val="nil"/>
              <w:left w:val="nil"/>
              <w:bottom w:val="single" w:sz="4" w:space="0" w:color="auto"/>
              <w:right w:val="single" w:sz="4" w:space="0" w:color="auto"/>
            </w:tcBorders>
            <w:noWrap/>
            <w:vAlign w:val="center"/>
            <w:hideMark/>
          </w:tcPr>
          <w:p w14:paraId="4A486814"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5.3%</w:t>
            </w:r>
          </w:p>
        </w:tc>
        <w:tc>
          <w:tcPr>
            <w:tcW w:w="960" w:type="dxa"/>
            <w:tcBorders>
              <w:top w:val="nil"/>
              <w:left w:val="nil"/>
              <w:bottom w:val="single" w:sz="4" w:space="0" w:color="auto"/>
              <w:right w:val="single" w:sz="4" w:space="0" w:color="auto"/>
            </w:tcBorders>
            <w:noWrap/>
            <w:vAlign w:val="center"/>
            <w:hideMark/>
          </w:tcPr>
          <w:p w14:paraId="56CDB4F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5.5%</w:t>
            </w:r>
          </w:p>
        </w:tc>
        <w:tc>
          <w:tcPr>
            <w:tcW w:w="960" w:type="dxa"/>
            <w:tcBorders>
              <w:top w:val="nil"/>
              <w:left w:val="nil"/>
              <w:bottom w:val="single" w:sz="4" w:space="0" w:color="auto"/>
              <w:right w:val="single" w:sz="4" w:space="0" w:color="auto"/>
            </w:tcBorders>
            <w:noWrap/>
            <w:vAlign w:val="center"/>
            <w:hideMark/>
          </w:tcPr>
          <w:p w14:paraId="2CA41836"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5.3%</w:t>
            </w:r>
          </w:p>
        </w:tc>
        <w:tc>
          <w:tcPr>
            <w:tcW w:w="960" w:type="dxa"/>
            <w:tcBorders>
              <w:top w:val="nil"/>
              <w:left w:val="nil"/>
              <w:bottom w:val="single" w:sz="4" w:space="0" w:color="auto"/>
              <w:right w:val="single" w:sz="4" w:space="0" w:color="auto"/>
            </w:tcBorders>
            <w:noWrap/>
            <w:vAlign w:val="center"/>
            <w:hideMark/>
          </w:tcPr>
          <w:p w14:paraId="2E41971A" w14:textId="77777777" w:rsidR="00F16DF5" w:rsidRPr="006751AF" w:rsidRDefault="00F16DF5" w:rsidP="001E3E58">
            <w:pPr>
              <w:spacing w:after="0" w:line="240" w:lineRule="auto"/>
              <w:jc w:val="right"/>
              <w:rPr>
                <w:rFonts w:ascii="Times New Roman" w:eastAsia="Times New Roman" w:hAnsi="Times New Roman"/>
                <w:color w:val="000000"/>
              </w:rPr>
            </w:pPr>
            <w:r w:rsidRPr="006751AF">
              <w:rPr>
                <w:rFonts w:ascii="Times New Roman" w:eastAsia="Times New Roman" w:hAnsi="Times New Roman"/>
                <w:color w:val="000000"/>
              </w:rPr>
              <w:t>5.2%</w:t>
            </w:r>
          </w:p>
        </w:tc>
      </w:tr>
    </w:tbl>
    <w:p w14:paraId="4F65A386" w14:textId="77777777" w:rsidR="008668EE" w:rsidRPr="008668EE" w:rsidRDefault="008668EE" w:rsidP="008668EE">
      <w:pPr>
        <w:spacing w:line="360" w:lineRule="auto"/>
        <w:jc w:val="both"/>
        <w:rPr>
          <w:rFonts w:ascii="Times New Roman" w:hAnsi="Times New Roman"/>
          <w:bCs/>
          <w:sz w:val="24"/>
          <w:szCs w:val="24"/>
        </w:rPr>
      </w:pPr>
      <w:r w:rsidRPr="008668EE">
        <w:rPr>
          <w:rFonts w:ascii="Times New Roman" w:hAnsi="Times New Roman"/>
          <w:bCs/>
          <w:sz w:val="24"/>
          <w:szCs w:val="24"/>
        </w:rPr>
        <w:t>The</w:t>
      </w:r>
      <w:r w:rsidRPr="008668EE">
        <w:rPr>
          <w:rFonts w:ascii="Times New Roman" w:hAnsi="Times New Roman"/>
          <w:bCs/>
          <w:sz w:val="24"/>
          <w:szCs w:val="24"/>
        </w:rPr>
        <w:t> </w:t>
      </w:r>
      <w:r w:rsidRPr="008668EE">
        <w:rPr>
          <w:rFonts w:ascii="Times New Roman" w:hAnsi="Times New Roman"/>
          <w:bCs/>
          <w:sz w:val="24"/>
          <w:szCs w:val="24"/>
        </w:rPr>
        <w:t>amount of Dhaka Bank's portfolio in government securities by 19 Table *Quantitative summary of data for 2019-2023 is reported the table. Interest rates received on government securities</w:t>
      </w:r>
      <w:r w:rsidRPr="008668EE">
        <w:rPr>
          <w:rFonts w:ascii="Times New Roman" w:hAnsi="Times New Roman"/>
          <w:bCs/>
          <w:sz w:val="24"/>
          <w:szCs w:val="24"/>
        </w:rPr>
        <w:t> </w:t>
      </w:r>
      <w:r w:rsidRPr="008668EE">
        <w:rPr>
          <w:rFonts w:ascii="Times New Roman" w:hAnsi="Times New Roman"/>
          <w:bCs/>
          <w:sz w:val="24"/>
          <w:szCs w:val="24"/>
        </w:rPr>
        <w:t>and treasury bills are mentioned with respect to banks' statutory liquidity ratio (SLR) requirements and liquidity risk management. Interest rate movements, and tactical changes to meet legal obligations while</w:t>
      </w:r>
      <w:r w:rsidRPr="008668EE">
        <w:rPr>
          <w:rFonts w:ascii="Times New Roman" w:hAnsi="Times New Roman"/>
          <w:bCs/>
          <w:sz w:val="24"/>
          <w:szCs w:val="24"/>
        </w:rPr>
        <w:t> </w:t>
      </w:r>
      <w:r w:rsidRPr="008668EE">
        <w:rPr>
          <w:rFonts w:ascii="Times New Roman" w:hAnsi="Times New Roman"/>
          <w:bCs/>
          <w:sz w:val="24"/>
          <w:szCs w:val="24"/>
        </w:rPr>
        <w:t>managing risk exposure is evident in the figures.</w:t>
      </w:r>
    </w:p>
    <w:p w14:paraId="093F3136"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 xml:space="preserve">Corporate Bonds: </w:t>
      </w:r>
      <w:r w:rsidR="008668EE" w:rsidRPr="008668EE">
        <w:rPr>
          <w:rFonts w:ascii="Times New Roman" w:hAnsi="Times New Roman"/>
          <w:bCs/>
          <w:sz w:val="24"/>
          <w:szCs w:val="24"/>
        </w:rPr>
        <w:t>Including a small allocation to high quality corporate bonds for yield source diversification. Loan review</w:t>
      </w:r>
      <w:r w:rsidR="008668EE" w:rsidRPr="008668EE">
        <w:rPr>
          <w:rFonts w:ascii="Times New Roman" w:hAnsi="Times New Roman"/>
          <w:bCs/>
          <w:sz w:val="24"/>
          <w:szCs w:val="24"/>
        </w:rPr>
        <w:t> </w:t>
      </w:r>
      <w:r w:rsidR="008668EE" w:rsidRPr="008668EE">
        <w:rPr>
          <w:rFonts w:ascii="Times New Roman" w:hAnsi="Times New Roman"/>
          <w:bCs/>
          <w:sz w:val="24"/>
          <w:szCs w:val="24"/>
        </w:rPr>
        <w:t>methodology is like the credit analysis.</w:t>
      </w:r>
    </w:p>
    <w:tbl>
      <w:tblPr>
        <w:tblW w:w="6000" w:type="dxa"/>
        <w:jc w:val="center"/>
        <w:tblLook w:val="04A0" w:firstRow="1" w:lastRow="0" w:firstColumn="1" w:lastColumn="0" w:noHBand="0" w:noVBand="1"/>
      </w:tblPr>
      <w:tblGrid>
        <w:gridCol w:w="1200"/>
        <w:gridCol w:w="960"/>
        <w:gridCol w:w="960"/>
        <w:gridCol w:w="960"/>
        <w:gridCol w:w="960"/>
        <w:gridCol w:w="960"/>
      </w:tblGrid>
      <w:tr w:rsidR="00F16DF5" w:rsidRPr="006751AF" w14:paraId="7E13F1ED" w14:textId="77777777" w:rsidTr="001E3E58">
        <w:trPr>
          <w:trHeight w:val="300"/>
          <w:jc w:val="center"/>
        </w:trPr>
        <w:tc>
          <w:tcPr>
            <w:tcW w:w="1200" w:type="dxa"/>
            <w:tcBorders>
              <w:top w:val="single" w:sz="4" w:space="0" w:color="auto"/>
              <w:left w:val="single" w:sz="4" w:space="0" w:color="auto"/>
              <w:bottom w:val="single" w:sz="4" w:space="0" w:color="auto"/>
              <w:right w:val="single" w:sz="4" w:space="0" w:color="auto"/>
            </w:tcBorders>
            <w:noWrap/>
            <w:vAlign w:val="center"/>
            <w:hideMark/>
          </w:tcPr>
          <w:p w14:paraId="584F9CD0"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center"/>
            <w:hideMark/>
          </w:tcPr>
          <w:p w14:paraId="013FBA3F"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c>
          <w:tcPr>
            <w:tcW w:w="960" w:type="dxa"/>
            <w:tcBorders>
              <w:top w:val="single" w:sz="4" w:space="0" w:color="auto"/>
              <w:left w:val="nil"/>
              <w:bottom w:val="single" w:sz="4" w:space="0" w:color="auto"/>
              <w:right w:val="single" w:sz="4" w:space="0" w:color="auto"/>
            </w:tcBorders>
            <w:noWrap/>
            <w:vAlign w:val="center"/>
            <w:hideMark/>
          </w:tcPr>
          <w:p w14:paraId="04D8BED5"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center"/>
            <w:hideMark/>
          </w:tcPr>
          <w:p w14:paraId="0A1DB0D9"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center"/>
            <w:hideMark/>
          </w:tcPr>
          <w:p w14:paraId="30162E09"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center"/>
            <w:hideMark/>
          </w:tcPr>
          <w:p w14:paraId="5DF0E87D"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r>
      <w:tr w:rsidR="00F16DF5" w:rsidRPr="006751AF" w14:paraId="308B083F" w14:textId="77777777" w:rsidTr="001E3E58">
        <w:trPr>
          <w:trHeight w:val="300"/>
          <w:jc w:val="center"/>
        </w:trPr>
        <w:tc>
          <w:tcPr>
            <w:tcW w:w="1200" w:type="dxa"/>
            <w:tcBorders>
              <w:top w:val="nil"/>
              <w:left w:val="single" w:sz="4" w:space="0" w:color="auto"/>
              <w:bottom w:val="single" w:sz="4" w:space="0" w:color="auto"/>
              <w:right w:val="single" w:sz="4" w:space="0" w:color="auto"/>
            </w:tcBorders>
            <w:noWrap/>
            <w:vAlign w:val="center"/>
            <w:hideMark/>
          </w:tcPr>
          <w:p w14:paraId="5E350E3A"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Yield (%)</w:t>
            </w:r>
          </w:p>
        </w:tc>
        <w:tc>
          <w:tcPr>
            <w:tcW w:w="960" w:type="dxa"/>
            <w:tcBorders>
              <w:top w:val="nil"/>
              <w:left w:val="nil"/>
              <w:bottom w:val="single" w:sz="4" w:space="0" w:color="auto"/>
              <w:right w:val="single" w:sz="4" w:space="0" w:color="auto"/>
            </w:tcBorders>
            <w:noWrap/>
            <w:vAlign w:val="center"/>
            <w:hideMark/>
          </w:tcPr>
          <w:p w14:paraId="346FAE1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7.2%</w:t>
            </w:r>
          </w:p>
        </w:tc>
        <w:tc>
          <w:tcPr>
            <w:tcW w:w="960" w:type="dxa"/>
            <w:tcBorders>
              <w:top w:val="nil"/>
              <w:left w:val="nil"/>
              <w:bottom w:val="single" w:sz="4" w:space="0" w:color="auto"/>
              <w:right w:val="single" w:sz="4" w:space="0" w:color="auto"/>
            </w:tcBorders>
            <w:noWrap/>
            <w:vAlign w:val="center"/>
            <w:hideMark/>
          </w:tcPr>
          <w:p w14:paraId="3B76C58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6.8%</w:t>
            </w:r>
          </w:p>
        </w:tc>
        <w:tc>
          <w:tcPr>
            <w:tcW w:w="960" w:type="dxa"/>
            <w:tcBorders>
              <w:top w:val="nil"/>
              <w:left w:val="nil"/>
              <w:bottom w:val="single" w:sz="4" w:space="0" w:color="auto"/>
              <w:right w:val="single" w:sz="4" w:space="0" w:color="auto"/>
            </w:tcBorders>
            <w:noWrap/>
            <w:vAlign w:val="center"/>
            <w:hideMark/>
          </w:tcPr>
          <w:p w14:paraId="5685B59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7.0%</w:t>
            </w:r>
          </w:p>
        </w:tc>
        <w:tc>
          <w:tcPr>
            <w:tcW w:w="960" w:type="dxa"/>
            <w:tcBorders>
              <w:top w:val="nil"/>
              <w:left w:val="nil"/>
              <w:bottom w:val="single" w:sz="4" w:space="0" w:color="auto"/>
              <w:right w:val="single" w:sz="4" w:space="0" w:color="auto"/>
            </w:tcBorders>
            <w:noWrap/>
            <w:vAlign w:val="center"/>
            <w:hideMark/>
          </w:tcPr>
          <w:p w14:paraId="62938BD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6.5%</w:t>
            </w:r>
          </w:p>
        </w:tc>
        <w:tc>
          <w:tcPr>
            <w:tcW w:w="960" w:type="dxa"/>
            <w:tcBorders>
              <w:top w:val="nil"/>
              <w:left w:val="nil"/>
              <w:bottom w:val="single" w:sz="4" w:space="0" w:color="auto"/>
              <w:right w:val="single" w:sz="4" w:space="0" w:color="auto"/>
            </w:tcBorders>
            <w:noWrap/>
            <w:vAlign w:val="center"/>
            <w:hideMark/>
          </w:tcPr>
          <w:p w14:paraId="51687CD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7.3%</w:t>
            </w:r>
          </w:p>
        </w:tc>
      </w:tr>
    </w:tbl>
    <w:p w14:paraId="60C82A2F" w14:textId="77777777" w:rsidR="00F16DF5" w:rsidRPr="006751AF" w:rsidRDefault="00F16DF5" w:rsidP="00F16DF5">
      <w:pPr>
        <w:spacing w:line="360" w:lineRule="auto"/>
        <w:jc w:val="both"/>
        <w:rPr>
          <w:rFonts w:ascii="Times New Roman" w:hAnsi="Times New Roman"/>
          <w:bCs/>
          <w:sz w:val="24"/>
          <w:szCs w:val="24"/>
        </w:rPr>
      </w:pPr>
    </w:p>
    <w:p w14:paraId="7A0729FB" w14:textId="77777777" w:rsidR="00F16DF5" w:rsidRDefault="00F16DF5" w:rsidP="00F16DF5">
      <w:pPr>
        <w:spacing w:line="360" w:lineRule="auto"/>
        <w:jc w:val="center"/>
        <w:rPr>
          <w:rFonts w:ascii="Times New Roman" w:hAnsi="Times New Roman"/>
          <w:bCs/>
          <w:sz w:val="24"/>
          <w:szCs w:val="24"/>
        </w:rPr>
      </w:pPr>
      <w:r>
        <w:rPr>
          <w:noProof/>
        </w:rPr>
        <w:drawing>
          <wp:inline distT="0" distB="0" distL="0" distR="0" wp14:anchorId="1E8EE662" wp14:editId="6B28EE9A">
            <wp:extent cx="4038600" cy="2457450"/>
            <wp:effectExtent l="0" t="0" r="19050" b="190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FE28B60" w14:textId="77777777" w:rsidR="008668EE" w:rsidRPr="008668EE" w:rsidRDefault="008668EE" w:rsidP="008668EE">
      <w:pPr>
        <w:spacing w:line="360" w:lineRule="auto"/>
        <w:jc w:val="both"/>
        <w:rPr>
          <w:rFonts w:ascii="Times New Roman" w:hAnsi="Times New Roman"/>
          <w:bCs/>
          <w:sz w:val="24"/>
          <w:szCs w:val="24"/>
        </w:rPr>
      </w:pPr>
      <w:r w:rsidRPr="008668EE">
        <w:rPr>
          <w:rFonts w:ascii="Times New Roman" w:hAnsi="Times New Roman"/>
          <w:bCs/>
          <w:sz w:val="24"/>
          <w:szCs w:val="24"/>
        </w:rPr>
        <w:t>Pandemic effect and</w:t>
      </w:r>
      <w:r w:rsidRPr="008668EE">
        <w:rPr>
          <w:rFonts w:ascii="Times New Roman" w:hAnsi="Times New Roman"/>
          <w:bCs/>
          <w:sz w:val="24"/>
          <w:szCs w:val="24"/>
        </w:rPr>
        <w:t> </w:t>
      </w:r>
      <w:r w:rsidRPr="008668EE">
        <w:rPr>
          <w:rFonts w:ascii="Times New Roman" w:hAnsi="Times New Roman"/>
          <w:bCs/>
          <w:sz w:val="24"/>
          <w:szCs w:val="24"/>
        </w:rPr>
        <w:t>market volatility were two economic factors responsible for yields in high-quality corporate bonds fluctuating between 2019 and 2023. The yield was also around</w:t>
      </w:r>
      <w:r w:rsidRPr="008668EE">
        <w:rPr>
          <w:rFonts w:ascii="Times New Roman" w:hAnsi="Times New Roman"/>
          <w:bCs/>
          <w:sz w:val="24"/>
          <w:szCs w:val="24"/>
        </w:rPr>
        <w:t> </w:t>
      </w:r>
      <w:r w:rsidRPr="008668EE">
        <w:rPr>
          <w:rFonts w:ascii="Times New Roman" w:hAnsi="Times New Roman"/>
          <w:bCs/>
          <w:sz w:val="24"/>
          <w:szCs w:val="24"/>
        </w:rPr>
        <w:t xml:space="preserve">7.2% in 2019. Having been around the world for markets, it gradually declined to 6.5% by 2022 only to </w:t>
      </w:r>
      <w:r w:rsidRPr="008668EE">
        <w:rPr>
          <w:rFonts w:ascii="Times New Roman" w:hAnsi="Times New Roman"/>
          <w:bCs/>
          <w:sz w:val="24"/>
          <w:szCs w:val="24"/>
        </w:rPr>
        <w:lastRenderedPageBreak/>
        <w:t>be sculpted back up as markets stabilised and interest rates adjusted</w:t>
      </w:r>
      <w:r w:rsidRPr="008668EE">
        <w:rPr>
          <w:rFonts w:ascii="Times New Roman" w:hAnsi="Times New Roman"/>
          <w:bCs/>
          <w:sz w:val="24"/>
          <w:szCs w:val="24"/>
        </w:rPr>
        <w:t> </w:t>
      </w:r>
      <w:r w:rsidRPr="008668EE">
        <w:rPr>
          <w:rFonts w:ascii="Times New Roman" w:hAnsi="Times New Roman"/>
          <w:bCs/>
          <w:sz w:val="24"/>
          <w:szCs w:val="24"/>
        </w:rPr>
        <w:t>to a level of 7.3% in 2023. This variation is</w:t>
      </w:r>
      <w:r w:rsidRPr="008668EE">
        <w:rPr>
          <w:rFonts w:ascii="Times New Roman" w:hAnsi="Times New Roman"/>
          <w:bCs/>
          <w:sz w:val="24"/>
          <w:szCs w:val="24"/>
        </w:rPr>
        <w:t> </w:t>
      </w:r>
      <w:r w:rsidRPr="008668EE">
        <w:rPr>
          <w:rFonts w:ascii="Times New Roman" w:hAnsi="Times New Roman"/>
          <w:bCs/>
          <w:sz w:val="24"/>
          <w:szCs w:val="24"/>
        </w:rPr>
        <w:t>reflective of the broader economic climate that impacts bond returns.</w:t>
      </w:r>
    </w:p>
    <w:p w14:paraId="3109D232" w14:textId="77777777" w:rsidR="008668EE" w:rsidRPr="008668EE" w:rsidRDefault="00F16DF5" w:rsidP="008668EE">
      <w:pPr>
        <w:spacing w:line="360" w:lineRule="auto"/>
        <w:jc w:val="both"/>
        <w:rPr>
          <w:rFonts w:ascii="Times New Roman" w:hAnsi="Times New Roman"/>
          <w:bCs/>
          <w:sz w:val="24"/>
          <w:szCs w:val="24"/>
        </w:rPr>
      </w:pPr>
      <w:r w:rsidRPr="006751AF">
        <w:rPr>
          <w:rFonts w:ascii="Times New Roman" w:hAnsi="Times New Roman"/>
          <w:b/>
          <w:bCs/>
          <w:sz w:val="24"/>
          <w:szCs w:val="24"/>
        </w:rPr>
        <w:t>Equity Investments:</w:t>
      </w:r>
      <w:r w:rsidRPr="006751AF">
        <w:rPr>
          <w:rFonts w:ascii="Times New Roman" w:hAnsi="Times New Roman"/>
          <w:bCs/>
          <w:sz w:val="24"/>
          <w:szCs w:val="24"/>
        </w:rPr>
        <w:t xml:space="preserve"> </w:t>
      </w:r>
      <w:r w:rsidR="008668EE" w:rsidRPr="008668EE">
        <w:rPr>
          <w:rFonts w:ascii="Times New Roman" w:hAnsi="Times New Roman"/>
          <w:bCs/>
          <w:sz w:val="24"/>
          <w:szCs w:val="24"/>
        </w:rPr>
        <w:t>Venture capital and strategic stockholdings in financial</w:t>
      </w:r>
      <w:r w:rsidR="008668EE" w:rsidRPr="008668EE">
        <w:rPr>
          <w:rFonts w:ascii="Times New Roman" w:hAnsi="Times New Roman"/>
          <w:bCs/>
          <w:sz w:val="24"/>
          <w:szCs w:val="24"/>
        </w:rPr>
        <w:t> </w:t>
      </w:r>
      <w:r w:rsidR="008668EE" w:rsidRPr="008668EE">
        <w:rPr>
          <w:rFonts w:ascii="Times New Roman" w:hAnsi="Times New Roman"/>
          <w:bCs/>
          <w:sz w:val="24"/>
          <w:szCs w:val="24"/>
        </w:rPr>
        <w:t>institutions are limited to a low level, typically not exceeding 5% of total assets. Total income is</w:t>
      </w:r>
      <w:r w:rsidR="008668EE" w:rsidRPr="008668EE">
        <w:rPr>
          <w:rFonts w:ascii="Times New Roman" w:hAnsi="Times New Roman"/>
          <w:bCs/>
          <w:sz w:val="24"/>
          <w:szCs w:val="24"/>
        </w:rPr>
        <w:t> </w:t>
      </w:r>
      <w:r w:rsidR="008668EE" w:rsidRPr="008668EE">
        <w:rPr>
          <w:rFonts w:ascii="Times New Roman" w:hAnsi="Times New Roman"/>
          <w:bCs/>
          <w:sz w:val="24"/>
          <w:szCs w:val="24"/>
        </w:rPr>
        <w:t>affected by market value changes.</w:t>
      </w:r>
    </w:p>
    <w:tbl>
      <w:tblPr>
        <w:tblW w:w="7660" w:type="dxa"/>
        <w:jc w:val="center"/>
        <w:tblLook w:val="04A0" w:firstRow="1" w:lastRow="0" w:firstColumn="1" w:lastColumn="0" w:noHBand="0" w:noVBand="1"/>
      </w:tblPr>
      <w:tblGrid>
        <w:gridCol w:w="2860"/>
        <w:gridCol w:w="960"/>
        <w:gridCol w:w="960"/>
        <w:gridCol w:w="960"/>
        <w:gridCol w:w="960"/>
        <w:gridCol w:w="960"/>
      </w:tblGrid>
      <w:tr w:rsidR="00F16DF5" w:rsidRPr="006751AF" w14:paraId="7C9D7180" w14:textId="77777777" w:rsidTr="001E3E58">
        <w:trPr>
          <w:trHeight w:val="300"/>
          <w:jc w:val="center"/>
        </w:trPr>
        <w:tc>
          <w:tcPr>
            <w:tcW w:w="2860" w:type="dxa"/>
            <w:tcBorders>
              <w:top w:val="single" w:sz="4" w:space="0" w:color="auto"/>
              <w:left w:val="single" w:sz="4" w:space="0" w:color="auto"/>
              <w:bottom w:val="single" w:sz="4" w:space="0" w:color="auto"/>
              <w:right w:val="single" w:sz="4" w:space="0" w:color="auto"/>
            </w:tcBorders>
            <w:noWrap/>
            <w:vAlign w:val="center"/>
            <w:hideMark/>
          </w:tcPr>
          <w:p w14:paraId="60D1866E"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4" w:space="0" w:color="auto"/>
              <w:left w:val="nil"/>
              <w:bottom w:val="single" w:sz="4" w:space="0" w:color="auto"/>
              <w:right w:val="single" w:sz="4" w:space="0" w:color="auto"/>
            </w:tcBorders>
            <w:noWrap/>
            <w:vAlign w:val="center"/>
            <w:hideMark/>
          </w:tcPr>
          <w:p w14:paraId="611F01A0"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c>
          <w:tcPr>
            <w:tcW w:w="960" w:type="dxa"/>
            <w:tcBorders>
              <w:top w:val="single" w:sz="4" w:space="0" w:color="auto"/>
              <w:left w:val="nil"/>
              <w:bottom w:val="single" w:sz="4" w:space="0" w:color="auto"/>
              <w:right w:val="single" w:sz="4" w:space="0" w:color="auto"/>
            </w:tcBorders>
            <w:noWrap/>
            <w:vAlign w:val="center"/>
            <w:hideMark/>
          </w:tcPr>
          <w:p w14:paraId="7D8E44E4"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4" w:space="0" w:color="auto"/>
              <w:left w:val="nil"/>
              <w:bottom w:val="single" w:sz="4" w:space="0" w:color="auto"/>
              <w:right w:val="single" w:sz="4" w:space="0" w:color="auto"/>
            </w:tcBorders>
            <w:noWrap/>
            <w:vAlign w:val="center"/>
            <w:hideMark/>
          </w:tcPr>
          <w:p w14:paraId="55F5E300"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4" w:space="0" w:color="auto"/>
              <w:left w:val="nil"/>
              <w:bottom w:val="single" w:sz="4" w:space="0" w:color="auto"/>
              <w:right w:val="single" w:sz="4" w:space="0" w:color="auto"/>
            </w:tcBorders>
            <w:noWrap/>
            <w:vAlign w:val="center"/>
            <w:hideMark/>
          </w:tcPr>
          <w:p w14:paraId="551260B9"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4" w:space="0" w:color="auto"/>
              <w:left w:val="nil"/>
              <w:bottom w:val="single" w:sz="4" w:space="0" w:color="auto"/>
              <w:right w:val="single" w:sz="4" w:space="0" w:color="auto"/>
            </w:tcBorders>
            <w:noWrap/>
            <w:vAlign w:val="center"/>
            <w:hideMark/>
          </w:tcPr>
          <w:p w14:paraId="3D157E5C" w14:textId="77777777" w:rsidR="00F16DF5" w:rsidRPr="006751AF" w:rsidRDefault="00F16DF5" w:rsidP="001E3E58">
            <w:pPr>
              <w:spacing w:after="0" w:line="240" w:lineRule="auto"/>
              <w:jc w:val="center"/>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r>
      <w:tr w:rsidR="00F16DF5" w:rsidRPr="006751AF" w14:paraId="4391CA85" w14:textId="77777777" w:rsidTr="001E3E58">
        <w:trPr>
          <w:trHeight w:val="300"/>
          <w:jc w:val="center"/>
        </w:trPr>
        <w:tc>
          <w:tcPr>
            <w:tcW w:w="2860" w:type="dxa"/>
            <w:tcBorders>
              <w:top w:val="nil"/>
              <w:left w:val="single" w:sz="4" w:space="0" w:color="auto"/>
              <w:bottom w:val="single" w:sz="4" w:space="0" w:color="auto"/>
              <w:right w:val="single" w:sz="4" w:space="0" w:color="auto"/>
            </w:tcBorders>
            <w:noWrap/>
            <w:vAlign w:val="center"/>
            <w:hideMark/>
          </w:tcPr>
          <w:p w14:paraId="3F1832C9"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Equity Investments in FI</w:t>
            </w:r>
          </w:p>
        </w:tc>
        <w:tc>
          <w:tcPr>
            <w:tcW w:w="960" w:type="dxa"/>
            <w:tcBorders>
              <w:top w:val="nil"/>
              <w:left w:val="nil"/>
              <w:bottom w:val="single" w:sz="4" w:space="0" w:color="auto"/>
              <w:right w:val="single" w:sz="4" w:space="0" w:color="auto"/>
            </w:tcBorders>
            <w:noWrap/>
            <w:vAlign w:val="center"/>
            <w:hideMark/>
          </w:tcPr>
          <w:p w14:paraId="1E61297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4.2%</w:t>
            </w:r>
          </w:p>
        </w:tc>
        <w:tc>
          <w:tcPr>
            <w:tcW w:w="960" w:type="dxa"/>
            <w:tcBorders>
              <w:top w:val="nil"/>
              <w:left w:val="nil"/>
              <w:bottom w:val="single" w:sz="4" w:space="0" w:color="auto"/>
              <w:right w:val="single" w:sz="4" w:space="0" w:color="auto"/>
            </w:tcBorders>
            <w:noWrap/>
            <w:vAlign w:val="center"/>
            <w:hideMark/>
          </w:tcPr>
          <w:p w14:paraId="1080183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3.8%</w:t>
            </w:r>
          </w:p>
        </w:tc>
        <w:tc>
          <w:tcPr>
            <w:tcW w:w="960" w:type="dxa"/>
            <w:tcBorders>
              <w:top w:val="nil"/>
              <w:left w:val="nil"/>
              <w:bottom w:val="single" w:sz="4" w:space="0" w:color="auto"/>
              <w:right w:val="single" w:sz="4" w:space="0" w:color="auto"/>
            </w:tcBorders>
            <w:noWrap/>
            <w:vAlign w:val="center"/>
            <w:hideMark/>
          </w:tcPr>
          <w:p w14:paraId="1D2DBDF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4.0%</w:t>
            </w:r>
          </w:p>
        </w:tc>
        <w:tc>
          <w:tcPr>
            <w:tcW w:w="960" w:type="dxa"/>
            <w:tcBorders>
              <w:top w:val="nil"/>
              <w:left w:val="nil"/>
              <w:bottom w:val="single" w:sz="4" w:space="0" w:color="auto"/>
              <w:right w:val="single" w:sz="4" w:space="0" w:color="auto"/>
            </w:tcBorders>
            <w:noWrap/>
            <w:vAlign w:val="center"/>
            <w:hideMark/>
          </w:tcPr>
          <w:p w14:paraId="7EDE5BB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3.9%</w:t>
            </w:r>
          </w:p>
        </w:tc>
        <w:tc>
          <w:tcPr>
            <w:tcW w:w="960" w:type="dxa"/>
            <w:tcBorders>
              <w:top w:val="nil"/>
              <w:left w:val="nil"/>
              <w:bottom w:val="single" w:sz="4" w:space="0" w:color="auto"/>
              <w:right w:val="single" w:sz="4" w:space="0" w:color="auto"/>
            </w:tcBorders>
            <w:noWrap/>
            <w:vAlign w:val="center"/>
            <w:hideMark/>
          </w:tcPr>
          <w:p w14:paraId="337250C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4.1%</w:t>
            </w:r>
          </w:p>
        </w:tc>
      </w:tr>
      <w:tr w:rsidR="00F16DF5" w:rsidRPr="006751AF" w14:paraId="2CB4CB6F" w14:textId="77777777" w:rsidTr="001E3E58">
        <w:trPr>
          <w:trHeight w:val="300"/>
          <w:jc w:val="center"/>
        </w:trPr>
        <w:tc>
          <w:tcPr>
            <w:tcW w:w="2860" w:type="dxa"/>
            <w:tcBorders>
              <w:top w:val="nil"/>
              <w:left w:val="single" w:sz="4" w:space="0" w:color="auto"/>
              <w:bottom w:val="single" w:sz="4" w:space="0" w:color="auto"/>
              <w:right w:val="single" w:sz="4" w:space="0" w:color="auto"/>
            </w:tcBorders>
            <w:noWrap/>
            <w:vAlign w:val="center"/>
            <w:hideMark/>
          </w:tcPr>
          <w:p w14:paraId="4B131D3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Venture Capital Exposure</w:t>
            </w:r>
          </w:p>
        </w:tc>
        <w:tc>
          <w:tcPr>
            <w:tcW w:w="960" w:type="dxa"/>
            <w:tcBorders>
              <w:top w:val="nil"/>
              <w:left w:val="nil"/>
              <w:bottom w:val="single" w:sz="4" w:space="0" w:color="auto"/>
              <w:right w:val="single" w:sz="4" w:space="0" w:color="auto"/>
            </w:tcBorders>
            <w:noWrap/>
            <w:vAlign w:val="center"/>
            <w:hideMark/>
          </w:tcPr>
          <w:p w14:paraId="3753C89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w:t>
            </w:r>
          </w:p>
        </w:tc>
        <w:tc>
          <w:tcPr>
            <w:tcW w:w="960" w:type="dxa"/>
            <w:tcBorders>
              <w:top w:val="nil"/>
              <w:left w:val="nil"/>
              <w:bottom w:val="single" w:sz="4" w:space="0" w:color="auto"/>
              <w:right w:val="single" w:sz="4" w:space="0" w:color="auto"/>
            </w:tcBorders>
            <w:noWrap/>
            <w:vAlign w:val="center"/>
            <w:hideMark/>
          </w:tcPr>
          <w:p w14:paraId="24429F3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1.7%</w:t>
            </w:r>
          </w:p>
        </w:tc>
        <w:tc>
          <w:tcPr>
            <w:tcW w:w="960" w:type="dxa"/>
            <w:tcBorders>
              <w:top w:val="nil"/>
              <w:left w:val="nil"/>
              <w:bottom w:val="single" w:sz="4" w:space="0" w:color="auto"/>
              <w:right w:val="single" w:sz="4" w:space="0" w:color="auto"/>
            </w:tcBorders>
            <w:noWrap/>
            <w:vAlign w:val="center"/>
            <w:hideMark/>
          </w:tcPr>
          <w:p w14:paraId="2AE21B4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1.9%</w:t>
            </w:r>
          </w:p>
        </w:tc>
        <w:tc>
          <w:tcPr>
            <w:tcW w:w="960" w:type="dxa"/>
            <w:tcBorders>
              <w:top w:val="nil"/>
              <w:left w:val="nil"/>
              <w:bottom w:val="single" w:sz="4" w:space="0" w:color="auto"/>
              <w:right w:val="single" w:sz="4" w:space="0" w:color="auto"/>
            </w:tcBorders>
            <w:noWrap/>
            <w:vAlign w:val="center"/>
            <w:hideMark/>
          </w:tcPr>
          <w:p w14:paraId="3F3E468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1.6%</w:t>
            </w:r>
          </w:p>
        </w:tc>
        <w:tc>
          <w:tcPr>
            <w:tcW w:w="960" w:type="dxa"/>
            <w:tcBorders>
              <w:top w:val="nil"/>
              <w:left w:val="nil"/>
              <w:bottom w:val="single" w:sz="4" w:space="0" w:color="auto"/>
              <w:right w:val="single" w:sz="4" w:space="0" w:color="auto"/>
            </w:tcBorders>
            <w:noWrap/>
            <w:vAlign w:val="center"/>
            <w:hideMark/>
          </w:tcPr>
          <w:p w14:paraId="5324253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w:t>
            </w:r>
          </w:p>
        </w:tc>
      </w:tr>
    </w:tbl>
    <w:p w14:paraId="2EED1EFE" w14:textId="77777777" w:rsidR="008668EE" w:rsidRDefault="008668EE" w:rsidP="00F16DF5">
      <w:pPr>
        <w:spacing w:line="360" w:lineRule="auto"/>
        <w:jc w:val="both"/>
        <w:rPr>
          <w:rFonts w:ascii="Times New Roman" w:hAnsi="Times New Roman"/>
          <w:bCs/>
          <w:sz w:val="24"/>
          <w:szCs w:val="24"/>
        </w:rPr>
      </w:pPr>
    </w:p>
    <w:p w14:paraId="59CABC8E" w14:textId="77777777" w:rsidR="008668EE" w:rsidRPr="008668EE" w:rsidRDefault="008668EE" w:rsidP="008668EE">
      <w:pPr>
        <w:spacing w:line="360" w:lineRule="auto"/>
        <w:jc w:val="both"/>
        <w:rPr>
          <w:rFonts w:ascii="Times New Roman" w:hAnsi="Times New Roman"/>
          <w:bCs/>
          <w:sz w:val="24"/>
          <w:szCs w:val="24"/>
        </w:rPr>
      </w:pPr>
      <w:r w:rsidRPr="008668EE">
        <w:rPr>
          <w:rFonts w:ascii="Times New Roman" w:hAnsi="Times New Roman"/>
          <w:bCs/>
          <w:sz w:val="24"/>
          <w:szCs w:val="24"/>
        </w:rPr>
        <w:t>Disclosure on venture</w:t>
      </w:r>
      <w:r w:rsidRPr="008668EE">
        <w:rPr>
          <w:rFonts w:ascii="Times New Roman" w:hAnsi="Times New Roman"/>
          <w:bCs/>
          <w:sz w:val="24"/>
          <w:szCs w:val="24"/>
        </w:rPr>
        <w:t> </w:t>
      </w:r>
      <w:r w:rsidRPr="008668EE">
        <w:rPr>
          <w:rFonts w:ascii="Times New Roman" w:hAnsi="Times New Roman"/>
          <w:bCs/>
          <w:sz w:val="24"/>
          <w:szCs w:val="24"/>
        </w:rPr>
        <w:t>capital exposure and strategic equity investments in financial institutions for Dhaka Bank from 2019 to 2023, maintaining these at a low level of less than 5% of total assets. Equity investments by financial institutions vary somewhat, peaking in 2019 at 4.2%, then falling to or below 4% in subsequent</w:t>
      </w:r>
      <w:r w:rsidRPr="008668EE">
        <w:rPr>
          <w:rFonts w:ascii="Times New Roman" w:hAnsi="Times New Roman"/>
          <w:bCs/>
          <w:sz w:val="24"/>
          <w:szCs w:val="24"/>
        </w:rPr>
        <w:t> </w:t>
      </w:r>
      <w:r w:rsidRPr="008668EE">
        <w:rPr>
          <w:rFonts w:ascii="Times New Roman" w:hAnsi="Times New Roman"/>
          <w:bCs/>
          <w:sz w:val="24"/>
          <w:szCs w:val="24"/>
        </w:rPr>
        <w:t>years. Related to this, interest in venture capital has been stable over time, with little increase from 1.5% in 2019 to 2.0% in</w:t>
      </w:r>
      <w:r w:rsidRPr="008668EE">
        <w:rPr>
          <w:rFonts w:ascii="Times New Roman" w:hAnsi="Times New Roman"/>
          <w:bCs/>
          <w:sz w:val="24"/>
          <w:szCs w:val="24"/>
        </w:rPr>
        <w:t> </w:t>
      </w:r>
      <w:r w:rsidRPr="008668EE">
        <w:rPr>
          <w:rFonts w:ascii="Times New Roman" w:hAnsi="Times New Roman"/>
          <w:bCs/>
          <w:sz w:val="24"/>
          <w:szCs w:val="24"/>
        </w:rPr>
        <w:t>2023 indicating incremental but consistent investment into these areas.</w:t>
      </w:r>
    </w:p>
    <w:p w14:paraId="51B07BF6" w14:textId="77777777" w:rsidR="008668EE" w:rsidRPr="008668EE" w:rsidRDefault="00F16DF5" w:rsidP="008668EE">
      <w:pPr>
        <w:spacing w:line="360" w:lineRule="auto"/>
        <w:jc w:val="both"/>
        <w:rPr>
          <w:rFonts w:ascii="Times New Roman" w:hAnsi="Times New Roman"/>
          <w:bCs/>
          <w:sz w:val="24"/>
          <w:szCs w:val="24"/>
        </w:rPr>
      </w:pPr>
      <w:r w:rsidRPr="006751AF">
        <w:rPr>
          <w:rFonts w:ascii="Times New Roman" w:hAnsi="Times New Roman"/>
          <w:b/>
          <w:bCs/>
          <w:sz w:val="24"/>
          <w:szCs w:val="24"/>
        </w:rPr>
        <w:t>Investment Committee:</w:t>
      </w:r>
      <w:r w:rsidRPr="006751AF">
        <w:rPr>
          <w:rFonts w:ascii="Times New Roman" w:hAnsi="Times New Roman"/>
          <w:bCs/>
          <w:sz w:val="24"/>
          <w:szCs w:val="24"/>
        </w:rPr>
        <w:t xml:space="preserve"> </w:t>
      </w:r>
      <w:r w:rsidR="008668EE" w:rsidRPr="008668EE">
        <w:rPr>
          <w:rFonts w:ascii="Times New Roman" w:hAnsi="Times New Roman"/>
          <w:bCs/>
          <w:sz w:val="24"/>
          <w:szCs w:val="24"/>
        </w:rPr>
        <w:t>This committee establishes investment policy guidelines, monitors</w:t>
      </w:r>
      <w:r w:rsidR="008668EE" w:rsidRPr="008668EE">
        <w:rPr>
          <w:rFonts w:ascii="Times New Roman" w:hAnsi="Times New Roman"/>
          <w:bCs/>
          <w:sz w:val="24"/>
          <w:szCs w:val="24"/>
        </w:rPr>
        <w:t> </w:t>
      </w:r>
      <w:r w:rsidR="008668EE" w:rsidRPr="008668EE">
        <w:rPr>
          <w:rFonts w:ascii="Times New Roman" w:hAnsi="Times New Roman"/>
          <w:bCs/>
          <w:sz w:val="24"/>
          <w:szCs w:val="24"/>
        </w:rPr>
        <w:t>portfolio performance and that investments are consistent with liquidity requirements and risk tolerance.</w:t>
      </w:r>
    </w:p>
    <w:p w14:paraId="7A90672D" w14:textId="77777777" w:rsidR="00F16DF5" w:rsidRPr="000530C8" w:rsidRDefault="00F16DF5" w:rsidP="000530C8">
      <w:pPr>
        <w:pStyle w:val="Heading2"/>
        <w:rPr>
          <w:rFonts w:ascii="Times New Roman" w:hAnsi="Times New Roman" w:cs="Times New Roman"/>
          <w:b/>
          <w:sz w:val="24"/>
          <w:szCs w:val="24"/>
        </w:rPr>
      </w:pPr>
      <w:bookmarkStart w:id="52" w:name="_Toc214949044"/>
      <w:r w:rsidRPr="000530C8">
        <w:rPr>
          <w:rFonts w:ascii="Times New Roman" w:hAnsi="Times New Roman" w:cs="Times New Roman"/>
          <w:b/>
          <w:sz w:val="24"/>
          <w:szCs w:val="24"/>
        </w:rPr>
        <w:t>4.3.3 Treasury Operations</w:t>
      </w:r>
      <w:bookmarkEnd w:id="52"/>
    </w:p>
    <w:p w14:paraId="10D32F3F" w14:textId="77777777" w:rsidR="008668EE" w:rsidRPr="008668EE" w:rsidRDefault="008668EE" w:rsidP="008668EE">
      <w:pPr>
        <w:spacing w:line="360" w:lineRule="auto"/>
        <w:jc w:val="both"/>
        <w:rPr>
          <w:rFonts w:ascii="Times New Roman" w:hAnsi="Times New Roman"/>
          <w:bCs/>
          <w:sz w:val="24"/>
          <w:szCs w:val="24"/>
        </w:rPr>
      </w:pPr>
      <w:r w:rsidRPr="008668EE">
        <w:rPr>
          <w:rFonts w:ascii="Times New Roman" w:hAnsi="Times New Roman"/>
          <w:bCs/>
          <w:sz w:val="24"/>
          <w:szCs w:val="24"/>
        </w:rPr>
        <w:t>The</w:t>
      </w:r>
      <w:r w:rsidRPr="008668EE">
        <w:rPr>
          <w:rFonts w:ascii="Times New Roman" w:hAnsi="Times New Roman"/>
          <w:bCs/>
          <w:sz w:val="24"/>
          <w:szCs w:val="24"/>
        </w:rPr>
        <w:t> </w:t>
      </w:r>
      <w:r w:rsidRPr="008668EE">
        <w:rPr>
          <w:rFonts w:ascii="Times New Roman" w:hAnsi="Times New Roman"/>
          <w:bCs/>
          <w:sz w:val="24"/>
          <w:szCs w:val="24"/>
        </w:rPr>
        <w:t>Treasury department is responsible for funding, correspondent banking and trading:</w:t>
      </w:r>
    </w:p>
    <w:p w14:paraId="10C84E25" w14:textId="77777777" w:rsidR="008668EE" w:rsidRPr="008668EE" w:rsidRDefault="00F16DF5" w:rsidP="008668EE">
      <w:pPr>
        <w:spacing w:line="360" w:lineRule="auto"/>
        <w:jc w:val="both"/>
        <w:rPr>
          <w:rFonts w:ascii="Times New Roman" w:hAnsi="Times New Roman"/>
          <w:bCs/>
          <w:sz w:val="24"/>
          <w:szCs w:val="24"/>
        </w:rPr>
      </w:pPr>
      <w:r w:rsidRPr="006751AF">
        <w:rPr>
          <w:rFonts w:ascii="Times New Roman" w:hAnsi="Times New Roman"/>
          <w:b/>
          <w:bCs/>
          <w:sz w:val="24"/>
          <w:szCs w:val="24"/>
        </w:rPr>
        <w:t>Money Market Operations:</w:t>
      </w:r>
      <w:r w:rsidRPr="006751AF">
        <w:rPr>
          <w:rFonts w:ascii="Times New Roman" w:hAnsi="Times New Roman"/>
          <w:bCs/>
          <w:sz w:val="24"/>
          <w:szCs w:val="24"/>
        </w:rPr>
        <w:t xml:space="preserve"> </w:t>
      </w:r>
      <w:r w:rsidR="008668EE" w:rsidRPr="008668EE">
        <w:rPr>
          <w:rFonts w:ascii="Times New Roman" w:hAnsi="Times New Roman"/>
          <w:bCs/>
          <w:sz w:val="24"/>
          <w:szCs w:val="24"/>
        </w:rPr>
        <w:t>The Government minimizes the cost of short-term financing by actively</w:t>
      </w:r>
      <w:r w:rsidR="008668EE" w:rsidRPr="008668EE">
        <w:rPr>
          <w:rFonts w:ascii="Times New Roman" w:hAnsi="Times New Roman"/>
          <w:bCs/>
          <w:sz w:val="24"/>
          <w:szCs w:val="24"/>
        </w:rPr>
        <w:t> </w:t>
      </w:r>
      <w:r w:rsidR="008668EE" w:rsidRPr="008668EE">
        <w:rPr>
          <w:rFonts w:ascii="Times New Roman" w:hAnsi="Times New Roman"/>
          <w:bCs/>
          <w:sz w:val="24"/>
          <w:szCs w:val="24"/>
        </w:rPr>
        <w:t>managing its daily liquidity needs in the inter-bank money market, repurchase agreements, and Bangladesh Bank funds.</w:t>
      </w:r>
    </w:p>
    <w:p w14:paraId="6F6A9524" w14:textId="77777777" w:rsidR="008668EE" w:rsidRPr="008668EE" w:rsidRDefault="00F16DF5" w:rsidP="008668EE">
      <w:pPr>
        <w:spacing w:line="360" w:lineRule="auto"/>
        <w:jc w:val="both"/>
        <w:rPr>
          <w:rFonts w:ascii="Times New Roman" w:hAnsi="Times New Roman"/>
          <w:bCs/>
          <w:sz w:val="24"/>
          <w:szCs w:val="24"/>
        </w:rPr>
      </w:pPr>
      <w:r w:rsidRPr="006751AF">
        <w:rPr>
          <w:rFonts w:ascii="Times New Roman" w:hAnsi="Times New Roman"/>
          <w:b/>
          <w:bCs/>
          <w:sz w:val="24"/>
          <w:szCs w:val="24"/>
        </w:rPr>
        <w:t>Foreign Exchange Trading:</w:t>
      </w:r>
      <w:r w:rsidRPr="006751AF">
        <w:rPr>
          <w:rFonts w:ascii="Times New Roman" w:hAnsi="Times New Roman"/>
          <w:bCs/>
          <w:sz w:val="24"/>
          <w:szCs w:val="24"/>
        </w:rPr>
        <w:t xml:space="preserve"> </w:t>
      </w:r>
      <w:r w:rsidR="008668EE" w:rsidRPr="008668EE">
        <w:rPr>
          <w:rFonts w:ascii="Times New Roman" w:hAnsi="Times New Roman"/>
          <w:bCs/>
          <w:sz w:val="24"/>
          <w:szCs w:val="24"/>
        </w:rPr>
        <w:t>The bank maintains small proprietary positions within the</w:t>
      </w:r>
      <w:r w:rsidR="008668EE" w:rsidRPr="008668EE">
        <w:rPr>
          <w:rFonts w:ascii="Times New Roman" w:hAnsi="Times New Roman"/>
          <w:bCs/>
          <w:sz w:val="24"/>
          <w:szCs w:val="24"/>
        </w:rPr>
        <w:t> </w:t>
      </w:r>
      <w:r w:rsidR="008668EE" w:rsidRPr="008668EE">
        <w:rPr>
          <w:rFonts w:ascii="Times New Roman" w:hAnsi="Times New Roman"/>
          <w:bCs/>
          <w:sz w:val="24"/>
          <w:szCs w:val="24"/>
        </w:rPr>
        <w:t>limits of regulation and conducts foreign exchange transactions for customers. Mark to market revaluation is applied on a daily basis to capitalise</w:t>
      </w:r>
      <w:r w:rsidR="008668EE" w:rsidRPr="008668EE">
        <w:rPr>
          <w:rFonts w:ascii="Times New Roman" w:hAnsi="Times New Roman"/>
          <w:bCs/>
          <w:sz w:val="24"/>
          <w:szCs w:val="24"/>
        </w:rPr>
        <w:t> </w:t>
      </w:r>
      <w:r w:rsidR="008668EE" w:rsidRPr="008668EE">
        <w:rPr>
          <w:rFonts w:ascii="Times New Roman" w:hAnsi="Times New Roman"/>
          <w:bCs/>
          <w:sz w:val="24"/>
          <w:szCs w:val="24"/>
        </w:rPr>
        <w:t>gains and losses.</w:t>
      </w:r>
    </w:p>
    <w:p w14:paraId="66E86CA7" w14:textId="77777777" w:rsidR="008668EE" w:rsidRPr="008668EE" w:rsidRDefault="00F16DF5" w:rsidP="008668EE">
      <w:pPr>
        <w:spacing w:line="360" w:lineRule="auto"/>
        <w:jc w:val="both"/>
        <w:rPr>
          <w:rFonts w:ascii="Times New Roman" w:hAnsi="Times New Roman"/>
          <w:bCs/>
          <w:sz w:val="24"/>
          <w:szCs w:val="24"/>
        </w:rPr>
      </w:pPr>
      <w:r w:rsidRPr="006751AF">
        <w:rPr>
          <w:rFonts w:ascii="Times New Roman" w:hAnsi="Times New Roman"/>
          <w:b/>
          <w:bCs/>
          <w:sz w:val="24"/>
          <w:szCs w:val="24"/>
        </w:rPr>
        <w:t>Limits and Controls:</w:t>
      </w:r>
      <w:r w:rsidRPr="006751AF">
        <w:rPr>
          <w:rFonts w:ascii="Times New Roman" w:hAnsi="Times New Roman"/>
          <w:bCs/>
          <w:sz w:val="24"/>
          <w:szCs w:val="24"/>
        </w:rPr>
        <w:t xml:space="preserve"> </w:t>
      </w:r>
      <w:r w:rsidR="008668EE" w:rsidRPr="008668EE">
        <w:rPr>
          <w:rFonts w:ascii="Times New Roman" w:hAnsi="Times New Roman"/>
          <w:bCs/>
          <w:sz w:val="24"/>
          <w:szCs w:val="24"/>
        </w:rPr>
        <w:t>The bank has strict stop loss,</w:t>
      </w:r>
      <w:r w:rsidR="008668EE" w:rsidRPr="008668EE">
        <w:rPr>
          <w:rFonts w:ascii="Times New Roman" w:hAnsi="Times New Roman"/>
          <w:bCs/>
          <w:sz w:val="24"/>
          <w:szCs w:val="24"/>
        </w:rPr>
        <w:t> </w:t>
      </w:r>
      <w:r w:rsidR="008668EE" w:rsidRPr="008668EE">
        <w:rPr>
          <w:rFonts w:ascii="Times New Roman" w:hAnsi="Times New Roman"/>
          <w:bCs/>
          <w:sz w:val="24"/>
          <w:szCs w:val="24"/>
        </w:rPr>
        <w:t>dealer authority, and position limits for trading. Independent risk control functions are</w:t>
      </w:r>
      <w:r w:rsidR="008668EE" w:rsidRPr="008668EE">
        <w:rPr>
          <w:rFonts w:ascii="Times New Roman" w:hAnsi="Times New Roman"/>
          <w:bCs/>
          <w:sz w:val="24"/>
          <w:szCs w:val="24"/>
        </w:rPr>
        <w:t> </w:t>
      </w:r>
      <w:r w:rsidR="008668EE" w:rsidRPr="008668EE">
        <w:rPr>
          <w:rFonts w:ascii="Times New Roman" w:hAnsi="Times New Roman"/>
          <w:bCs/>
          <w:sz w:val="24"/>
          <w:szCs w:val="24"/>
        </w:rPr>
        <w:t>on the watch for compliance daily.</w:t>
      </w:r>
    </w:p>
    <w:p w14:paraId="7D9D3621" w14:textId="77777777" w:rsidR="00F16DF5" w:rsidRDefault="00F16DF5" w:rsidP="00D527E4">
      <w:pPr>
        <w:pStyle w:val="Heading1"/>
        <w:jc w:val="left"/>
        <w:rPr>
          <w:rFonts w:ascii="Times New Roman" w:hAnsi="Times New Roman" w:cs="Times New Roman"/>
          <w:sz w:val="28"/>
        </w:rPr>
      </w:pPr>
      <w:bookmarkStart w:id="53" w:name="_Toc214949045"/>
      <w:r w:rsidRPr="00D77C53">
        <w:rPr>
          <w:rFonts w:ascii="Times New Roman" w:hAnsi="Times New Roman" w:cs="Times New Roman"/>
          <w:sz w:val="28"/>
        </w:rPr>
        <w:lastRenderedPageBreak/>
        <w:t>4.4 Operational Risk Management</w:t>
      </w:r>
      <w:bookmarkEnd w:id="53"/>
    </w:p>
    <w:p w14:paraId="13328CAC" w14:textId="77777777" w:rsidR="00E11522" w:rsidRPr="00E11522" w:rsidRDefault="00E11522" w:rsidP="00E11522"/>
    <w:p w14:paraId="154B5F8E" w14:textId="77777777" w:rsidR="009521E2" w:rsidRPr="00903DDA" w:rsidRDefault="009521E2" w:rsidP="00903DDA">
      <w:pPr>
        <w:spacing w:line="360" w:lineRule="auto"/>
        <w:jc w:val="both"/>
        <w:rPr>
          <w:rFonts w:ascii="Times New Roman" w:hAnsi="Times New Roman"/>
          <w:sz w:val="24"/>
          <w:szCs w:val="24"/>
        </w:rPr>
      </w:pPr>
      <w:r w:rsidRPr="00903DDA">
        <w:rPr>
          <w:rFonts w:ascii="Times New Roman" w:hAnsi="Times New Roman"/>
          <w:sz w:val="24"/>
          <w:szCs w:val="24"/>
        </w:rPr>
        <w:t>Operational risk management at Dhaka Bank, however, has become</w:t>
      </w:r>
      <w:r w:rsidRPr="00903DDA">
        <w:rPr>
          <w:rFonts w:ascii="Times New Roman" w:hAnsi="Times New Roman"/>
          <w:sz w:val="24"/>
          <w:szCs w:val="24"/>
        </w:rPr>
        <w:t> </w:t>
      </w:r>
      <w:r w:rsidRPr="00903DDA">
        <w:rPr>
          <w:rFonts w:ascii="Times New Roman" w:hAnsi="Times New Roman"/>
          <w:sz w:val="24"/>
          <w:szCs w:val="24"/>
        </w:rPr>
        <w:t>increasingly important due to its number of complex transactions, digital channels expanded and higher automation.</w:t>
      </w:r>
    </w:p>
    <w:p w14:paraId="079D7F7D" w14:textId="77777777" w:rsidR="00F16DF5" w:rsidRPr="00D77C53" w:rsidRDefault="00F16DF5" w:rsidP="00D527E4">
      <w:pPr>
        <w:pStyle w:val="Heading2"/>
        <w:rPr>
          <w:rFonts w:ascii="Times New Roman" w:hAnsi="Times New Roman" w:cs="Times New Roman"/>
          <w:b/>
          <w:color w:val="4F81BD" w:themeColor="accent1"/>
          <w:sz w:val="24"/>
          <w:szCs w:val="24"/>
        </w:rPr>
      </w:pPr>
      <w:bookmarkStart w:id="54" w:name="_Toc214949046"/>
      <w:r w:rsidRPr="00D77C53">
        <w:rPr>
          <w:rFonts w:ascii="Times New Roman" w:hAnsi="Times New Roman" w:cs="Times New Roman"/>
          <w:b/>
          <w:color w:val="4F81BD" w:themeColor="accent1"/>
          <w:sz w:val="24"/>
          <w:szCs w:val="24"/>
        </w:rPr>
        <w:t>4.4.1 Compliance Framework</w:t>
      </w:r>
      <w:bookmarkEnd w:id="54"/>
    </w:p>
    <w:p w14:paraId="40309B07" w14:textId="77777777" w:rsidR="009521E2" w:rsidRPr="009521E2" w:rsidRDefault="00F16DF5" w:rsidP="009521E2">
      <w:pPr>
        <w:spacing w:line="360" w:lineRule="auto"/>
        <w:jc w:val="both"/>
        <w:rPr>
          <w:rFonts w:ascii="Times New Roman" w:hAnsi="Times New Roman"/>
          <w:bCs/>
          <w:sz w:val="24"/>
          <w:szCs w:val="24"/>
        </w:rPr>
      </w:pPr>
      <w:r w:rsidRPr="006751AF">
        <w:rPr>
          <w:rFonts w:ascii="Times New Roman" w:hAnsi="Times New Roman"/>
          <w:b/>
          <w:bCs/>
          <w:sz w:val="24"/>
          <w:szCs w:val="24"/>
        </w:rPr>
        <w:t>Regulatory Compliance:</w:t>
      </w:r>
      <w:r w:rsidRPr="006751AF">
        <w:rPr>
          <w:rFonts w:ascii="Times New Roman" w:hAnsi="Times New Roman"/>
          <w:bCs/>
          <w:sz w:val="24"/>
          <w:szCs w:val="24"/>
        </w:rPr>
        <w:t xml:space="preserve"> </w:t>
      </w:r>
      <w:r w:rsidR="009521E2" w:rsidRPr="009521E2">
        <w:rPr>
          <w:rFonts w:ascii="Times New Roman" w:hAnsi="Times New Roman"/>
          <w:bCs/>
          <w:sz w:val="24"/>
          <w:szCs w:val="24"/>
        </w:rPr>
        <w:t>The Compliance Division ensures compliance with Bangladesh Bank circulars,</w:t>
      </w:r>
      <w:r w:rsidR="009521E2" w:rsidRPr="009521E2">
        <w:rPr>
          <w:rFonts w:ascii="Times New Roman" w:hAnsi="Times New Roman"/>
          <w:bCs/>
          <w:sz w:val="24"/>
          <w:szCs w:val="24"/>
        </w:rPr>
        <w:t> </w:t>
      </w:r>
      <w:r w:rsidR="009521E2" w:rsidRPr="009521E2">
        <w:rPr>
          <w:rFonts w:ascii="Times New Roman" w:hAnsi="Times New Roman"/>
          <w:bCs/>
          <w:sz w:val="24"/>
          <w:szCs w:val="24"/>
        </w:rPr>
        <w:t>the Banking Companies Act, Anti-Money Laundering Act and other laws. Reports also are regularly submitted to</w:t>
      </w:r>
      <w:r w:rsidR="009521E2" w:rsidRPr="009521E2">
        <w:rPr>
          <w:rFonts w:ascii="Times New Roman" w:hAnsi="Times New Roman"/>
          <w:bCs/>
          <w:sz w:val="24"/>
          <w:szCs w:val="24"/>
        </w:rPr>
        <w:t> </w:t>
      </w:r>
      <w:r w:rsidR="009521E2" w:rsidRPr="009521E2">
        <w:rPr>
          <w:rFonts w:ascii="Times New Roman" w:hAnsi="Times New Roman"/>
          <w:bCs/>
          <w:sz w:val="24"/>
          <w:szCs w:val="24"/>
        </w:rPr>
        <w:t>the regulators and Board regarding compliance.</w:t>
      </w:r>
    </w:p>
    <w:p w14:paraId="23B8335C" w14:textId="77777777" w:rsidR="009521E2" w:rsidRPr="009521E2" w:rsidRDefault="00F16DF5" w:rsidP="009521E2">
      <w:pPr>
        <w:spacing w:line="360" w:lineRule="auto"/>
        <w:jc w:val="both"/>
        <w:rPr>
          <w:rFonts w:ascii="Times New Roman" w:hAnsi="Times New Roman"/>
          <w:bCs/>
          <w:sz w:val="24"/>
          <w:szCs w:val="24"/>
        </w:rPr>
      </w:pPr>
      <w:r w:rsidRPr="006751AF">
        <w:rPr>
          <w:rFonts w:ascii="Times New Roman" w:hAnsi="Times New Roman"/>
          <w:b/>
          <w:bCs/>
          <w:sz w:val="24"/>
          <w:szCs w:val="24"/>
        </w:rPr>
        <w:t>Know Your Customer (KYC):</w:t>
      </w:r>
      <w:r w:rsidR="009521E2">
        <w:rPr>
          <w:rFonts w:ascii="Times New Roman" w:hAnsi="Times New Roman"/>
          <w:b/>
          <w:bCs/>
          <w:sz w:val="24"/>
          <w:szCs w:val="24"/>
        </w:rPr>
        <w:t xml:space="preserve"> </w:t>
      </w:r>
      <w:r w:rsidR="009521E2" w:rsidRPr="009521E2">
        <w:rPr>
          <w:rFonts w:ascii="Times New Roman" w:hAnsi="Times New Roman"/>
          <w:bCs/>
          <w:sz w:val="24"/>
          <w:szCs w:val="24"/>
        </w:rPr>
        <w:t>KYC</w:t>
      </w:r>
      <w:r w:rsidRPr="006751AF">
        <w:rPr>
          <w:rFonts w:ascii="Times New Roman" w:hAnsi="Times New Roman"/>
          <w:bCs/>
          <w:sz w:val="24"/>
          <w:szCs w:val="24"/>
        </w:rPr>
        <w:t xml:space="preserve"> </w:t>
      </w:r>
      <w:r w:rsidR="009521E2" w:rsidRPr="009521E2">
        <w:rPr>
          <w:rFonts w:ascii="Times New Roman" w:hAnsi="Times New Roman"/>
          <w:bCs/>
          <w:sz w:val="24"/>
          <w:szCs w:val="24"/>
        </w:rPr>
        <w:t>procedures at account opening and on an ongoing basis to ensure that the bank knows its customers’ identities, business operations and the source of their funds.</w:t>
      </w:r>
    </w:p>
    <w:p w14:paraId="6C9725C3"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Anti-Money Laundering (AML):</w:t>
      </w:r>
      <w:r w:rsidRPr="006751AF">
        <w:rPr>
          <w:rFonts w:ascii="Times New Roman" w:hAnsi="Times New Roman"/>
          <w:bCs/>
          <w:sz w:val="24"/>
          <w:szCs w:val="24"/>
        </w:rPr>
        <w:t xml:space="preserve"> </w:t>
      </w:r>
      <w:r w:rsidR="009521E2" w:rsidRPr="009521E2">
        <w:rPr>
          <w:rFonts w:ascii="Times New Roman" w:hAnsi="Times New Roman"/>
          <w:bCs/>
          <w:sz w:val="24"/>
          <w:szCs w:val="24"/>
        </w:rPr>
        <w:t>Suspicious patterns are detected</w:t>
      </w:r>
      <w:r w:rsidR="009521E2" w:rsidRPr="009521E2">
        <w:rPr>
          <w:rFonts w:ascii="Times New Roman" w:hAnsi="Times New Roman"/>
          <w:bCs/>
          <w:sz w:val="24"/>
          <w:szCs w:val="24"/>
        </w:rPr>
        <w:t> </w:t>
      </w:r>
      <w:r w:rsidR="009521E2" w:rsidRPr="009521E2">
        <w:rPr>
          <w:rFonts w:ascii="Times New Roman" w:hAnsi="Times New Roman"/>
          <w:bCs/>
          <w:sz w:val="24"/>
          <w:szCs w:val="24"/>
        </w:rPr>
        <w:t>by transaction monitoring systems that require additional review. Suspicious Transaction Reports (STR) are filed with such Bangladesh Financial Intelligence</w:t>
      </w:r>
      <w:r w:rsidR="009521E2" w:rsidRPr="009521E2">
        <w:rPr>
          <w:rFonts w:ascii="Times New Roman" w:hAnsi="Times New Roman"/>
          <w:bCs/>
          <w:sz w:val="24"/>
          <w:szCs w:val="24"/>
        </w:rPr>
        <w:t> </w:t>
      </w:r>
      <w:r w:rsidR="009521E2" w:rsidRPr="009521E2">
        <w:rPr>
          <w:rFonts w:ascii="Times New Roman" w:hAnsi="Times New Roman"/>
          <w:bCs/>
          <w:sz w:val="24"/>
          <w:szCs w:val="24"/>
        </w:rPr>
        <w:t>Unit as and when deemed appropriate. Regular AML training keeps the staff</w:t>
      </w:r>
      <w:r w:rsidR="009521E2" w:rsidRPr="009521E2">
        <w:rPr>
          <w:rFonts w:ascii="Times New Roman" w:hAnsi="Times New Roman"/>
          <w:bCs/>
          <w:sz w:val="24"/>
          <w:szCs w:val="24"/>
        </w:rPr>
        <w:t> </w:t>
      </w:r>
      <w:r w:rsidR="009521E2" w:rsidRPr="009521E2">
        <w:rPr>
          <w:rFonts w:ascii="Times New Roman" w:hAnsi="Times New Roman"/>
          <w:bCs/>
          <w:sz w:val="24"/>
          <w:szCs w:val="24"/>
        </w:rPr>
        <w:t>updated on what to look out for and how to report.</w:t>
      </w:r>
    </w:p>
    <w:p w14:paraId="7D90A5C5" w14:textId="77777777" w:rsidR="009521E2" w:rsidRPr="009521E2" w:rsidRDefault="00F16DF5" w:rsidP="009521E2">
      <w:pPr>
        <w:spacing w:line="360" w:lineRule="auto"/>
        <w:jc w:val="both"/>
        <w:rPr>
          <w:rFonts w:ascii="Times New Roman" w:hAnsi="Times New Roman"/>
          <w:bCs/>
          <w:sz w:val="24"/>
          <w:szCs w:val="24"/>
        </w:rPr>
      </w:pPr>
      <w:r w:rsidRPr="006751AF">
        <w:rPr>
          <w:rFonts w:ascii="Times New Roman" w:hAnsi="Times New Roman"/>
          <w:b/>
          <w:bCs/>
          <w:sz w:val="24"/>
          <w:szCs w:val="24"/>
        </w:rPr>
        <w:t>Sanctions Screening:</w:t>
      </w:r>
      <w:r w:rsidRPr="006751AF">
        <w:rPr>
          <w:rFonts w:ascii="Times New Roman" w:hAnsi="Times New Roman"/>
          <w:bCs/>
          <w:sz w:val="24"/>
          <w:szCs w:val="24"/>
        </w:rPr>
        <w:t xml:space="preserve"> </w:t>
      </w:r>
      <w:r w:rsidR="009521E2" w:rsidRPr="009521E2">
        <w:rPr>
          <w:rFonts w:ascii="Times New Roman" w:hAnsi="Times New Roman"/>
          <w:bCs/>
          <w:sz w:val="24"/>
          <w:szCs w:val="24"/>
        </w:rPr>
        <w:t>Customer names and transactions</w:t>
      </w:r>
      <w:r w:rsidR="009521E2" w:rsidRPr="009521E2">
        <w:rPr>
          <w:rFonts w:ascii="Times New Roman" w:hAnsi="Times New Roman"/>
          <w:bCs/>
          <w:sz w:val="24"/>
          <w:szCs w:val="24"/>
        </w:rPr>
        <w:t> </w:t>
      </w:r>
      <w:r w:rsidR="009521E2" w:rsidRPr="009521E2">
        <w:rPr>
          <w:rFonts w:ascii="Times New Roman" w:hAnsi="Times New Roman"/>
          <w:bCs/>
          <w:sz w:val="24"/>
          <w:szCs w:val="24"/>
        </w:rPr>
        <w:t>are checked against UN, OFAC and other regulatory bodies’ sanctions lists to prevent unauthorized transactions.</w:t>
      </w:r>
    </w:p>
    <w:p w14:paraId="31346131" w14:textId="77777777" w:rsidR="009521E2" w:rsidRDefault="00F16DF5" w:rsidP="009521E2">
      <w:pPr>
        <w:spacing w:line="360" w:lineRule="auto"/>
        <w:jc w:val="both"/>
        <w:rPr>
          <w:rFonts w:ascii="Times New Roman" w:hAnsi="Times New Roman"/>
          <w:bCs/>
          <w:sz w:val="24"/>
          <w:szCs w:val="24"/>
        </w:rPr>
      </w:pPr>
      <w:r w:rsidRPr="006751AF">
        <w:rPr>
          <w:rFonts w:ascii="Times New Roman" w:hAnsi="Times New Roman"/>
          <w:b/>
          <w:bCs/>
          <w:sz w:val="24"/>
          <w:szCs w:val="24"/>
        </w:rPr>
        <w:t>Consumer Protection:</w:t>
      </w:r>
      <w:r w:rsidRPr="006751AF">
        <w:rPr>
          <w:rFonts w:ascii="Times New Roman" w:hAnsi="Times New Roman"/>
          <w:bCs/>
          <w:sz w:val="24"/>
          <w:szCs w:val="24"/>
        </w:rPr>
        <w:t xml:space="preserve"> </w:t>
      </w:r>
      <w:r w:rsidR="009521E2" w:rsidRPr="009521E2">
        <w:rPr>
          <w:rFonts w:ascii="Times New Roman" w:hAnsi="Times New Roman"/>
          <w:bCs/>
          <w:sz w:val="24"/>
          <w:szCs w:val="24"/>
        </w:rPr>
        <w:t>The bank implements fair lending practices, is transparent about fees and terms, has effective complaint resolution procedures, and protects</w:t>
      </w:r>
      <w:r w:rsidR="009521E2" w:rsidRPr="009521E2">
        <w:rPr>
          <w:rFonts w:ascii="Times New Roman" w:hAnsi="Times New Roman"/>
          <w:bCs/>
          <w:sz w:val="24"/>
          <w:szCs w:val="24"/>
        </w:rPr>
        <w:t> </w:t>
      </w:r>
      <w:r w:rsidR="009521E2" w:rsidRPr="009521E2">
        <w:rPr>
          <w:rFonts w:ascii="Times New Roman" w:hAnsi="Times New Roman"/>
          <w:bCs/>
          <w:sz w:val="24"/>
          <w:szCs w:val="24"/>
        </w:rPr>
        <w:t>clients' privacy.</w:t>
      </w:r>
    </w:p>
    <w:p w14:paraId="41815A8F" w14:textId="77777777" w:rsidR="00F16DF5" w:rsidRPr="000530C8" w:rsidRDefault="00F16DF5" w:rsidP="000530C8">
      <w:pPr>
        <w:pStyle w:val="Heading2"/>
        <w:rPr>
          <w:rFonts w:ascii="Times New Roman" w:hAnsi="Times New Roman" w:cs="Times New Roman"/>
          <w:b/>
          <w:sz w:val="24"/>
          <w:szCs w:val="24"/>
        </w:rPr>
      </w:pPr>
      <w:bookmarkStart w:id="55" w:name="_Toc214949047"/>
      <w:r w:rsidRPr="000530C8">
        <w:rPr>
          <w:rFonts w:ascii="Times New Roman" w:hAnsi="Times New Roman" w:cs="Times New Roman"/>
          <w:b/>
          <w:sz w:val="24"/>
          <w:szCs w:val="24"/>
        </w:rPr>
        <w:t>4.4.2 IT and Cyber Risk Management</w:t>
      </w:r>
      <w:bookmarkEnd w:id="55"/>
    </w:p>
    <w:p w14:paraId="1A7BFDE9" w14:textId="77777777" w:rsidR="007F24F9" w:rsidRPr="007F24F9" w:rsidRDefault="007F24F9" w:rsidP="007F24F9">
      <w:pPr>
        <w:spacing w:line="360" w:lineRule="auto"/>
        <w:jc w:val="both"/>
        <w:rPr>
          <w:rFonts w:ascii="Times New Roman" w:hAnsi="Times New Roman"/>
          <w:bCs/>
          <w:sz w:val="24"/>
          <w:szCs w:val="24"/>
        </w:rPr>
      </w:pPr>
      <w:r w:rsidRPr="007F24F9">
        <w:rPr>
          <w:rFonts w:ascii="Times New Roman" w:hAnsi="Times New Roman"/>
          <w:bCs/>
          <w:sz w:val="24"/>
          <w:szCs w:val="24"/>
        </w:rPr>
        <w:t>Because everything is built</w:t>
      </w:r>
      <w:r w:rsidRPr="007F24F9">
        <w:rPr>
          <w:rFonts w:ascii="Times New Roman" w:hAnsi="Times New Roman"/>
          <w:bCs/>
          <w:sz w:val="24"/>
          <w:szCs w:val="24"/>
        </w:rPr>
        <w:t> </w:t>
      </w:r>
      <w:r w:rsidRPr="007F24F9">
        <w:rPr>
          <w:rFonts w:ascii="Times New Roman" w:hAnsi="Times New Roman"/>
          <w:bCs/>
          <w:sz w:val="24"/>
          <w:szCs w:val="24"/>
        </w:rPr>
        <w:t>on digital infrastructure, IT risk management is essential:</w:t>
      </w:r>
    </w:p>
    <w:p w14:paraId="21C8A4F2" w14:textId="77777777" w:rsidR="007F24F9" w:rsidRPr="007F24F9" w:rsidRDefault="00F16DF5" w:rsidP="007F24F9">
      <w:pPr>
        <w:spacing w:line="360" w:lineRule="auto"/>
        <w:jc w:val="both"/>
        <w:rPr>
          <w:rFonts w:ascii="Times New Roman" w:eastAsia="Times New Roman" w:hAnsi="Times New Roman"/>
          <w:sz w:val="24"/>
          <w:szCs w:val="24"/>
        </w:rPr>
      </w:pPr>
      <w:r w:rsidRPr="006751AF">
        <w:rPr>
          <w:rFonts w:ascii="Times New Roman" w:eastAsia="Times New Roman" w:hAnsi="Times New Roman"/>
          <w:b/>
          <w:sz w:val="24"/>
          <w:szCs w:val="24"/>
        </w:rPr>
        <w:t>Information Security Policy:</w:t>
      </w:r>
      <w:r w:rsidRPr="006751AF">
        <w:rPr>
          <w:rFonts w:ascii="Times New Roman" w:eastAsia="Times New Roman" w:hAnsi="Times New Roman"/>
          <w:sz w:val="24"/>
          <w:szCs w:val="24"/>
        </w:rPr>
        <w:t xml:space="preserve"> </w:t>
      </w:r>
      <w:r w:rsidR="007F24F9" w:rsidRPr="007F24F9">
        <w:rPr>
          <w:rFonts w:ascii="Times New Roman" w:eastAsia="Times New Roman" w:hAnsi="Times New Roman"/>
          <w:sz w:val="24"/>
          <w:szCs w:val="24"/>
        </w:rPr>
        <w:t>Specific regulations govern the classification of data, requirements around encryption,</w:t>
      </w:r>
      <w:r w:rsidR="007F24F9" w:rsidRPr="007F24F9">
        <w:rPr>
          <w:rFonts w:ascii="Times New Roman" w:eastAsia="Times New Roman" w:hAnsi="Times New Roman"/>
          <w:sz w:val="24"/>
          <w:szCs w:val="24"/>
        </w:rPr>
        <w:t> </w:t>
      </w:r>
      <w:r w:rsidR="007F24F9" w:rsidRPr="007F24F9">
        <w:rPr>
          <w:rFonts w:ascii="Times New Roman" w:eastAsia="Times New Roman" w:hAnsi="Times New Roman"/>
          <w:sz w:val="24"/>
          <w:szCs w:val="24"/>
        </w:rPr>
        <w:t>password policies, remote access, email security and acceptable use of IT resources.</w:t>
      </w:r>
    </w:p>
    <w:p w14:paraId="296C8E77" w14:textId="77777777" w:rsidR="007F24F9" w:rsidRPr="007F24F9" w:rsidRDefault="00F16DF5" w:rsidP="007F24F9">
      <w:pPr>
        <w:spacing w:line="360" w:lineRule="auto"/>
        <w:jc w:val="both"/>
        <w:rPr>
          <w:rFonts w:ascii="Times New Roman" w:eastAsia="Times New Roman" w:hAnsi="Times New Roman"/>
          <w:sz w:val="24"/>
          <w:szCs w:val="24"/>
        </w:rPr>
      </w:pPr>
      <w:r w:rsidRPr="006751AF">
        <w:rPr>
          <w:rFonts w:ascii="Times New Roman" w:eastAsia="Times New Roman" w:hAnsi="Times New Roman"/>
          <w:b/>
          <w:sz w:val="24"/>
          <w:szCs w:val="24"/>
        </w:rPr>
        <w:t>Business Continuity and Disaster Recovery:</w:t>
      </w:r>
      <w:r w:rsidRPr="006751AF">
        <w:rPr>
          <w:rFonts w:ascii="Times New Roman" w:eastAsia="Times New Roman" w:hAnsi="Times New Roman"/>
          <w:sz w:val="24"/>
          <w:szCs w:val="24"/>
        </w:rPr>
        <w:t xml:space="preserve"> </w:t>
      </w:r>
      <w:r w:rsidR="007F24F9" w:rsidRPr="007F24F9">
        <w:rPr>
          <w:rFonts w:ascii="Times New Roman" w:eastAsia="Times New Roman" w:hAnsi="Times New Roman"/>
          <w:sz w:val="24"/>
          <w:szCs w:val="24"/>
        </w:rPr>
        <w:t>The bank maintains secondary (hot) data centers with a copy of the transactions replicated in real time for continuation in case of failure of primary data center. Disaster recovery exercises typically</w:t>
      </w:r>
      <w:r w:rsidR="007F24F9" w:rsidRPr="007F24F9">
        <w:rPr>
          <w:rFonts w:ascii="Times New Roman" w:eastAsia="Times New Roman" w:hAnsi="Times New Roman"/>
          <w:sz w:val="24"/>
          <w:szCs w:val="24"/>
        </w:rPr>
        <w:t> </w:t>
      </w:r>
      <w:r w:rsidR="007F24F9" w:rsidRPr="007F24F9">
        <w:rPr>
          <w:rFonts w:ascii="Times New Roman" w:eastAsia="Times New Roman" w:hAnsi="Times New Roman"/>
          <w:sz w:val="24"/>
          <w:szCs w:val="24"/>
        </w:rPr>
        <w:t>assess the ability to recover. Organisations have a variety of</w:t>
      </w:r>
      <w:r w:rsidR="007F24F9" w:rsidRPr="007F24F9">
        <w:rPr>
          <w:rFonts w:ascii="Times New Roman" w:eastAsia="Times New Roman" w:hAnsi="Times New Roman"/>
          <w:sz w:val="24"/>
          <w:szCs w:val="24"/>
        </w:rPr>
        <w:t> </w:t>
      </w:r>
      <w:r w:rsidR="007F24F9" w:rsidRPr="007F24F9">
        <w:rPr>
          <w:rFonts w:ascii="Times New Roman" w:eastAsia="Times New Roman" w:hAnsi="Times New Roman"/>
          <w:sz w:val="24"/>
          <w:szCs w:val="24"/>
        </w:rPr>
        <w:t>different disruption types in their BCPs.</w:t>
      </w:r>
    </w:p>
    <w:p w14:paraId="44A227B3" w14:textId="77777777" w:rsidR="007F24F9" w:rsidRPr="007F24F9" w:rsidRDefault="00F16DF5" w:rsidP="007F24F9">
      <w:pPr>
        <w:spacing w:line="360" w:lineRule="auto"/>
        <w:jc w:val="both"/>
        <w:rPr>
          <w:rFonts w:ascii="Times New Roman" w:eastAsia="Times New Roman" w:hAnsi="Times New Roman"/>
          <w:sz w:val="24"/>
          <w:szCs w:val="24"/>
        </w:rPr>
      </w:pPr>
      <w:r w:rsidRPr="006751AF">
        <w:rPr>
          <w:rFonts w:ascii="Times New Roman" w:eastAsia="Times New Roman" w:hAnsi="Times New Roman"/>
          <w:b/>
          <w:sz w:val="24"/>
          <w:szCs w:val="24"/>
        </w:rPr>
        <w:lastRenderedPageBreak/>
        <w:t>Change Management:</w:t>
      </w:r>
      <w:r w:rsidRPr="006751AF">
        <w:rPr>
          <w:rFonts w:ascii="Times New Roman" w:eastAsia="Times New Roman" w:hAnsi="Times New Roman"/>
          <w:sz w:val="24"/>
          <w:szCs w:val="24"/>
        </w:rPr>
        <w:t xml:space="preserve"> </w:t>
      </w:r>
      <w:r w:rsidR="007F24F9" w:rsidRPr="007F24F9">
        <w:rPr>
          <w:rFonts w:ascii="Times New Roman" w:eastAsia="Times New Roman" w:hAnsi="Times New Roman"/>
          <w:sz w:val="24"/>
          <w:szCs w:val="24"/>
        </w:rPr>
        <w:t>System changes are governed through formal processes</w:t>
      </w:r>
      <w:r w:rsidR="007F24F9" w:rsidRPr="007F24F9">
        <w:rPr>
          <w:rFonts w:ascii="Times New Roman" w:eastAsia="Times New Roman" w:hAnsi="Times New Roman"/>
          <w:sz w:val="24"/>
          <w:szCs w:val="24"/>
        </w:rPr>
        <w:t> </w:t>
      </w:r>
      <w:r w:rsidR="007F24F9" w:rsidRPr="007F24F9">
        <w:rPr>
          <w:rFonts w:ascii="Times New Roman" w:eastAsia="Times New Roman" w:hAnsi="Times New Roman"/>
          <w:sz w:val="24"/>
          <w:szCs w:val="24"/>
        </w:rPr>
        <w:t>that include testing in a non-production environment, security evaluations, rollback procedures and documentation requirements before being utilized in any production system.</w:t>
      </w:r>
    </w:p>
    <w:p w14:paraId="1BD9C7E9" w14:textId="77777777" w:rsidR="007F24F9" w:rsidRPr="007F24F9" w:rsidRDefault="00F16DF5" w:rsidP="007F24F9">
      <w:pPr>
        <w:spacing w:line="360" w:lineRule="auto"/>
        <w:jc w:val="both"/>
        <w:rPr>
          <w:rFonts w:ascii="Times New Roman" w:eastAsia="Times New Roman" w:hAnsi="Times New Roman"/>
          <w:sz w:val="24"/>
          <w:szCs w:val="24"/>
        </w:rPr>
      </w:pPr>
      <w:r w:rsidRPr="006751AF">
        <w:rPr>
          <w:rFonts w:ascii="Times New Roman" w:eastAsia="Times New Roman" w:hAnsi="Times New Roman"/>
          <w:b/>
          <w:sz w:val="24"/>
          <w:szCs w:val="24"/>
        </w:rPr>
        <w:t>Vendor Risk Management:</w:t>
      </w:r>
      <w:r w:rsidRPr="006751AF">
        <w:rPr>
          <w:rFonts w:ascii="Times New Roman" w:eastAsia="Times New Roman" w:hAnsi="Times New Roman"/>
          <w:sz w:val="24"/>
          <w:szCs w:val="24"/>
        </w:rPr>
        <w:t xml:space="preserve"> </w:t>
      </w:r>
      <w:r w:rsidR="007F24F9">
        <w:rPr>
          <w:rFonts w:ascii="Times New Roman" w:eastAsia="Times New Roman" w:hAnsi="Times New Roman"/>
          <w:sz w:val="24"/>
          <w:szCs w:val="24"/>
        </w:rPr>
        <w:t xml:space="preserve">Third-Party </w:t>
      </w:r>
      <w:r w:rsidR="007F24F9" w:rsidRPr="007F24F9">
        <w:rPr>
          <w:rFonts w:ascii="Times New Roman" w:eastAsia="Times New Roman" w:hAnsi="Times New Roman"/>
          <w:sz w:val="24"/>
          <w:szCs w:val="24"/>
        </w:rPr>
        <w:t>technology vendors are reviewed through security assessments, terms and conditions with vendors define security requirements and key vendors have ongoing reviews.</w:t>
      </w:r>
    </w:p>
    <w:p w14:paraId="0CD6ECDF"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
          <w:bCs/>
          <w:sz w:val="24"/>
          <w:szCs w:val="24"/>
        </w:rPr>
        <w:t>Cyber Incident Response:</w:t>
      </w:r>
      <w:r w:rsidRPr="006751AF">
        <w:rPr>
          <w:rFonts w:ascii="Times New Roman" w:hAnsi="Times New Roman"/>
          <w:bCs/>
          <w:sz w:val="24"/>
          <w:szCs w:val="24"/>
        </w:rPr>
        <w:t xml:space="preserve"> </w:t>
      </w:r>
      <w:r w:rsidR="007F24F9" w:rsidRPr="007F24F9">
        <w:rPr>
          <w:rFonts w:ascii="Times New Roman" w:hAnsi="Times New Roman"/>
          <w:bCs/>
          <w:sz w:val="24"/>
          <w:szCs w:val="24"/>
        </w:rPr>
        <w:t>The bank has designated a Computer Security Incident Response Team (CSIRT) which</w:t>
      </w:r>
      <w:r w:rsidR="007F24F9" w:rsidRPr="007F24F9">
        <w:rPr>
          <w:rFonts w:ascii="Times New Roman" w:hAnsi="Times New Roman"/>
          <w:bCs/>
          <w:sz w:val="24"/>
          <w:szCs w:val="24"/>
        </w:rPr>
        <w:t> </w:t>
      </w:r>
      <w:r w:rsidR="007F24F9" w:rsidRPr="007F24F9">
        <w:rPr>
          <w:rFonts w:ascii="Times New Roman" w:hAnsi="Times New Roman"/>
          <w:bCs/>
          <w:sz w:val="24"/>
          <w:szCs w:val="24"/>
        </w:rPr>
        <w:t>ensures predefined procedures for detection, containment, investigation and recovery from cyber security incidents.</w:t>
      </w:r>
    </w:p>
    <w:p w14:paraId="2C49D578" w14:textId="77777777" w:rsidR="00F16DF5" w:rsidRPr="00D77C53" w:rsidRDefault="00F16DF5" w:rsidP="00D527E4">
      <w:pPr>
        <w:pStyle w:val="Heading2"/>
        <w:rPr>
          <w:rFonts w:ascii="Times New Roman" w:hAnsi="Times New Roman" w:cs="Times New Roman"/>
          <w:b/>
          <w:color w:val="4F81BD" w:themeColor="accent1"/>
          <w:sz w:val="24"/>
          <w:szCs w:val="24"/>
        </w:rPr>
      </w:pPr>
      <w:bookmarkStart w:id="56" w:name="_Toc214949048"/>
      <w:r w:rsidRPr="00D77C53">
        <w:rPr>
          <w:rFonts w:ascii="Times New Roman" w:hAnsi="Times New Roman" w:cs="Times New Roman"/>
          <w:b/>
          <w:color w:val="4F81BD" w:themeColor="accent1"/>
          <w:sz w:val="24"/>
          <w:szCs w:val="24"/>
        </w:rPr>
        <w:t>4.4.3 Staff Training Programs</w:t>
      </w:r>
      <w:bookmarkEnd w:id="56"/>
    </w:p>
    <w:p w14:paraId="278F27C0" w14:textId="77777777" w:rsidR="007F24F9" w:rsidRPr="007F24F9" w:rsidRDefault="00F16DF5" w:rsidP="007F24F9">
      <w:pPr>
        <w:spacing w:line="360" w:lineRule="auto"/>
        <w:jc w:val="both"/>
        <w:rPr>
          <w:rFonts w:ascii="Times New Roman" w:hAnsi="Times New Roman"/>
          <w:bCs/>
          <w:sz w:val="24"/>
          <w:szCs w:val="24"/>
        </w:rPr>
      </w:pPr>
      <w:r w:rsidRPr="006751AF">
        <w:rPr>
          <w:rFonts w:ascii="Times New Roman" w:hAnsi="Times New Roman"/>
          <w:b/>
          <w:bCs/>
          <w:sz w:val="24"/>
          <w:szCs w:val="24"/>
        </w:rPr>
        <w:t>New Employee Orientation:</w:t>
      </w:r>
      <w:r w:rsidRPr="006751AF">
        <w:rPr>
          <w:rFonts w:ascii="Times New Roman" w:hAnsi="Times New Roman"/>
          <w:bCs/>
          <w:sz w:val="24"/>
          <w:szCs w:val="24"/>
        </w:rPr>
        <w:t xml:space="preserve"> </w:t>
      </w:r>
      <w:r w:rsidR="007F24F9" w:rsidRPr="007F24F9">
        <w:rPr>
          <w:rFonts w:ascii="Times New Roman" w:hAnsi="Times New Roman"/>
          <w:bCs/>
          <w:sz w:val="24"/>
          <w:szCs w:val="24"/>
        </w:rPr>
        <w:t>Every new staff member receives a comprehensive training on bank policies, risk management, compliance expectations and ethical conduct standards.</w:t>
      </w:r>
    </w:p>
    <w:p w14:paraId="39F4AB58" w14:textId="77777777" w:rsidR="007F24F9" w:rsidRDefault="00F16DF5" w:rsidP="001C29CE">
      <w:pPr>
        <w:spacing w:line="360" w:lineRule="auto"/>
        <w:jc w:val="both"/>
        <w:rPr>
          <w:rFonts w:ascii="Times New Roman" w:hAnsi="Times New Roman"/>
          <w:bCs/>
          <w:sz w:val="24"/>
          <w:szCs w:val="24"/>
        </w:rPr>
      </w:pPr>
      <w:r w:rsidRPr="006751AF">
        <w:rPr>
          <w:rFonts w:ascii="Times New Roman" w:hAnsi="Times New Roman"/>
          <w:b/>
          <w:bCs/>
          <w:sz w:val="24"/>
          <w:szCs w:val="24"/>
        </w:rPr>
        <w:t>Ongoing Training:</w:t>
      </w:r>
      <w:r w:rsidR="001C29CE">
        <w:rPr>
          <w:rFonts w:ascii="Times New Roman" w:hAnsi="Times New Roman"/>
          <w:bCs/>
          <w:sz w:val="24"/>
          <w:szCs w:val="24"/>
        </w:rPr>
        <w:t xml:space="preserve"> </w:t>
      </w:r>
      <w:r w:rsidR="007F24F9" w:rsidRPr="007F24F9">
        <w:rPr>
          <w:rFonts w:ascii="Times New Roman" w:hAnsi="Times New Roman"/>
          <w:bCs/>
          <w:sz w:val="24"/>
          <w:szCs w:val="24"/>
        </w:rPr>
        <w:t>Regular seminars on credit analysis, risk assessment</w:t>
      </w:r>
      <w:r w:rsidR="007F24F9" w:rsidRPr="007F24F9">
        <w:rPr>
          <w:rFonts w:ascii="Times New Roman" w:hAnsi="Times New Roman"/>
          <w:bCs/>
          <w:sz w:val="24"/>
          <w:szCs w:val="24"/>
        </w:rPr>
        <w:t> </w:t>
      </w:r>
      <w:r w:rsidR="007F24F9" w:rsidRPr="007F24F9">
        <w:rPr>
          <w:rFonts w:ascii="Times New Roman" w:hAnsi="Times New Roman"/>
          <w:bCs/>
          <w:sz w:val="24"/>
          <w:szCs w:val="24"/>
        </w:rPr>
        <w:t>strategies, AML/CFT responsibilities, cybers security awareness, client service and regulatory updates.</w:t>
      </w:r>
    </w:p>
    <w:p w14:paraId="7A5E2A74" w14:textId="77777777" w:rsidR="007F24F9" w:rsidRPr="007F24F9" w:rsidRDefault="00F16DF5" w:rsidP="007F24F9">
      <w:pPr>
        <w:spacing w:line="360" w:lineRule="auto"/>
        <w:jc w:val="both"/>
        <w:rPr>
          <w:rFonts w:ascii="Times New Roman" w:hAnsi="Times New Roman"/>
          <w:bCs/>
          <w:sz w:val="24"/>
          <w:szCs w:val="24"/>
        </w:rPr>
      </w:pPr>
      <w:r w:rsidRPr="006751AF">
        <w:rPr>
          <w:rFonts w:ascii="Times New Roman" w:hAnsi="Times New Roman"/>
          <w:b/>
          <w:bCs/>
          <w:sz w:val="24"/>
          <w:szCs w:val="24"/>
        </w:rPr>
        <w:t>Specialized Training:</w:t>
      </w:r>
      <w:r w:rsidRPr="006751AF">
        <w:rPr>
          <w:rFonts w:ascii="Times New Roman" w:hAnsi="Times New Roman"/>
          <w:bCs/>
          <w:sz w:val="24"/>
          <w:szCs w:val="24"/>
        </w:rPr>
        <w:t xml:space="preserve"> </w:t>
      </w:r>
      <w:r w:rsidR="007F24F9" w:rsidRPr="007F24F9">
        <w:rPr>
          <w:rFonts w:ascii="Times New Roman" w:hAnsi="Times New Roman"/>
          <w:bCs/>
          <w:sz w:val="24"/>
          <w:szCs w:val="24"/>
        </w:rPr>
        <w:t>Employees in sensitive-risk positions receive extensive, job-related training. For example, credit officers take part in credit analysis seminars, treasury staff study</w:t>
      </w:r>
      <w:r w:rsidR="007F24F9" w:rsidRPr="007F24F9">
        <w:rPr>
          <w:rFonts w:ascii="Times New Roman" w:hAnsi="Times New Roman"/>
          <w:bCs/>
          <w:sz w:val="24"/>
          <w:szCs w:val="24"/>
        </w:rPr>
        <w:t> </w:t>
      </w:r>
      <w:r w:rsidR="007F24F9" w:rsidRPr="007F24F9">
        <w:rPr>
          <w:rFonts w:ascii="Times New Roman" w:hAnsi="Times New Roman"/>
          <w:bCs/>
          <w:sz w:val="24"/>
          <w:szCs w:val="24"/>
        </w:rPr>
        <w:t>market risk models and IT people get cybersecurity certificates.</w:t>
      </w:r>
    </w:p>
    <w:p w14:paraId="098F9C08" w14:textId="77777777" w:rsidR="007F24F9" w:rsidRPr="007F24F9" w:rsidRDefault="00F16DF5" w:rsidP="007F24F9">
      <w:pPr>
        <w:spacing w:line="360" w:lineRule="auto"/>
        <w:jc w:val="both"/>
        <w:rPr>
          <w:rFonts w:ascii="Times New Roman" w:hAnsi="Times New Roman"/>
          <w:bCs/>
          <w:sz w:val="24"/>
          <w:szCs w:val="24"/>
        </w:rPr>
      </w:pPr>
      <w:r w:rsidRPr="006751AF">
        <w:rPr>
          <w:rFonts w:ascii="Times New Roman" w:hAnsi="Times New Roman"/>
          <w:b/>
          <w:bCs/>
          <w:sz w:val="24"/>
          <w:szCs w:val="24"/>
        </w:rPr>
        <w:t>E-Learning Platform:</w:t>
      </w:r>
      <w:r w:rsidRPr="006751AF">
        <w:rPr>
          <w:rFonts w:ascii="Times New Roman" w:hAnsi="Times New Roman"/>
          <w:bCs/>
          <w:sz w:val="24"/>
          <w:szCs w:val="24"/>
        </w:rPr>
        <w:t xml:space="preserve"> </w:t>
      </w:r>
      <w:r w:rsidR="007F24F9" w:rsidRPr="007F24F9">
        <w:rPr>
          <w:rFonts w:ascii="Times New Roman" w:hAnsi="Times New Roman"/>
          <w:bCs/>
          <w:sz w:val="24"/>
          <w:szCs w:val="24"/>
        </w:rPr>
        <w:t>It’s all done online and can have training modules available 24/7 while tracking</w:t>
      </w:r>
      <w:r w:rsidR="007F24F9" w:rsidRPr="007F24F9">
        <w:rPr>
          <w:rFonts w:ascii="Times New Roman" w:hAnsi="Times New Roman"/>
          <w:bCs/>
          <w:sz w:val="24"/>
          <w:szCs w:val="24"/>
        </w:rPr>
        <w:t> </w:t>
      </w:r>
      <w:r w:rsidR="007F24F9" w:rsidRPr="007F24F9">
        <w:rPr>
          <w:rFonts w:ascii="Times New Roman" w:hAnsi="Times New Roman"/>
          <w:bCs/>
          <w:sz w:val="24"/>
          <w:szCs w:val="24"/>
        </w:rPr>
        <w:t>completions and maintaining consistency in training across the organization.</w:t>
      </w:r>
    </w:p>
    <w:p w14:paraId="656183FE" w14:textId="77777777" w:rsidR="00C2494F" w:rsidRDefault="00C2494F" w:rsidP="00D527E4">
      <w:pPr>
        <w:pStyle w:val="Heading1"/>
        <w:jc w:val="left"/>
        <w:rPr>
          <w:rFonts w:ascii="Times New Roman" w:hAnsi="Times New Roman" w:cs="Times New Roman"/>
          <w:sz w:val="28"/>
        </w:rPr>
      </w:pPr>
    </w:p>
    <w:p w14:paraId="6911A41A" w14:textId="77777777" w:rsidR="00F16DF5" w:rsidRPr="00D77C53" w:rsidRDefault="00F16DF5" w:rsidP="00D527E4">
      <w:pPr>
        <w:pStyle w:val="Heading1"/>
        <w:jc w:val="left"/>
        <w:rPr>
          <w:rFonts w:ascii="Times New Roman" w:hAnsi="Times New Roman" w:cs="Times New Roman"/>
          <w:sz w:val="28"/>
        </w:rPr>
      </w:pPr>
      <w:bookmarkStart w:id="57" w:name="_Toc214949049"/>
      <w:r w:rsidRPr="00D77C53">
        <w:rPr>
          <w:rFonts w:ascii="Times New Roman" w:hAnsi="Times New Roman" w:cs="Times New Roman"/>
          <w:sz w:val="28"/>
        </w:rPr>
        <w:t>4.5 Capital Adequacy Analysis</w:t>
      </w:r>
      <w:bookmarkEnd w:id="57"/>
    </w:p>
    <w:p w14:paraId="64D16ACF" w14:textId="77777777" w:rsidR="00D527E4" w:rsidRPr="00D527E4" w:rsidRDefault="00D527E4" w:rsidP="00D527E4"/>
    <w:p w14:paraId="50FB8095" w14:textId="77777777" w:rsidR="00DD41CC" w:rsidRPr="00DD41CC" w:rsidRDefault="00DD41CC" w:rsidP="00DD41CC">
      <w:pPr>
        <w:spacing w:line="360" w:lineRule="auto"/>
        <w:jc w:val="both"/>
        <w:rPr>
          <w:rFonts w:ascii="Times New Roman" w:hAnsi="Times New Roman"/>
          <w:bCs/>
          <w:sz w:val="24"/>
          <w:szCs w:val="24"/>
        </w:rPr>
      </w:pPr>
      <w:r w:rsidRPr="00DD41CC">
        <w:rPr>
          <w:rFonts w:ascii="Times New Roman" w:hAnsi="Times New Roman"/>
          <w:bCs/>
          <w:sz w:val="24"/>
          <w:szCs w:val="24"/>
        </w:rPr>
        <w:t>Capital adequacy analysis is a measure of the bank's ability to withstand financial</w:t>
      </w:r>
      <w:r w:rsidRPr="00DD41CC">
        <w:rPr>
          <w:rFonts w:ascii="Times New Roman" w:hAnsi="Times New Roman"/>
          <w:bCs/>
          <w:sz w:val="24"/>
          <w:szCs w:val="24"/>
        </w:rPr>
        <w:t> </w:t>
      </w:r>
      <w:r w:rsidRPr="00DD41CC">
        <w:rPr>
          <w:rFonts w:ascii="Times New Roman" w:hAnsi="Times New Roman"/>
          <w:bCs/>
          <w:sz w:val="24"/>
          <w:szCs w:val="24"/>
        </w:rPr>
        <w:t>pressures and absorb potential losses. It demonstrates the institution’s ability to protect depositors and keep it open for business even if market conditions or credit</w:t>
      </w:r>
      <w:r w:rsidRPr="00DD41CC">
        <w:rPr>
          <w:rFonts w:ascii="Times New Roman" w:hAnsi="Times New Roman"/>
          <w:bCs/>
          <w:sz w:val="24"/>
          <w:szCs w:val="24"/>
        </w:rPr>
        <w:t> </w:t>
      </w:r>
      <w:r w:rsidRPr="00DD41CC">
        <w:rPr>
          <w:rFonts w:ascii="Times New Roman" w:hAnsi="Times New Roman"/>
          <w:bCs/>
          <w:sz w:val="24"/>
          <w:szCs w:val="24"/>
        </w:rPr>
        <w:t>quality deteriorate. Capital adequacy is one</w:t>
      </w:r>
      <w:r w:rsidRPr="00DD41CC">
        <w:rPr>
          <w:rFonts w:ascii="Times New Roman" w:hAnsi="Times New Roman"/>
          <w:bCs/>
          <w:sz w:val="24"/>
          <w:szCs w:val="24"/>
        </w:rPr>
        <w:t> </w:t>
      </w:r>
      <w:r w:rsidRPr="00DD41CC">
        <w:rPr>
          <w:rFonts w:ascii="Times New Roman" w:hAnsi="Times New Roman"/>
          <w:bCs/>
          <w:sz w:val="24"/>
          <w:szCs w:val="24"/>
        </w:rPr>
        <w:t xml:space="preserve">of the important indicators reflecting overall risk profile of the bank as it provides a last line of </w:t>
      </w:r>
      <w:r w:rsidRPr="00DD41CC">
        <w:rPr>
          <w:rFonts w:ascii="Times New Roman" w:hAnsi="Times New Roman"/>
          <w:bCs/>
          <w:sz w:val="24"/>
          <w:szCs w:val="24"/>
        </w:rPr>
        <w:lastRenderedPageBreak/>
        <w:t>defence against credit, market and operational risks. To ensure that a bank’s capital matches its risk, the regulators of Bangladesh Bank monitor this through measures such as the Capital</w:t>
      </w:r>
      <w:r w:rsidRPr="00DD41CC">
        <w:rPr>
          <w:rFonts w:ascii="Times New Roman" w:hAnsi="Times New Roman"/>
          <w:bCs/>
          <w:sz w:val="24"/>
          <w:szCs w:val="24"/>
        </w:rPr>
        <w:t> </w:t>
      </w:r>
      <w:r w:rsidRPr="00DD41CC">
        <w:rPr>
          <w:rFonts w:ascii="Times New Roman" w:hAnsi="Times New Roman"/>
          <w:bCs/>
          <w:sz w:val="24"/>
          <w:szCs w:val="24"/>
        </w:rPr>
        <w:t>Adequacy Ratio (CAR), Tier-1 capital ratio and leverage ratio.</w:t>
      </w:r>
    </w:p>
    <w:p w14:paraId="5B80B7DB"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t>Capital Adequacy Ratio (CAR) Trend:</w:t>
      </w:r>
    </w:p>
    <w:tbl>
      <w:tblPr>
        <w:tblW w:w="7660" w:type="dxa"/>
        <w:jc w:val="center"/>
        <w:tblLook w:val="04A0" w:firstRow="1" w:lastRow="0" w:firstColumn="1" w:lastColumn="0" w:noHBand="0" w:noVBand="1"/>
      </w:tblPr>
      <w:tblGrid>
        <w:gridCol w:w="2860"/>
        <w:gridCol w:w="960"/>
        <w:gridCol w:w="960"/>
        <w:gridCol w:w="960"/>
        <w:gridCol w:w="960"/>
        <w:gridCol w:w="960"/>
      </w:tblGrid>
      <w:tr w:rsidR="00F16DF5" w:rsidRPr="006751AF" w14:paraId="7FE40A57" w14:textId="77777777" w:rsidTr="001E3E58">
        <w:trPr>
          <w:trHeight w:val="315"/>
          <w:jc w:val="center"/>
        </w:trPr>
        <w:tc>
          <w:tcPr>
            <w:tcW w:w="2860" w:type="dxa"/>
            <w:tcBorders>
              <w:top w:val="single" w:sz="8" w:space="0" w:color="auto"/>
              <w:left w:val="single" w:sz="8" w:space="0" w:color="auto"/>
              <w:bottom w:val="single" w:sz="4" w:space="0" w:color="auto"/>
              <w:right w:val="single" w:sz="4" w:space="0" w:color="auto"/>
            </w:tcBorders>
            <w:noWrap/>
            <w:vAlign w:val="bottom"/>
            <w:hideMark/>
          </w:tcPr>
          <w:p w14:paraId="741A43B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2EA3D62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8" w:space="0" w:color="auto"/>
              <w:left w:val="nil"/>
              <w:bottom w:val="single" w:sz="4" w:space="0" w:color="auto"/>
              <w:right w:val="single" w:sz="4" w:space="0" w:color="auto"/>
            </w:tcBorders>
            <w:noWrap/>
            <w:vAlign w:val="bottom"/>
            <w:hideMark/>
          </w:tcPr>
          <w:p w14:paraId="5E5BBC4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00530AC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0CD00D2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2494EA0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39D59E9E" w14:textId="77777777" w:rsidTr="001E3E58">
        <w:trPr>
          <w:trHeight w:val="315"/>
          <w:jc w:val="center"/>
        </w:trPr>
        <w:tc>
          <w:tcPr>
            <w:tcW w:w="2860" w:type="dxa"/>
            <w:tcBorders>
              <w:top w:val="nil"/>
              <w:left w:val="single" w:sz="8" w:space="0" w:color="auto"/>
              <w:bottom w:val="single" w:sz="4" w:space="0" w:color="auto"/>
              <w:right w:val="single" w:sz="4" w:space="0" w:color="auto"/>
            </w:tcBorders>
            <w:noWrap/>
            <w:vAlign w:val="bottom"/>
            <w:hideMark/>
          </w:tcPr>
          <w:p w14:paraId="6A6DB8CE"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CAR (%)</w:t>
            </w:r>
          </w:p>
        </w:tc>
        <w:tc>
          <w:tcPr>
            <w:tcW w:w="960" w:type="dxa"/>
            <w:tcBorders>
              <w:top w:val="nil"/>
              <w:left w:val="nil"/>
              <w:bottom w:val="single" w:sz="4" w:space="0" w:color="auto"/>
              <w:right w:val="single" w:sz="4" w:space="0" w:color="auto"/>
            </w:tcBorders>
            <w:noWrap/>
            <w:vAlign w:val="bottom"/>
            <w:hideMark/>
          </w:tcPr>
          <w:p w14:paraId="0E57AF8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13.2%</w:t>
            </w:r>
          </w:p>
        </w:tc>
        <w:tc>
          <w:tcPr>
            <w:tcW w:w="960" w:type="dxa"/>
            <w:tcBorders>
              <w:top w:val="nil"/>
              <w:left w:val="nil"/>
              <w:bottom w:val="single" w:sz="4" w:space="0" w:color="auto"/>
              <w:right w:val="single" w:sz="4" w:space="0" w:color="auto"/>
            </w:tcBorders>
            <w:noWrap/>
            <w:vAlign w:val="bottom"/>
            <w:hideMark/>
          </w:tcPr>
          <w:p w14:paraId="54F6593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12.7%</w:t>
            </w:r>
          </w:p>
        </w:tc>
        <w:tc>
          <w:tcPr>
            <w:tcW w:w="960" w:type="dxa"/>
            <w:tcBorders>
              <w:top w:val="nil"/>
              <w:left w:val="nil"/>
              <w:bottom w:val="single" w:sz="4" w:space="0" w:color="auto"/>
              <w:right w:val="single" w:sz="4" w:space="0" w:color="auto"/>
            </w:tcBorders>
            <w:noWrap/>
            <w:vAlign w:val="bottom"/>
            <w:hideMark/>
          </w:tcPr>
          <w:p w14:paraId="09CA48A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12.1%</w:t>
            </w:r>
          </w:p>
        </w:tc>
        <w:tc>
          <w:tcPr>
            <w:tcW w:w="960" w:type="dxa"/>
            <w:tcBorders>
              <w:top w:val="nil"/>
              <w:left w:val="nil"/>
              <w:bottom w:val="single" w:sz="4" w:space="0" w:color="auto"/>
              <w:right w:val="single" w:sz="4" w:space="0" w:color="auto"/>
            </w:tcBorders>
            <w:noWrap/>
            <w:vAlign w:val="bottom"/>
            <w:hideMark/>
          </w:tcPr>
          <w:p w14:paraId="30524A8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11.5%</w:t>
            </w:r>
          </w:p>
        </w:tc>
        <w:tc>
          <w:tcPr>
            <w:tcW w:w="960" w:type="dxa"/>
            <w:tcBorders>
              <w:top w:val="nil"/>
              <w:left w:val="nil"/>
              <w:bottom w:val="single" w:sz="4" w:space="0" w:color="auto"/>
              <w:right w:val="single" w:sz="8" w:space="0" w:color="auto"/>
            </w:tcBorders>
            <w:noWrap/>
            <w:vAlign w:val="bottom"/>
            <w:hideMark/>
          </w:tcPr>
          <w:p w14:paraId="6001A2F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11.8%</w:t>
            </w:r>
          </w:p>
        </w:tc>
      </w:tr>
      <w:tr w:rsidR="00F16DF5" w:rsidRPr="006751AF" w14:paraId="13BA5AFE" w14:textId="77777777" w:rsidTr="001E3E58">
        <w:trPr>
          <w:trHeight w:val="315"/>
          <w:jc w:val="center"/>
        </w:trPr>
        <w:tc>
          <w:tcPr>
            <w:tcW w:w="2860" w:type="dxa"/>
            <w:tcBorders>
              <w:top w:val="nil"/>
              <w:left w:val="single" w:sz="8" w:space="0" w:color="auto"/>
              <w:bottom w:val="single" w:sz="4" w:space="0" w:color="auto"/>
              <w:right w:val="single" w:sz="4" w:space="0" w:color="auto"/>
            </w:tcBorders>
            <w:noWrap/>
            <w:vAlign w:val="bottom"/>
            <w:hideMark/>
          </w:tcPr>
          <w:p w14:paraId="5332F8C7"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Tier 1 Ratio (%)</w:t>
            </w:r>
          </w:p>
        </w:tc>
        <w:tc>
          <w:tcPr>
            <w:tcW w:w="960" w:type="dxa"/>
            <w:tcBorders>
              <w:top w:val="nil"/>
              <w:left w:val="nil"/>
              <w:bottom w:val="single" w:sz="4" w:space="0" w:color="auto"/>
              <w:right w:val="single" w:sz="4" w:space="0" w:color="auto"/>
            </w:tcBorders>
            <w:noWrap/>
            <w:vAlign w:val="bottom"/>
            <w:hideMark/>
          </w:tcPr>
          <w:p w14:paraId="657EBAE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9.8%</w:t>
            </w:r>
          </w:p>
        </w:tc>
        <w:tc>
          <w:tcPr>
            <w:tcW w:w="960" w:type="dxa"/>
            <w:tcBorders>
              <w:top w:val="nil"/>
              <w:left w:val="nil"/>
              <w:bottom w:val="single" w:sz="4" w:space="0" w:color="auto"/>
              <w:right w:val="single" w:sz="4" w:space="0" w:color="auto"/>
            </w:tcBorders>
            <w:noWrap/>
            <w:vAlign w:val="bottom"/>
            <w:hideMark/>
          </w:tcPr>
          <w:p w14:paraId="49D58DE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9.1%</w:t>
            </w:r>
          </w:p>
        </w:tc>
        <w:tc>
          <w:tcPr>
            <w:tcW w:w="960" w:type="dxa"/>
            <w:tcBorders>
              <w:top w:val="nil"/>
              <w:left w:val="nil"/>
              <w:bottom w:val="single" w:sz="4" w:space="0" w:color="auto"/>
              <w:right w:val="single" w:sz="4" w:space="0" w:color="auto"/>
            </w:tcBorders>
            <w:noWrap/>
            <w:vAlign w:val="bottom"/>
            <w:hideMark/>
          </w:tcPr>
          <w:p w14:paraId="20B2C50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8.5%</w:t>
            </w:r>
          </w:p>
        </w:tc>
        <w:tc>
          <w:tcPr>
            <w:tcW w:w="960" w:type="dxa"/>
            <w:tcBorders>
              <w:top w:val="nil"/>
              <w:left w:val="nil"/>
              <w:bottom w:val="single" w:sz="4" w:space="0" w:color="auto"/>
              <w:right w:val="single" w:sz="4" w:space="0" w:color="auto"/>
            </w:tcBorders>
            <w:noWrap/>
            <w:vAlign w:val="bottom"/>
            <w:hideMark/>
          </w:tcPr>
          <w:p w14:paraId="053D175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7.9%</w:t>
            </w:r>
          </w:p>
        </w:tc>
        <w:tc>
          <w:tcPr>
            <w:tcW w:w="960" w:type="dxa"/>
            <w:tcBorders>
              <w:top w:val="nil"/>
              <w:left w:val="nil"/>
              <w:bottom w:val="single" w:sz="4" w:space="0" w:color="auto"/>
              <w:right w:val="single" w:sz="8" w:space="0" w:color="auto"/>
            </w:tcBorders>
            <w:noWrap/>
            <w:vAlign w:val="bottom"/>
            <w:hideMark/>
          </w:tcPr>
          <w:p w14:paraId="13B4A21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8.2%</w:t>
            </w:r>
          </w:p>
        </w:tc>
      </w:tr>
      <w:tr w:rsidR="00F16DF5" w:rsidRPr="006751AF" w14:paraId="2CA4AD6C" w14:textId="77777777" w:rsidTr="001E3E58">
        <w:trPr>
          <w:trHeight w:val="330"/>
          <w:jc w:val="center"/>
        </w:trPr>
        <w:tc>
          <w:tcPr>
            <w:tcW w:w="2860" w:type="dxa"/>
            <w:tcBorders>
              <w:top w:val="nil"/>
              <w:left w:val="single" w:sz="8" w:space="0" w:color="auto"/>
              <w:bottom w:val="single" w:sz="8" w:space="0" w:color="auto"/>
              <w:right w:val="single" w:sz="4" w:space="0" w:color="auto"/>
            </w:tcBorders>
            <w:noWrap/>
            <w:vAlign w:val="bottom"/>
            <w:hideMark/>
          </w:tcPr>
          <w:p w14:paraId="6F417C91"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Minimum Required (%)</w:t>
            </w:r>
          </w:p>
        </w:tc>
        <w:tc>
          <w:tcPr>
            <w:tcW w:w="960" w:type="dxa"/>
            <w:tcBorders>
              <w:top w:val="nil"/>
              <w:left w:val="nil"/>
              <w:bottom w:val="single" w:sz="8" w:space="0" w:color="auto"/>
              <w:right w:val="single" w:sz="4" w:space="0" w:color="auto"/>
            </w:tcBorders>
            <w:noWrap/>
            <w:vAlign w:val="bottom"/>
            <w:hideMark/>
          </w:tcPr>
          <w:p w14:paraId="3E54ACA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11.5%</w:t>
            </w:r>
          </w:p>
        </w:tc>
        <w:tc>
          <w:tcPr>
            <w:tcW w:w="960" w:type="dxa"/>
            <w:tcBorders>
              <w:top w:val="nil"/>
              <w:left w:val="nil"/>
              <w:bottom w:val="single" w:sz="8" w:space="0" w:color="auto"/>
              <w:right w:val="single" w:sz="4" w:space="0" w:color="auto"/>
            </w:tcBorders>
            <w:noWrap/>
            <w:vAlign w:val="bottom"/>
            <w:hideMark/>
          </w:tcPr>
          <w:p w14:paraId="517064C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10.6%</w:t>
            </w:r>
          </w:p>
        </w:tc>
        <w:tc>
          <w:tcPr>
            <w:tcW w:w="960" w:type="dxa"/>
            <w:tcBorders>
              <w:top w:val="nil"/>
              <w:left w:val="nil"/>
              <w:bottom w:val="single" w:sz="8" w:space="0" w:color="auto"/>
              <w:right w:val="single" w:sz="4" w:space="0" w:color="auto"/>
            </w:tcBorders>
            <w:noWrap/>
            <w:vAlign w:val="bottom"/>
            <w:hideMark/>
          </w:tcPr>
          <w:p w14:paraId="5FD5EAA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10.0%</w:t>
            </w:r>
          </w:p>
        </w:tc>
        <w:tc>
          <w:tcPr>
            <w:tcW w:w="960" w:type="dxa"/>
            <w:tcBorders>
              <w:top w:val="nil"/>
              <w:left w:val="nil"/>
              <w:bottom w:val="single" w:sz="8" w:space="0" w:color="auto"/>
              <w:right w:val="single" w:sz="4" w:space="0" w:color="auto"/>
            </w:tcBorders>
            <w:noWrap/>
            <w:vAlign w:val="bottom"/>
            <w:hideMark/>
          </w:tcPr>
          <w:p w14:paraId="2C98A8E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10.0%</w:t>
            </w:r>
          </w:p>
        </w:tc>
        <w:tc>
          <w:tcPr>
            <w:tcW w:w="960" w:type="dxa"/>
            <w:tcBorders>
              <w:top w:val="nil"/>
              <w:left w:val="nil"/>
              <w:bottom w:val="single" w:sz="8" w:space="0" w:color="auto"/>
              <w:right w:val="single" w:sz="8" w:space="0" w:color="auto"/>
            </w:tcBorders>
            <w:noWrap/>
            <w:vAlign w:val="bottom"/>
            <w:hideMark/>
          </w:tcPr>
          <w:p w14:paraId="7795107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10.0%</w:t>
            </w:r>
          </w:p>
        </w:tc>
      </w:tr>
    </w:tbl>
    <w:p w14:paraId="449DD124" w14:textId="77777777" w:rsidR="00F16DF5" w:rsidRPr="006751AF" w:rsidRDefault="00F16DF5" w:rsidP="00F16DF5">
      <w:pPr>
        <w:spacing w:line="360" w:lineRule="auto"/>
        <w:jc w:val="both"/>
        <w:rPr>
          <w:rFonts w:ascii="Times New Roman" w:hAnsi="Times New Roman"/>
          <w:bCs/>
          <w:sz w:val="24"/>
          <w:szCs w:val="24"/>
        </w:rPr>
      </w:pPr>
    </w:p>
    <w:p w14:paraId="756D21CD" w14:textId="77777777" w:rsidR="00F16DF5" w:rsidRDefault="00F16DF5" w:rsidP="00F16DF5">
      <w:pPr>
        <w:spacing w:line="360" w:lineRule="auto"/>
        <w:jc w:val="center"/>
        <w:rPr>
          <w:rFonts w:ascii="Times New Roman" w:hAnsi="Times New Roman"/>
          <w:bCs/>
          <w:sz w:val="24"/>
          <w:szCs w:val="24"/>
        </w:rPr>
      </w:pPr>
      <w:r>
        <w:rPr>
          <w:noProof/>
        </w:rPr>
        <w:drawing>
          <wp:inline distT="0" distB="0" distL="0" distR="0" wp14:anchorId="1C568235" wp14:editId="3DCDF343">
            <wp:extent cx="4191000" cy="2466975"/>
            <wp:effectExtent l="0" t="0" r="1905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6B69980" w14:textId="77777777" w:rsidR="00DD41CC" w:rsidRPr="00DD41CC" w:rsidRDefault="00DD41CC" w:rsidP="00DD41CC">
      <w:pPr>
        <w:spacing w:line="360" w:lineRule="auto"/>
        <w:jc w:val="both"/>
        <w:rPr>
          <w:rFonts w:ascii="Times New Roman" w:hAnsi="Times New Roman"/>
          <w:bCs/>
          <w:sz w:val="24"/>
          <w:szCs w:val="24"/>
        </w:rPr>
      </w:pPr>
      <w:r w:rsidRPr="00DD41CC">
        <w:rPr>
          <w:rFonts w:ascii="Times New Roman" w:hAnsi="Times New Roman"/>
          <w:bCs/>
          <w:sz w:val="24"/>
          <w:szCs w:val="24"/>
        </w:rPr>
        <w:t>Having enough</w:t>
      </w:r>
      <w:r w:rsidRPr="00DD41CC">
        <w:rPr>
          <w:rFonts w:ascii="Times New Roman" w:hAnsi="Times New Roman"/>
          <w:bCs/>
          <w:sz w:val="24"/>
          <w:szCs w:val="24"/>
        </w:rPr>
        <w:t> </w:t>
      </w:r>
      <w:r w:rsidRPr="00DD41CC">
        <w:rPr>
          <w:rFonts w:ascii="Times New Roman" w:hAnsi="Times New Roman"/>
          <w:bCs/>
          <w:sz w:val="24"/>
          <w:szCs w:val="24"/>
        </w:rPr>
        <w:t>buffer, Dhaka Bank has always maintained its CAR above the regulatory requirement. The rise demonstrates that prudent dividend policy</w:t>
      </w:r>
      <w:r w:rsidRPr="00DD41CC">
        <w:rPr>
          <w:rFonts w:ascii="Times New Roman" w:hAnsi="Times New Roman"/>
          <w:bCs/>
          <w:sz w:val="24"/>
          <w:szCs w:val="24"/>
        </w:rPr>
        <w:t> </w:t>
      </w:r>
      <w:r w:rsidRPr="00DD41CC">
        <w:rPr>
          <w:rFonts w:ascii="Times New Roman" w:hAnsi="Times New Roman"/>
          <w:bCs/>
          <w:sz w:val="24"/>
          <w:szCs w:val="24"/>
        </w:rPr>
        <w:t>and retained earnings can yield capital. The ability to absorb unexpected losses</w:t>
      </w:r>
      <w:r w:rsidRPr="00DD41CC">
        <w:rPr>
          <w:rFonts w:ascii="Times New Roman" w:hAnsi="Times New Roman"/>
          <w:bCs/>
          <w:sz w:val="24"/>
          <w:szCs w:val="24"/>
        </w:rPr>
        <w:t> </w:t>
      </w:r>
      <w:r w:rsidRPr="00DD41CC">
        <w:rPr>
          <w:rFonts w:ascii="Times New Roman" w:hAnsi="Times New Roman"/>
          <w:bCs/>
          <w:sz w:val="24"/>
          <w:szCs w:val="24"/>
        </w:rPr>
        <w:t>and continue growing in the future is enhanced with a stronger capital position.</w:t>
      </w:r>
    </w:p>
    <w:p w14:paraId="562BB038"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t xml:space="preserve">Risk-Weighted Assets Composition (2023): </w:t>
      </w:r>
    </w:p>
    <w:p w14:paraId="651443C3"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Credit Risk: 85% of RWA </w:t>
      </w:r>
    </w:p>
    <w:p w14:paraId="55786D80"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Market Risk: 8% of RWA </w:t>
      </w:r>
    </w:p>
    <w:p w14:paraId="080DA34A" w14:textId="77777777" w:rsidR="00F16DF5" w:rsidRPr="006751AF" w:rsidRDefault="00F16DF5" w:rsidP="00F16DF5">
      <w:pPr>
        <w:spacing w:line="360" w:lineRule="auto"/>
        <w:jc w:val="both"/>
        <w:rPr>
          <w:rFonts w:ascii="Times New Roman" w:hAnsi="Times New Roman"/>
          <w:bCs/>
          <w:sz w:val="24"/>
          <w:szCs w:val="24"/>
        </w:rPr>
      </w:pPr>
      <w:r w:rsidRPr="006751AF">
        <w:rPr>
          <w:rFonts w:ascii="Times New Roman" w:hAnsi="Times New Roman"/>
          <w:bCs/>
          <w:sz w:val="24"/>
          <w:szCs w:val="24"/>
        </w:rPr>
        <w:sym w:font="Symbol" w:char="F0B7"/>
      </w:r>
      <w:r w:rsidRPr="006751AF">
        <w:rPr>
          <w:rFonts w:ascii="Times New Roman" w:hAnsi="Times New Roman"/>
          <w:bCs/>
          <w:sz w:val="24"/>
          <w:szCs w:val="24"/>
        </w:rPr>
        <w:t xml:space="preserve"> Operational Risk: 7% of RWA </w:t>
      </w:r>
    </w:p>
    <w:p w14:paraId="0E3E14EB" w14:textId="77777777" w:rsidR="00DD41CC" w:rsidRPr="002632D7" w:rsidRDefault="00DD41CC" w:rsidP="00DD41CC">
      <w:pPr>
        <w:spacing w:before="100" w:beforeAutospacing="1" w:after="100" w:afterAutospacing="1" w:line="360" w:lineRule="auto"/>
        <w:jc w:val="both"/>
        <w:rPr>
          <w:rFonts w:ascii="Times New Roman" w:eastAsia="Times New Roman" w:hAnsi="Times New Roman"/>
          <w:sz w:val="24"/>
          <w:szCs w:val="24"/>
        </w:rPr>
      </w:pPr>
      <w:r w:rsidRPr="002632D7">
        <w:rPr>
          <w:rFonts w:ascii="Times New Roman" w:eastAsia="Times New Roman" w:hAnsi="Times New Roman"/>
          <w:sz w:val="24"/>
          <w:szCs w:val="24"/>
        </w:rPr>
        <w:lastRenderedPageBreak/>
        <w:t>This is in keeping with the finding that credit risk is</w:t>
      </w:r>
      <w:r w:rsidRPr="002632D7">
        <w:rPr>
          <w:rFonts w:ascii="Times New Roman" w:eastAsia="Times New Roman" w:hAnsi="Times New Roman"/>
          <w:sz w:val="24"/>
          <w:szCs w:val="24"/>
        </w:rPr>
        <w:t> </w:t>
      </w:r>
      <w:r w:rsidRPr="002632D7">
        <w:rPr>
          <w:rFonts w:ascii="Times New Roman" w:eastAsia="Times New Roman" w:hAnsi="Times New Roman"/>
          <w:sz w:val="24"/>
          <w:szCs w:val="24"/>
        </w:rPr>
        <w:t>a primary factor, validating management's focus on credit quality.</w:t>
      </w:r>
    </w:p>
    <w:p w14:paraId="7EB53656" w14:textId="77777777" w:rsidR="00C2494F" w:rsidRDefault="00C2494F" w:rsidP="00C81513">
      <w:pPr>
        <w:pStyle w:val="Heading1"/>
        <w:jc w:val="left"/>
        <w:rPr>
          <w:rFonts w:ascii="Times New Roman" w:hAnsi="Times New Roman" w:cs="Times New Roman"/>
          <w:sz w:val="28"/>
        </w:rPr>
      </w:pPr>
    </w:p>
    <w:p w14:paraId="08F27F93" w14:textId="77777777" w:rsidR="00F16DF5" w:rsidRPr="00D77C53" w:rsidRDefault="00F16DF5" w:rsidP="00C81513">
      <w:pPr>
        <w:pStyle w:val="Heading1"/>
        <w:jc w:val="left"/>
        <w:rPr>
          <w:rFonts w:ascii="Times New Roman" w:hAnsi="Times New Roman" w:cs="Times New Roman"/>
          <w:sz w:val="28"/>
        </w:rPr>
      </w:pPr>
      <w:bookmarkStart w:id="58" w:name="_Toc214949050"/>
      <w:r w:rsidRPr="00D77C53">
        <w:rPr>
          <w:rFonts w:ascii="Times New Roman" w:hAnsi="Times New Roman" w:cs="Times New Roman"/>
          <w:sz w:val="28"/>
        </w:rPr>
        <w:t>4.6 Cost of Risk Analysis</w:t>
      </w:r>
      <w:bookmarkEnd w:id="58"/>
    </w:p>
    <w:p w14:paraId="5A14E778" w14:textId="77777777" w:rsidR="00C81513" w:rsidRPr="00C81513" w:rsidRDefault="00C81513" w:rsidP="00C81513"/>
    <w:p w14:paraId="6F00C1DB" w14:textId="77777777" w:rsidR="00DD41CC" w:rsidRPr="00DD41CC" w:rsidRDefault="00DD41CC" w:rsidP="00DD41CC">
      <w:p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The cost of</w:t>
      </w:r>
      <w:r w:rsidRPr="00DD41CC">
        <w:rPr>
          <w:rFonts w:ascii="Times New Roman" w:hAnsi="Times New Roman"/>
          <w:bCs/>
          <w:sz w:val="24"/>
          <w:szCs w:val="24"/>
        </w:rPr>
        <w:t> </w:t>
      </w:r>
      <w:r w:rsidRPr="00DD41CC">
        <w:rPr>
          <w:rFonts w:ascii="Times New Roman" w:hAnsi="Times New Roman"/>
          <w:bCs/>
          <w:sz w:val="24"/>
          <w:szCs w:val="24"/>
        </w:rPr>
        <w:t>risk analysis illustrates how much the bank spends toward provisions, write-offs and recoveries to cover credit losses. It offers a straightforward sense of how well the bank manages the quality of</w:t>
      </w:r>
      <w:r w:rsidRPr="00DD41CC">
        <w:rPr>
          <w:rFonts w:ascii="Times New Roman" w:hAnsi="Times New Roman"/>
          <w:bCs/>
          <w:sz w:val="24"/>
          <w:szCs w:val="24"/>
        </w:rPr>
        <w:t> </w:t>
      </w:r>
      <w:r w:rsidRPr="00DD41CC">
        <w:rPr>
          <w:rFonts w:ascii="Times New Roman" w:hAnsi="Times New Roman"/>
          <w:bCs/>
          <w:sz w:val="24"/>
          <w:szCs w:val="24"/>
        </w:rPr>
        <w:t>its loan books. Higher underwriting standards, more aggressive recovery efforts and tighter credit-risk controls are recommended when the cost of risk</w:t>
      </w:r>
      <w:r w:rsidRPr="00DD41CC">
        <w:rPr>
          <w:rFonts w:ascii="Times New Roman" w:hAnsi="Times New Roman"/>
          <w:bCs/>
          <w:sz w:val="24"/>
          <w:szCs w:val="24"/>
        </w:rPr>
        <w:t> </w:t>
      </w:r>
      <w:r w:rsidRPr="00DD41CC">
        <w:rPr>
          <w:rFonts w:ascii="Times New Roman" w:hAnsi="Times New Roman"/>
          <w:bCs/>
          <w:sz w:val="24"/>
          <w:szCs w:val="24"/>
        </w:rPr>
        <w:t>declines; its increase is an indication that credit stress has increased and earnings pressure remains. It is demonstrated how many percent of the bank's revenues are used to finance migration occasions in terms of risk before they contribute positively to</w:t>
      </w:r>
      <w:r w:rsidRPr="00DD41CC">
        <w:rPr>
          <w:rFonts w:ascii="Times New Roman" w:hAnsi="Times New Roman"/>
          <w:bCs/>
          <w:sz w:val="24"/>
          <w:szCs w:val="24"/>
        </w:rPr>
        <w:t> </w:t>
      </w:r>
      <w:r w:rsidRPr="00DD41CC">
        <w:rPr>
          <w:rFonts w:ascii="Times New Roman" w:hAnsi="Times New Roman"/>
          <w:bCs/>
          <w:sz w:val="24"/>
          <w:szCs w:val="24"/>
        </w:rPr>
        <w:t>profitability, by comparing such spending with dimensions of the loan deck. This is an important link between the performance on credit</w:t>
      </w:r>
      <w:r w:rsidRPr="00DD41CC">
        <w:rPr>
          <w:rFonts w:ascii="Times New Roman" w:hAnsi="Times New Roman"/>
          <w:bCs/>
          <w:sz w:val="24"/>
          <w:szCs w:val="24"/>
        </w:rPr>
        <w:t> </w:t>
      </w:r>
      <w:r w:rsidRPr="00DD41CC">
        <w:rPr>
          <w:rFonts w:ascii="Times New Roman" w:hAnsi="Times New Roman"/>
          <w:bCs/>
          <w:sz w:val="24"/>
          <w:szCs w:val="24"/>
        </w:rPr>
        <w:t>risk and overall financial results.</w:t>
      </w:r>
    </w:p>
    <w:tbl>
      <w:tblPr>
        <w:tblW w:w="6900" w:type="dxa"/>
        <w:jc w:val="center"/>
        <w:tblLook w:val="04A0" w:firstRow="1" w:lastRow="0" w:firstColumn="1" w:lastColumn="0" w:noHBand="0" w:noVBand="1"/>
      </w:tblPr>
      <w:tblGrid>
        <w:gridCol w:w="2100"/>
        <w:gridCol w:w="960"/>
        <w:gridCol w:w="960"/>
        <w:gridCol w:w="960"/>
        <w:gridCol w:w="960"/>
        <w:gridCol w:w="960"/>
      </w:tblGrid>
      <w:tr w:rsidR="00F16DF5" w:rsidRPr="006751AF" w14:paraId="09724FF6" w14:textId="77777777" w:rsidTr="001E3E58">
        <w:trPr>
          <w:trHeight w:val="315"/>
          <w:jc w:val="center"/>
        </w:trPr>
        <w:tc>
          <w:tcPr>
            <w:tcW w:w="2100" w:type="dxa"/>
            <w:tcBorders>
              <w:top w:val="single" w:sz="8" w:space="0" w:color="auto"/>
              <w:left w:val="single" w:sz="8" w:space="0" w:color="auto"/>
              <w:bottom w:val="single" w:sz="4" w:space="0" w:color="auto"/>
              <w:right w:val="single" w:sz="4" w:space="0" w:color="auto"/>
            </w:tcBorders>
            <w:noWrap/>
            <w:vAlign w:val="bottom"/>
            <w:hideMark/>
          </w:tcPr>
          <w:p w14:paraId="0B19D18B"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7888730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8" w:space="0" w:color="auto"/>
              <w:left w:val="nil"/>
              <w:bottom w:val="single" w:sz="4" w:space="0" w:color="auto"/>
              <w:right w:val="single" w:sz="4" w:space="0" w:color="auto"/>
            </w:tcBorders>
            <w:noWrap/>
            <w:vAlign w:val="bottom"/>
            <w:hideMark/>
          </w:tcPr>
          <w:p w14:paraId="25B1897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26F4783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0BB4E73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36161D6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61E103B9" w14:textId="77777777" w:rsidTr="001E3E58">
        <w:trPr>
          <w:trHeight w:val="330"/>
          <w:jc w:val="center"/>
        </w:trPr>
        <w:tc>
          <w:tcPr>
            <w:tcW w:w="2100" w:type="dxa"/>
            <w:tcBorders>
              <w:top w:val="nil"/>
              <w:left w:val="single" w:sz="8" w:space="0" w:color="auto"/>
              <w:bottom w:val="single" w:sz="8" w:space="0" w:color="auto"/>
              <w:right w:val="single" w:sz="4" w:space="0" w:color="auto"/>
            </w:tcBorders>
            <w:noWrap/>
            <w:vAlign w:val="bottom"/>
            <w:hideMark/>
          </w:tcPr>
          <w:p w14:paraId="0172408D"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Cost of Risk (%)</w:t>
            </w:r>
          </w:p>
        </w:tc>
        <w:tc>
          <w:tcPr>
            <w:tcW w:w="960" w:type="dxa"/>
            <w:tcBorders>
              <w:top w:val="nil"/>
              <w:left w:val="nil"/>
              <w:bottom w:val="single" w:sz="8" w:space="0" w:color="auto"/>
              <w:right w:val="single" w:sz="4" w:space="0" w:color="auto"/>
            </w:tcBorders>
            <w:noWrap/>
            <w:vAlign w:val="bottom"/>
            <w:hideMark/>
          </w:tcPr>
          <w:p w14:paraId="17230CD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0.96%</w:t>
            </w:r>
          </w:p>
        </w:tc>
        <w:tc>
          <w:tcPr>
            <w:tcW w:w="960" w:type="dxa"/>
            <w:tcBorders>
              <w:top w:val="nil"/>
              <w:left w:val="nil"/>
              <w:bottom w:val="single" w:sz="8" w:space="0" w:color="auto"/>
              <w:right w:val="single" w:sz="4" w:space="0" w:color="auto"/>
            </w:tcBorders>
            <w:noWrap/>
            <w:vAlign w:val="bottom"/>
            <w:hideMark/>
          </w:tcPr>
          <w:p w14:paraId="36B0164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1.05%</w:t>
            </w:r>
          </w:p>
        </w:tc>
        <w:tc>
          <w:tcPr>
            <w:tcW w:w="960" w:type="dxa"/>
            <w:tcBorders>
              <w:top w:val="nil"/>
              <w:left w:val="nil"/>
              <w:bottom w:val="single" w:sz="8" w:space="0" w:color="auto"/>
              <w:right w:val="single" w:sz="4" w:space="0" w:color="auto"/>
            </w:tcBorders>
            <w:noWrap/>
            <w:vAlign w:val="bottom"/>
            <w:hideMark/>
          </w:tcPr>
          <w:p w14:paraId="1C53916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1.42%</w:t>
            </w:r>
          </w:p>
        </w:tc>
        <w:tc>
          <w:tcPr>
            <w:tcW w:w="960" w:type="dxa"/>
            <w:tcBorders>
              <w:top w:val="nil"/>
              <w:left w:val="nil"/>
              <w:bottom w:val="single" w:sz="8" w:space="0" w:color="auto"/>
              <w:right w:val="single" w:sz="4" w:space="0" w:color="auto"/>
            </w:tcBorders>
            <w:noWrap/>
            <w:vAlign w:val="bottom"/>
            <w:hideMark/>
          </w:tcPr>
          <w:p w14:paraId="4CFDD1E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1.75%</w:t>
            </w:r>
          </w:p>
        </w:tc>
        <w:tc>
          <w:tcPr>
            <w:tcW w:w="960" w:type="dxa"/>
            <w:tcBorders>
              <w:top w:val="nil"/>
              <w:left w:val="nil"/>
              <w:bottom w:val="single" w:sz="8" w:space="0" w:color="auto"/>
              <w:right w:val="single" w:sz="8" w:space="0" w:color="auto"/>
            </w:tcBorders>
            <w:noWrap/>
            <w:vAlign w:val="bottom"/>
            <w:hideMark/>
          </w:tcPr>
          <w:p w14:paraId="406AF25F"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1.51%</w:t>
            </w:r>
          </w:p>
        </w:tc>
      </w:tr>
    </w:tbl>
    <w:p w14:paraId="1058A88D" w14:textId="77777777" w:rsidR="00C81513" w:rsidRDefault="00C81513" w:rsidP="00F16DF5">
      <w:pPr>
        <w:tabs>
          <w:tab w:val="left" w:pos="2813"/>
        </w:tabs>
        <w:spacing w:line="360" w:lineRule="auto"/>
        <w:jc w:val="both"/>
        <w:rPr>
          <w:rFonts w:ascii="Times New Roman" w:hAnsi="Times New Roman"/>
          <w:bCs/>
          <w:sz w:val="24"/>
          <w:szCs w:val="24"/>
        </w:rPr>
      </w:pPr>
    </w:p>
    <w:p w14:paraId="3446E29E" w14:textId="77777777" w:rsidR="00DD41CC" w:rsidRPr="00DD41CC" w:rsidRDefault="00DD41CC" w:rsidP="00DD41CC">
      <w:p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The declining credit risk that</w:t>
      </w:r>
      <w:r w:rsidRPr="00DD41CC">
        <w:rPr>
          <w:rFonts w:ascii="Times New Roman" w:hAnsi="Times New Roman"/>
          <w:bCs/>
          <w:sz w:val="24"/>
          <w:szCs w:val="24"/>
        </w:rPr>
        <w:t> </w:t>
      </w:r>
      <w:r w:rsidRPr="00DD41CC">
        <w:rPr>
          <w:rFonts w:ascii="Times New Roman" w:hAnsi="Times New Roman"/>
          <w:bCs/>
          <w:sz w:val="24"/>
          <w:szCs w:val="24"/>
        </w:rPr>
        <w:t>is reflected in lower loan loss provisions as a share of total loans indicates an improvement in the level of asset quality and effective risk management. The 2023 tier of 0.96% is much higher</w:t>
      </w:r>
      <w:r w:rsidRPr="00DD41CC">
        <w:rPr>
          <w:rFonts w:ascii="Times New Roman" w:hAnsi="Times New Roman"/>
          <w:bCs/>
          <w:sz w:val="24"/>
          <w:szCs w:val="24"/>
        </w:rPr>
        <w:t> </w:t>
      </w:r>
      <w:r w:rsidRPr="00DD41CC">
        <w:rPr>
          <w:rFonts w:ascii="Times New Roman" w:hAnsi="Times New Roman"/>
          <w:bCs/>
          <w:sz w:val="24"/>
          <w:szCs w:val="24"/>
        </w:rPr>
        <w:t>than typical for the industry and it falls in safe territory.</w:t>
      </w:r>
    </w:p>
    <w:p w14:paraId="1E70A67C" w14:textId="77777777" w:rsidR="00C81513" w:rsidRDefault="00C81513" w:rsidP="00F16DF5">
      <w:pPr>
        <w:tabs>
          <w:tab w:val="left" w:pos="2813"/>
        </w:tabs>
        <w:spacing w:line="360" w:lineRule="auto"/>
        <w:jc w:val="both"/>
        <w:rPr>
          <w:rFonts w:ascii="Times New Roman" w:hAnsi="Times New Roman"/>
          <w:bCs/>
          <w:sz w:val="24"/>
          <w:szCs w:val="24"/>
        </w:rPr>
      </w:pPr>
    </w:p>
    <w:p w14:paraId="62AFA9C7" w14:textId="77777777" w:rsidR="00E11522" w:rsidRDefault="00E11522" w:rsidP="00C81513">
      <w:pPr>
        <w:pStyle w:val="Heading1"/>
        <w:jc w:val="left"/>
        <w:rPr>
          <w:rFonts w:ascii="Times New Roman" w:eastAsia="Calibri" w:hAnsi="Times New Roman" w:cs="Times New Roman"/>
          <w:b w:val="0"/>
          <w:color w:val="auto"/>
          <w:sz w:val="24"/>
          <w:szCs w:val="24"/>
        </w:rPr>
      </w:pPr>
    </w:p>
    <w:p w14:paraId="0811231E" w14:textId="77777777" w:rsidR="00E11522" w:rsidRDefault="00E11522" w:rsidP="00E11522"/>
    <w:p w14:paraId="147CF7FD" w14:textId="77777777" w:rsidR="000530C8" w:rsidRDefault="000530C8" w:rsidP="00E11522"/>
    <w:p w14:paraId="19426055" w14:textId="77777777" w:rsidR="000530C8" w:rsidRPr="00E11522" w:rsidRDefault="000530C8" w:rsidP="00E11522"/>
    <w:p w14:paraId="227651EE" w14:textId="77777777" w:rsidR="00F16DF5" w:rsidRPr="00D77C53" w:rsidRDefault="00F16DF5" w:rsidP="00C81513">
      <w:pPr>
        <w:pStyle w:val="Heading1"/>
        <w:jc w:val="left"/>
        <w:rPr>
          <w:rFonts w:ascii="Times New Roman" w:hAnsi="Times New Roman" w:cs="Times New Roman"/>
          <w:sz w:val="28"/>
        </w:rPr>
      </w:pPr>
      <w:bookmarkStart w:id="59" w:name="_Toc214949051"/>
      <w:r w:rsidRPr="00D77C53">
        <w:rPr>
          <w:rFonts w:ascii="Times New Roman" w:hAnsi="Times New Roman" w:cs="Times New Roman"/>
          <w:sz w:val="28"/>
        </w:rPr>
        <w:lastRenderedPageBreak/>
        <w:t>4.7 Profitability Analysis</w:t>
      </w:r>
      <w:bookmarkEnd w:id="59"/>
    </w:p>
    <w:p w14:paraId="3031E204" w14:textId="77777777" w:rsidR="00C81513" w:rsidRPr="00C81513" w:rsidRDefault="00C81513" w:rsidP="00C81513"/>
    <w:p w14:paraId="04B88308" w14:textId="77777777" w:rsidR="00DD41CC" w:rsidRPr="00DD41CC" w:rsidRDefault="00DD41CC" w:rsidP="00DD41CC">
      <w:p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A profitability analysis assesses the</w:t>
      </w:r>
      <w:r w:rsidRPr="00DD41CC">
        <w:rPr>
          <w:rFonts w:ascii="Times New Roman" w:hAnsi="Times New Roman"/>
          <w:bCs/>
          <w:sz w:val="24"/>
          <w:szCs w:val="24"/>
        </w:rPr>
        <w:t> </w:t>
      </w:r>
      <w:r w:rsidRPr="00DD41CC">
        <w:rPr>
          <w:rFonts w:ascii="Times New Roman" w:hAnsi="Times New Roman"/>
          <w:bCs/>
          <w:sz w:val="24"/>
          <w:szCs w:val="24"/>
        </w:rPr>
        <w:t>bank’s capacity to earn money with its equity, its assets and on a day-to-day basis. To evaluate the profitability and efficiency of the bank, it observes figures such</w:t>
      </w:r>
      <w:r w:rsidRPr="00DD41CC">
        <w:rPr>
          <w:rFonts w:ascii="Times New Roman" w:hAnsi="Times New Roman"/>
          <w:bCs/>
          <w:sz w:val="24"/>
          <w:szCs w:val="24"/>
        </w:rPr>
        <w:t> </w:t>
      </w:r>
      <w:r w:rsidRPr="00DD41CC">
        <w:rPr>
          <w:rFonts w:ascii="Times New Roman" w:hAnsi="Times New Roman"/>
          <w:bCs/>
          <w:sz w:val="24"/>
          <w:szCs w:val="24"/>
        </w:rPr>
        <w:t>as ROA, ROE, NIM and CTI. The study highlights how key aspects ranging from</w:t>
      </w:r>
      <w:r w:rsidRPr="00DD41CC">
        <w:rPr>
          <w:rFonts w:ascii="Times New Roman" w:hAnsi="Times New Roman"/>
          <w:bCs/>
          <w:sz w:val="24"/>
          <w:szCs w:val="24"/>
        </w:rPr>
        <w:t> </w:t>
      </w:r>
      <w:r w:rsidRPr="00DD41CC">
        <w:rPr>
          <w:rFonts w:ascii="Times New Roman" w:hAnsi="Times New Roman"/>
          <w:bCs/>
          <w:sz w:val="24"/>
          <w:szCs w:val="24"/>
        </w:rPr>
        <w:t>risk management to loan quality and operating performance have influenced aggregate financial results as these trends are viewed within a broader time frame. This becomes crucial in assessing the bank’s</w:t>
      </w:r>
      <w:r w:rsidRPr="00DD41CC">
        <w:rPr>
          <w:rFonts w:ascii="Times New Roman" w:hAnsi="Times New Roman"/>
          <w:bCs/>
          <w:sz w:val="24"/>
          <w:szCs w:val="24"/>
        </w:rPr>
        <w:t> </w:t>
      </w:r>
      <w:r w:rsidRPr="00DD41CC">
        <w:rPr>
          <w:rFonts w:ascii="Times New Roman" w:hAnsi="Times New Roman"/>
          <w:bCs/>
          <w:sz w:val="24"/>
          <w:szCs w:val="24"/>
        </w:rPr>
        <w:t>ability to maintain consistent earnings and permanence.</w:t>
      </w:r>
    </w:p>
    <w:p w14:paraId="358779A3" w14:textId="77777777" w:rsidR="00F16DF5" w:rsidRPr="006751AF" w:rsidRDefault="00F16DF5" w:rsidP="00F16DF5">
      <w:pPr>
        <w:tabs>
          <w:tab w:val="left" w:pos="2813"/>
        </w:tabs>
        <w:spacing w:line="360" w:lineRule="auto"/>
        <w:jc w:val="both"/>
        <w:rPr>
          <w:rFonts w:ascii="Times New Roman" w:hAnsi="Times New Roman"/>
          <w:bCs/>
          <w:sz w:val="24"/>
          <w:szCs w:val="24"/>
        </w:rPr>
      </w:pPr>
      <w:r w:rsidRPr="006751AF">
        <w:rPr>
          <w:rFonts w:ascii="Times New Roman" w:hAnsi="Times New Roman"/>
          <w:bCs/>
          <w:sz w:val="24"/>
          <w:szCs w:val="24"/>
        </w:rPr>
        <w:t>Key Profitability Indicators:</w:t>
      </w:r>
    </w:p>
    <w:tbl>
      <w:tblPr>
        <w:tblW w:w="7660" w:type="dxa"/>
        <w:jc w:val="center"/>
        <w:tblLook w:val="04A0" w:firstRow="1" w:lastRow="0" w:firstColumn="1" w:lastColumn="0" w:noHBand="0" w:noVBand="1"/>
      </w:tblPr>
      <w:tblGrid>
        <w:gridCol w:w="2860"/>
        <w:gridCol w:w="960"/>
        <w:gridCol w:w="960"/>
        <w:gridCol w:w="960"/>
        <w:gridCol w:w="960"/>
        <w:gridCol w:w="960"/>
      </w:tblGrid>
      <w:tr w:rsidR="00F16DF5" w:rsidRPr="006751AF" w14:paraId="47AEEE4A" w14:textId="77777777" w:rsidTr="001E3E58">
        <w:trPr>
          <w:trHeight w:val="315"/>
          <w:jc w:val="center"/>
        </w:trPr>
        <w:tc>
          <w:tcPr>
            <w:tcW w:w="2860" w:type="dxa"/>
            <w:tcBorders>
              <w:top w:val="single" w:sz="8" w:space="0" w:color="auto"/>
              <w:left w:val="single" w:sz="8" w:space="0" w:color="auto"/>
              <w:bottom w:val="single" w:sz="4" w:space="0" w:color="auto"/>
              <w:right w:val="single" w:sz="4" w:space="0" w:color="auto"/>
            </w:tcBorders>
            <w:noWrap/>
            <w:vAlign w:val="bottom"/>
            <w:hideMark/>
          </w:tcPr>
          <w:p w14:paraId="295230BE"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 </w:t>
            </w:r>
          </w:p>
        </w:tc>
        <w:tc>
          <w:tcPr>
            <w:tcW w:w="960" w:type="dxa"/>
            <w:tcBorders>
              <w:top w:val="single" w:sz="8" w:space="0" w:color="auto"/>
              <w:left w:val="nil"/>
              <w:bottom w:val="single" w:sz="4" w:space="0" w:color="auto"/>
              <w:right w:val="single" w:sz="4" w:space="0" w:color="auto"/>
            </w:tcBorders>
            <w:noWrap/>
            <w:vAlign w:val="bottom"/>
            <w:hideMark/>
          </w:tcPr>
          <w:p w14:paraId="5124AA4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2023</w:t>
            </w:r>
          </w:p>
        </w:tc>
        <w:tc>
          <w:tcPr>
            <w:tcW w:w="960" w:type="dxa"/>
            <w:tcBorders>
              <w:top w:val="single" w:sz="8" w:space="0" w:color="auto"/>
              <w:left w:val="nil"/>
              <w:bottom w:val="single" w:sz="4" w:space="0" w:color="auto"/>
              <w:right w:val="single" w:sz="4" w:space="0" w:color="auto"/>
            </w:tcBorders>
            <w:noWrap/>
            <w:vAlign w:val="bottom"/>
            <w:hideMark/>
          </w:tcPr>
          <w:p w14:paraId="06A5946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2022</w:t>
            </w:r>
          </w:p>
        </w:tc>
        <w:tc>
          <w:tcPr>
            <w:tcW w:w="960" w:type="dxa"/>
            <w:tcBorders>
              <w:top w:val="single" w:sz="8" w:space="0" w:color="auto"/>
              <w:left w:val="nil"/>
              <w:bottom w:val="single" w:sz="4" w:space="0" w:color="auto"/>
              <w:right w:val="single" w:sz="4" w:space="0" w:color="auto"/>
            </w:tcBorders>
            <w:noWrap/>
            <w:vAlign w:val="bottom"/>
            <w:hideMark/>
          </w:tcPr>
          <w:p w14:paraId="193A094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2021</w:t>
            </w:r>
          </w:p>
        </w:tc>
        <w:tc>
          <w:tcPr>
            <w:tcW w:w="960" w:type="dxa"/>
            <w:tcBorders>
              <w:top w:val="single" w:sz="8" w:space="0" w:color="auto"/>
              <w:left w:val="nil"/>
              <w:bottom w:val="single" w:sz="4" w:space="0" w:color="auto"/>
              <w:right w:val="single" w:sz="4" w:space="0" w:color="auto"/>
            </w:tcBorders>
            <w:noWrap/>
            <w:vAlign w:val="bottom"/>
            <w:hideMark/>
          </w:tcPr>
          <w:p w14:paraId="6281EF6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2020</w:t>
            </w:r>
          </w:p>
        </w:tc>
        <w:tc>
          <w:tcPr>
            <w:tcW w:w="960" w:type="dxa"/>
            <w:tcBorders>
              <w:top w:val="single" w:sz="8" w:space="0" w:color="auto"/>
              <w:left w:val="nil"/>
              <w:bottom w:val="single" w:sz="4" w:space="0" w:color="auto"/>
              <w:right w:val="single" w:sz="8" w:space="0" w:color="auto"/>
            </w:tcBorders>
            <w:noWrap/>
            <w:vAlign w:val="bottom"/>
            <w:hideMark/>
          </w:tcPr>
          <w:p w14:paraId="2DCA5F1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2019</w:t>
            </w:r>
          </w:p>
        </w:tc>
      </w:tr>
      <w:tr w:rsidR="00F16DF5" w:rsidRPr="006751AF" w14:paraId="5EB636F1" w14:textId="77777777" w:rsidTr="001E3E58">
        <w:trPr>
          <w:trHeight w:val="315"/>
          <w:jc w:val="center"/>
        </w:trPr>
        <w:tc>
          <w:tcPr>
            <w:tcW w:w="2860" w:type="dxa"/>
            <w:tcBorders>
              <w:top w:val="nil"/>
              <w:left w:val="single" w:sz="8" w:space="0" w:color="auto"/>
              <w:bottom w:val="single" w:sz="4" w:space="0" w:color="auto"/>
              <w:right w:val="single" w:sz="4" w:space="0" w:color="auto"/>
            </w:tcBorders>
            <w:noWrap/>
            <w:vAlign w:val="bottom"/>
            <w:hideMark/>
          </w:tcPr>
          <w:p w14:paraId="1CF86D2B"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Net Interest Margin (%)</w:t>
            </w:r>
          </w:p>
        </w:tc>
        <w:tc>
          <w:tcPr>
            <w:tcW w:w="960" w:type="dxa"/>
            <w:tcBorders>
              <w:top w:val="nil"/>
              <w:left w:val="nil"/>
              <w:bottom w:val="single" w:sz="4" w:space="0" w:color="auto"/>
              <w:right w:val="single" w:sz="4" w:space="0" w:color="auto"/>
            </w:tcBorders>
            <w:noWrap/>
            <w:vAlign w:val="bottom"/>
            <w:hideMark/>
          </w:tcPr>
          <w:p w14:paraId="0180CDC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3.4%</w:t>
            </w:r>
          </w:p>
        </w:tc>
        <w:tc>
          <w:tcPr>
            <w:tcW w:w="960" w:type="dxa"/>
            <w:tcBorders>
              <w:top w:val="nil"/>
              <w:left w:val="nil"/>
              <w:bottom w:val="single" w:sz="4" w:space="0" w:color="auto"/>
              <w:right w:val="single" w:sz="4" w:space="0" w:color="auto"/>
            </w:tcBorders>
            <w:noWrap/>
            <w:vAlign w:val="bottom"/>
            <w:hideMark/>
          </w:tcPr>
          <w:p w14:paraId="45625BB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3.3%</w:t>
            </w:r>
          </w:p>
        </w:tc>
        <w:tc>
          <w:tcPr>
            <w:tcW w:w="960" w:type="dxa"/>
            <w:tcBorders>
              <w:top w:val="nil"/>
              <w:left w:val="nil"/>
              <w:bottom w:val="single" w:sz="4" w:space="0" w:color="auto"/>
              <w:right w:val="single" w:sz="4" w:space="0" w:color="auto"/>
            </w:tcBorders>
            <w:noWrap/>
            <w:vAlign w:val="bottom"/>
            <w:hideMark/>
          </w:tcPr>
          <w:p w14:paraId="6965B6A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3.1%</w:t>
            </w:r>
          </w:p>
        </w:tc>
        <w:tc>
          <w:tcPr>
            <w:tcW w:w="960" w:type="dxa"/>
            <w:tcBorders>
              <w:top w:val="nil"/>
              <w:left w:val="nil"/>
              <w:bottom w:val="single" w:sz="4" w:space="0" w:color="auto"/>
              <w:right w:val="single" w:sz="4" w:space="0" w:color="auto"/>
            </w:tcBorders>
            <w:noWrap/>
            <w:vAlign w:val="bottom"/>
            <w:hideMark/>
          </w:tcPr>
          <w:p w14:paraId="7E1CFFE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3.0%</w:t>
            </w:r>
          </w:p>
        </w:tc>
        <w:tc>
          <w:tcPr>
            <w:tcW w:w="960" w:type="dxa"/>
            <w:tcBorders>
              <w:top w:val="nil"/>
              <w:left w:val="nil"/>
              <w:bottom w:val="single" w:sz="4" w:space="0" w:color="auto"/>
              <w:right w:val="single" w:sz="8" w:space="0" w:color="auto"/>
            </w:tcBorders>
            <w:noWrap/>
            <w:vAlign w:val="bottom"/>
            <w:hideMark/>
          </w:tcPr>
          <w:p w14:paraId="3993307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3.2%</w:t>
            </w:r>
          </w:p>
        </w:tc>
      </w:tr>
      <w:tr w:rsidR="00F16DF5" w:rsidRPr="006751AF" w14:paraId="37724484" w14:textId="77777777" w:rsidTr="001E3E58">
        <w:trPr>
          <w:trHeight w:val="315"/>
          <w:jc w:val="center"/>
        </w:trPr>
        <w:tc>
          <w:tcPr>
            <w:tcW w:w="2860" w:type="dxa"/>
            <w:tcBorders>
              <w:top w:val="nil"/>
              <w:left w:val="single" w:sz="8" w:space="0" w:color="auto"/>
              <w:bottom w:val="single" w:sz="4" w:space="0" w:color="auto"/>
              <w:right w:val="single" w:sz="4" w:space="0" w:color="auto"/>
            </w:tcBorders>
            <w:noWrap/>
            <w:vAlign w:val="bottom"/>
            <w:hideMark/>
          </w:tcPr>
          <w:p w14:paraId="0F6697DE"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ROA (%)</w:t>
            </w:r>
          </w:p>
        </w:tc>
        <w:tc>
          <w:tcPr>
            <w:tcW w:w="960" w:type="dxa"/>
            <w:tcBorders>
              <w:top w:val="nil"/>
              <w:left w:val="nil"/>
              <w:bottom w:val="single" w:sz="4" w:space="0" w:color="auto"/>
              <w:right w:val="single" w:sz="4" w:space="0" w:color="auto"/>
            </w:tcBorders>
            <w:noWrap/>
            <w:vAlign w:val="bottom"/>
            <w:hideMark/>
          </w:tcPr>
          <w:p w14:paraId="6DDCCAB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1.12%</w:t>
            </w:r>
          </w:p>
        </w:tc>
        <w:tc>
          <w:tcPr>
            <w:tcW w:w="960" w:type="dxa"/>
            <w:tcBorders>
              <w:top w:val="nil"/>
              <w:left w:val="nil"/>
              <w:bottom w:val="single" w:sz="4" w:space="0" w:color="auto"/>
              <w:right w:val="single" w:sz="4" w:space="0" w:color="auto"/>
            </w:tcBorders>
            <w:noWrap/>
            <w:vAlign w:val="bottom"/>
            <w:hideMark/>
          </w:tcPr>
          <w:p w14:paraId="4A5A52C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1.05%</w:t>
            </w:r>
          </w:p>
        </w:tc>
        <w:tc>
          <w:tcPr>
            <w:tcW w:w="960" w:type="dxa"/>
            <w:tcBorders>
              <w:top w:val="nil"/>
              <w:left w:val="nil"/>
              <w:bottom w:val="single" w:sz="4" w:space="0" w:color="auto"/>
              <w:right w:val="single" w:sz="4" w:space="0" w:color="auto"/>
            </w:tcBorders>
            <w:noWrap/>
            <w:vAlign w:val="bottom"/>
            <w:hideMark/>
          </w:tcPr>
          <w:p w14:paraId="06269D6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0.88%</w:t>
            </w:r>
          </w:p>
        </w:tc>
        <w:tc>
          <w:tcPr>
            <w:tcW w:w="960" w:type="dxa"/>
            <w:tcBorders>
              <w:top w:val="nil"/>
              <w:left w:val="nil"/>
              <w:bottom w:val="single" w:sz="4" w:space="0" w:color="auto"/>
              <w:right w:val="single" w:sz="4" w:space="0" w:color="auto"/>
            </w:tcBorders>
            <w:noWrap/>
            <w:vAlign w:val="bottom"/>
            <w:hideMark/>
          </w:tcPr>
          <w:p w14:paraId="1271044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0.82%</w:t>
            </w:r>
          </w:p>
        </w:tc>
        <w:tc>
          <w:tcPr>
            <w:tcW w:w="960" w:type="dxa"/>
            <w:tcBorders>
              <w:top w:val="nil"/>
              <w:left w:val="nil"/>
              <w:bottom w:val="single" w:sz="4" w:space="0" w:color="auto"/>
              <w:right w:val="single" w:sz="8" w:space="0" w:color="auto"/>
            </w:tcBorders>
            <w:noWrap/>
            <w:vAlign w:val="bottom"/>
            <w:hideMark/>
          </w:tcPr>
          <w:p w14:paraId="14BD264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0.95%</w:t>
            </w:r>
          </w:p>
        </w:tc>
      </w:tr>
      <w:tr w:rsidR="00F16DF5" w:rsidRPr="006751AF" w14:paraId="0568EE19" w14:textId="77777777" w:rsidTr="001E3E58">
        <w:trPr>
          <w:trHeight w:val="315"/>
          <w:jc w:val="center"/>
        </w:trPr>
        <w:tc>
          <w:tcPr>
            <w:tcW w:w="2860" w:type="dxa"/>
            <w:tcBorders>
              <w:top w:val="nil"/>
              <w:left w:val="single" w:sz="8" w:space="0" w:color="auto"/>
              <w:bottom w:val="single" w:sz="4" w:space="0" w:color="auto"/>
              <w:right w:val="single" w:sz="4" w:space="0" w:color="auto"/>
            </w:tcBorders>
            <w:noWrap/>
            <w:vAlign w:val="bottom"/>
            <w:hideMark/>
          </w:tcPr>
          <w:p w14:paraId="35BB43CF"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ROE (%)</w:t>
            </w:r>
          </w:p>
        </w:tc>
        <w:tc>
          <w:tcPr>
            <w:tcW w:w="960" w:type="dxa"/>
            <w:tcBorders>
              <w:top w:val="nil"/>
              <w:left w:val="nil"/>
              <w:bottom w:val="single" w:sz="4" w:space="0" w:color="auto"/>
              <w:right w:val="single" w:sz="4" w:space="0" w:color="auto"/>
            </w:tcBorders>
            <w:noWrap/>
            <w:vAlign w:val="bottom"/>
            <w:hideMark/>
          </w:tcPr>
          <w:p w14:paraId="6C253D7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12.8%</w:t>
            </w:r>
          </w:p>
        </w:tc>
        <w:tc>
          <w:tcPr>
            <w:tcW w:w="960" w:type="dxa"/>
            <w:tcBorders>
              <w:top w:val="nil"/>
              <w:left w:val="nil"/>
              <w:bottom w:val="single" w:sz="4" w:space="0" w:color="auto"/>
              <w:right w:val="single" w:sz="4" w:space="0" w:color="auto"/>
            </w:tcBorders>
            <w:noWrap/>
            <w:vAlign w:val="bottom"/>
            <w:hideMark/>
          </w:tcPr>
          <w:p w14:paraId="6BB3828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12.1%</w:t>
            </w:r>
          </w:p>
        </w:tc>
        <w:tc>
          <w:tcPr>
            <w:tcW w:w="960" w:type="dxa"/>
            <w:tcBorders>
              <w:top w:val="nil"/>
              <w:left w:val="nil"/>
              <w:bottom w:val="single" w:sz="4" w:space="0" w:color="auto"/>
              <w:right w:val="single" w:sz="4" w:space="0" w:color="auto"/>
            </w:tcBorders>
            <w:noWrap/>
            <w:vAlign w:val="bottom"/>
            <w:hideMark/>
          </w:tcPr>
          <w:p w14:paraId="60A24FF9"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10.5%</w:t>
            </w:r>
          </w:p>
        </w:tc>
        <w:tc>
          <w:tcPr>
            <w:tcW w:w="960" w:type="dxa"/>
            <w:tcBorders>
              <w:top w:val="nil"/>
              <w:left w:val="nil"/>
              <w:bottom w:val="single" w:sz="4" w:space="0" w:color="auto"/>
              <w:right w:val="single" w:sz="4" w:space="0" w:color="auto"/>
            </w:tcBorders>
            <w:noWrap/>
            <w:vAlign w:val="bottom"/>
            <w:hideMark/>
          </w:tcPr>
          <w:p w14:paraId="4DE2FDD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9.8%</w:t>
            </w:r>
          </w:p>
        </w:tc>
        <w:tc>
          <w:tcPr>
            <w:tcW w:w="960" w:type="dxa"/>
            <w:tcBorders>
              <w:top w:val="nil"/>
              <w:left w:val="nil"/>
              <w:bottom w:val="single" w:sz="4" w:space="0" w:color="auto"/>
              <w:right w:val="single" w:sz="8" w:space="0" w:color="auto"/>
            </w:tcBorders>
            <w:noWrap/>
            <w:vAlign w:val="bottom"/>
            <w:hideMark/>
          </w:tcPr>
          <w:p w14:paraId="1830062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11.2%</w:t>
            </w:r>
          </w:p>
        </w:tc>
      </w:tr>
      <w:tr w:rsidR="00F16DF5" w:rsidRPr="006751AF" w14:paraId="1B2E291E" w14:textId="77777777" w:rsidTr="001E3E58">
        <w:trPr>
          <w:trHeight w:val="330"/>
          <w:jc w:val="center"/>
        </w:trPr>
        <w:tc>
          <w:tcPr>
            <w:tcW w:w="2860" w:type="dxa"/>
            <w:tcBorders>
              <w:top w:val="nil"/>
              <w:left w:val="single" w:sz="8" w:space="0" w:color="auto"/>
              <w:bottom w:val="single" w:sz="8" w:space="0" w:color="auto"/>
              <w:right w:val="single" w:sz="4" w:space="0" w:color="auto"/>
            </w:tcBorders>
            <w:noWrap/>
            <w:vAlign w:val="bottom"/>
            <w:hideMark/>
          </w:tcPr>
          <w:p w14:paraId="2582E616"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Cost-to-Income (%)</w:t>
            </w:r>
          </w:p>
        </w:tc>
        <w:tc>
          <w:tcPr>
            <w:tcW w:w="960" w:type="dxa"/>
            <w:tcBorders>
              <w:top w:val="nil"/>
              <w:left w:val="nil"/>
              <w:bottom w:val="single" w:sz="8" w:space="0" w:color="auto"/>
              <w:right w:val="single" w:sz="4" w:space="0" w:color="auto"/>
            </w:tcBorders>
            <w:noWrap/>
            <w:vAlign w:val="bottom"/>
            <w:hideMark/>
          </w:tcPr>
          <w:p w14:paraId="29C1ABE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45.1%</w:t>
            </w:r>
          </w:p>
        </w:tc>
        <w:tc>
          <w:tcPr>
            <w:tcW w:w="960" w:type="dxa"/>
            <w:tcBorders>
              <w:top w:val="nil"/>
              <w:left w:val="nil"/>
              <w:bottom w:val="single" w:sz="8" w:space="0" w:color="auto"/>
              <w:right w:val="single" w:sz="4" w:space="0" w:color="auto"/>
            </w:tcBorders>
            <w:noWrap/>
            <w:vAlign w:val="bottom"/>
            <w:hideMark/>
          </w:tcPr>
          <w:p w14:paraId="05EC11C3"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46.3%</w:t>
            </w:r>
          </w:p>
        </w:tc>
        <w:tc>
          <w:tcPr>
            <w:tcW w:w="960" w:type="dxa"/>
            <w:tcBorders>
              <w:top w:val="nil"/>
              <w:left w:val="nil"/>
              <w:bottom w:val="single" w:sz="8" w:space="0" w:color="auto"/>
              <w:right w:val="single" w:sz="4" w:space="0" w:color="auto"/>
            </w:tcBorders>
            <w:noWrap/>
            <w:vAlign w:val="bottom"/>
            <w:hideMark/>
          </w:tcPr>
          <w:p w14:paraId="4C7227B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49.8%</w:t>
            </w:r>
          </w:p>
        </w:tc>
        <w:tc>
          <w:tcPr>
            <w:tcW w:w="960" w:type="dxa"/>
            <w:tcBorders>
              <w:top w:val="nil"/>
              <w:left w:val="nil"/>
              <w:bottom w:val="single" w:sz="8" w:space="0" w:color="auto"/>
              <w:right w:val="single" w:sz="4" w:space="0" w:color="auto"/>
            </w:tcBorders>
            <w:noWrap/>
            <w:vAlign w:val="bottom"/>
            <w:hideMark/>
          </w:tcPr>
          <w:p w14:paraId="5269F14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51.2%</w:t>
            </w:r>
          </w:p>
        </w:tc>
        <w:tc>
          <w:tcPr>
            <w:tcW w:w="960" w:type="dxa"/>
            <w:tcBorders>
              <w:top w:val="nil"/>
              <w:left w:val="nil"/>
              <w:bottom w:val="single" w:sz="8" w:space="0" w:color="auto"/>
              <w:right w:val="single" w:sz="8" w:space="0" w:color="auto"/>
            </w:tcBorders>
            <w:noWrap/>
            <w:vAlign w:val="bottom"/>
            <w:hideMark/>
          </w:tcPr>
          <w:p w14:paraId="4559A57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48.5%</w:t>
            </w:r>
          </w:p>
        </w:tc>
      </w:tr>
    </w:tbl>
    <w:p w14:paraId="54EC17AC" w14:textId="77777777" w:rsidR="00E11522" w:rsidRDefault="00E11522" w:rsidP="00DD41CC">
      <w:pPr>
        <w:tabs>
          <w:tab w:val="left" w:pos="2813"/>
        </w:tabs>
        <w:spacing w:line="360" w:lineRule="auto"/>
        <w:jc w:val="both"/>
        <w:rPr>
          <w:rFonts w:ascii="Times New Roman" w:hAnsi="Times New Roman"/>
          <w:bCs/>
          <w:sz w:val="24"/>
          <w:szCs w:val="24"/>
        </w:rPr>
      </w:pPr>
    </w:p>
    <w:p w14:paraId="00550F09" w14:textId="77777777" w:rsidR="00DD41CC" w:rsidRPr="00DD41CC" w:rsidRDefault="00DD41CC" w:rsidP="00DD41CC">
      <w:p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After a</w:t>
      </w:r>
      <w:r w:rsidRPr="00DD41CC">
        <w:rPr>
          <w:rFonts w:ascii="Times New Roman" w:hAnsi="Times New Roman"/>
          <w:bCs/>
          <w:sz w:val="24"/>
          <w:szCs w:val="24"/>
        </w:rPr>
        <w:t> </w:t>
      </w:r>
      <w:r w:rsidRPr="00DD41CC">
        <w:rPr>
          <w:rFonts w:ascii="Times New Roman" w:hAnsi="Times New Roman"/>
          <w:bCs/>
          <w:sz w:val="24"/>
          <w:szCs w:val="24"/>
        </w:rPr>
        <w:t>coronavirus hit in 2020, profitability ratios show recovery and increase. Higher financial performance is</w:t>
      </w:r>
      <w:r w:rsidRPr="00DD41CC">
        <w:rPr>
          <w:rFonts w:ascii="Times New Roman" w:hAnsi="Times New Roman"/>
          <w:bCs/>
          <w:sz w:val="24"/>
          <w:szCs w:val="24"/>
        </w:rPr>
        <w:t> </w:t>
      </w:r>
      <w:r w:rsidRPr="00DD41CC">
        <w:rPr>
          <w:rFonts w:ascii="Times New Roman" w:hAnsi="Times New Roman"/>
          <w:bCs/>
          <w:sz w:val="24"/>
          <w:szCs w:val="24"/>
        </w:rPr>
        <w:t>contributed to by more efficient risk management, with increasing ROA and ROE. Efficiency as measured</w:t>
      </w:r>
      <w:r w:rsidRPr="00DD41CC">
        <w:rPr>
          <w:rFonts w:ascii="Times New Roman" w:hAnsi="Times New Roman"/>
          <w:bCs/>
          <w:sz w:val="24"/>
          <w:szCs w:val="24"/>
        </w:rPr>
        <w:t> </w:t>
      </w:r>
      <w:r w:rsidRPr="00DD41CC">
        <w:rPr>
          <w:rFonts w:ascii="Times New Roman" w:hAnsi="Times New Roman"/>
          <w:bCs/>
          <w:sz w:val="24"/>
          <w:szCs w:val="24"/>
        </w:rPr>
        <w:t>by the declining cost-to-income ratio is getting better.</w:t>
      </w:r>
    </w:p>
    <w:p w14:paraId="5A2E6ECF" w14:textId="77777777" w:rsidR="00C81513" w:rsidRDefault="00C81513" w:rsidP="00F16DF5">
      <w:pPr>
        <w:tabs>
          <w:tab w:val="left" w:pos="2813"/>
        </w:tabs>
        <w:spacing w:line="360" w:lineRule="auto"/>
        <w:jc w:val="both"/>
        <w:rPr>
          <w:rFonts w:ascii="Times New Roman" w:hAnsi="Times New Roman"/>
          <w:b/>
          <w:bCs/>
          <w:sz w:val="24"/>
          <w:szCs w:val="24"/>
        </w:rPr>
      </w:pPr>
    </w:p>
    <w:p w14:paraId="425DF14A" w14:textId="77777777" w:rsidR="00F16DF5" w:rsidRPr="00D77C53" w:rsidRDefault="00F16DF5" w:rsidP="00C81513">
      <w:pPr>
        <w:pStyle w:val="Heading1"/>
        <w:jc w:val="left"/>
        <w:rPr>
          <w:rFonts w:ascii="Times New Roman" w:hAnsi="Times New Roman" w:cs="Times New Roman"/>
          <w:sz w:val="28"/>
        </w:rPr>
      </w:pPr>
      <w:bookmarkStart w:id="60" w:name="_Toc214949052"/>
      <w:r w:rsidRPr="00D77C53">
        <w:rPr>
          <w:rFonts w:ascii="Times New Roman" w:hAnsi="Times New Roman" w:cs="Times New Roman"/>
          <w:sz w:val="28"/>
        </w:rPr>
        <w:t>4.8 Comparative Analysis with Peer Banks</w:t>
      </w:r>
      <w:bookmarkEnd w:id="60"/>
    </w:p>
    <w:p w14:paraId="28FE6FF0" w14:textId="77777777" w:rsidR="00C81513" w:rsidRPr="00C81513" w:rsidRDefault="00C81513" w:rsidP="00C81513"/>
    <w:p w14:paraId="44190BAD" w14:textId="77777777" w:rsidR="00F16DF5" w:rsidRPr="006751AF" w:rsidRDefault="00F16DF5" w:rsidP="00F16DF5">
      <w:pPr>
        <w:tabs>
          <w:tab w:val="left" w:pos="2813"/>
        </w:tabs>
        <w:spacing w:line="360" w:lineRule="auto"/>
        <w:jc w:val="both"/>
        <w:rPr>
          <w:rFonts w:ascii="Times New Roman" w:hAnsi="Times New Roman"/>
          <w:bCs/>
          <w:sz w:val="24"/>
          <w:szCs w:val="24"/>
        </w:rPr>
      </w:pPr>
      <w:r w:rsidRPr="006751AF">
        <w:rPr>
          <w:rFonts w:ascii="Times New Roman" w:hAnsi="Times New Roman"/>
          <w:bCs/>
          <w:sz w:val="24"/>
          <w:szCs w:val="24"/>
        </w:rPr>
        <w:t>Comparison with BRAC Bank and Eastern Bank Limited (2023 data):</w:t>
      </w:r>
    </w:p>
    <w:tbl>
      <w:tblPr>
        <w:tblW w:w="8100" w:type="dxa"/>
        <w:jc w:val="center"/>
        <w:tblLook w:val="04A0" w:firstRow="1" w:lastRow="0" w:firstColumn="1" w:lastColumn="0" w:noHBand="0" w:noVBand="1"/>
      </w:tblPr>
      <w:tblGrid>
        <w:gridCol w:w="2100"/>
        <w:gridCol w:w="1500"/>
        <w:gridCol w:w="1500"/>
        <w:gridCol w:w="1500"/>
        <w:gridCol w:w="1500"/>
      </w:tblGrid>
      <w:tr w:rsidR="00F16DF5" w:rsidRPr="006751AF" w14:paraId="49D84ABB" w14:textId="77777777" w:rsidTr="001E3E58">
        <w:trPr>
          <w:trHeight w:val="315"/>
          <w:jc w:val="center"/>
        </w:trPr>
        <w:tc>
          <w:tcPr>
            <w:tcW w:w="2100" w:type="dxa"/>
            <w:tcBorders>
              <w:top w:val="single" w:sz="8" w:space="0" w:color="auto"/>
              <w:left w:val="single" w:sz="8" w:space="0" w:color="auto"/>
              <w:bottom w:val="single" w:sz="4" w:space="0" w:color="auto"/>
              <w:right w:val="single" w:sz="4" w:space="0" w:color="auto"/>
            </w:tcBorders>
            <w:noWrap/>
            <w:vAlign w:val="bottom"/>
            <w:hideMark/>
          </w:tcPr>
          <w:p w14:paraId="0FE1BC40"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Metric</w:t>
            </w:r>
          </w:p>
        </w:tc>
        <w:tc>
          <w:tcPr>
            <w:tcW w:w="1500" w:type="dxa"/>
            <w:tcBorders>
              <w:top w:val="single" w:sz="8" w:space="0" w:color="auto"/>
              <w:left w:val="nil"/>
              <w:bottom w:val="single" w:sz="4" w:space="0" w:color="auto"/>
              <w:right w:val="single" w:sz="4" w:space="0" w:color="auto"/>
            </w:tcBorders>
            <w:noWrap/>
            <w:vAlign w:val="bottom"/>
            <w:hideMark/>
          </w:tcPr>
          <w:p w14:paraId="61FF92E7" w14:textId="77777777" w:rsidR="00F16DF5" w:rsidRPr="006751AF" w:rsidRDefault="00F16DF5" w:rsidP="001E3E58">
            <w:pPr>
              <w:spacing w:after="0" w:line="240" w:lineRule="auto"/>
              <w:jc w:val="center"/>
              <w:rPr>
                <w:rFonts w:ascii="Times New Roman" w:eastAsia="Times New Roman" w:hAnsi="Times New Roman"/>
                <w:b/>
                <w:bCs/>
                <w:color w:val="000000"/>
                <w:sz w:val="24"/>
                <w:szCs w:val="24"/>
              </w:rPr>
            </w:pPr>
            <w:r w:rsidRPr="006751AF">
              <w:rPr>
                <w:rFonts w:ascii="Times New Roman" w:eastAsia="Times New Roman" w:hAnsi="Times New Roman"/>
                <w:b/>
                <w:bCs/>
                <w:color w:val="000000"/>
                <w:sz w:val="24"/>
                <w:szCs w:val="24"/>
              </w:rPr>
              <w:t>Dhaka Bank</w:t>
            </w:r>
          </w:p>
        </w:tc>
        <w:tc>
          <w:tcPr>
            <w:tcW w:w="1500" w:type="dxa"/>
            <w:tcBorders>
              <w:top w:val="single" w:sz="8" w:space="0" w:color="auto"/>
              <w:left w:val="nil"/>
              <w:bottom w:val="single" w:sz="4" w:space="0" w:color="auto"/>
              <w:right w:val="single" w:sz="4" w:space="0" w:color="auto"/>
            </w:tcBorders>
            <w:noWrap/>
            <w:vAlign w:val="bottom"/>
            <w:hideMark/>
          </w:tcPr>
          <w:p w14:paraId="24B395D7" w14:textId="77777777" w:rsidR="00F16DF5" w:rsidRPr="006751AF" w:rsidRDefault="00F16DF5" w:rsidP="001E3E58">
            <w:pPr>
              <w:spacing w:after="0" w:line="240" w:lineRule="auto"/>
              <w:jc w:val="center"/>
              <w:rPr>
                <w:rFonts w:ascii="Times New Roman" w:eastAsia="Times New Roman" w:hAnsi="Times New Roman"/>
                <w:b/>
                <w:bCs/>
                <w:color w:val="000000"/>
                <w:sz w:val="24"/>
                <w:szCs w:val="24"/>
              </w:rPr>
            </w:pPr>
            <w:r w:rsidRPr="006751AF">
              <w:rPr>
                <w:rFonts w:ascii="Times New Roman" w:eastAsia="Times New Roman" w:hAnsi="Times New Roman"/>
                <w:b/>
                <w:bCs/>
                <w:color w:val="000000"/>
                <w:sz w:val="24"/>
                <w:szCs w:val="24"/>
              </w:rPr>
              <w:t>BRAC Bank</w:t>
            </w:r>
          </w:p>
        </w:tc>
        <w:tc>
          <w:tcPr>
            <w:tcW w:w="1500" w:type="dxa"/>
            <w:tcBorders>
              <w:top w:val="single" w:sz="8" w:space="0" w:color="auto"/>
              <w:left w:val="nil"/>
              <w:bottom w:val="single" w:sz="4" w:space="0" w:color="auto"/>
              <w:right w:val="single" w:sz="4" w:space="0" w:color="auto"/>
            </w:tcBorders>
            <w:noWrap/>
            <w:vAlign w:val="bottom"/>
            <w:hideMark/>
          </w:tcPr>
          <w:p w14:paraId="18881E7E" w14:textId="77777777" w:rsidR="00F16DF5" w:rsidRPr="006751AF" w:rsidRDefault="00F16DF5" w:rsidP="001E3E58">
            <w:pPr>
              <w:spacing w:after="0" w:line="240" w:lineRule="auto"/>
              <w:jc w:val="center"/>
              <w:rPr>
                <w:rFonts w:ascii="Times New Roman" w:eastAsia="Times New Roman" w:hAnsi="Times New Roman"/>
                <w:b/>
                <w:bCs/>
                <w:color w:val="000000"/>
                <w:sz w:val="24"/>
                <w:szCs w:val="24"/>
              </w:rPr>
            </w:pPr>
            <w:r w:rsidRPr="006751AF">
              <w:rPr>
                <w:rFonts w:ascii="Times New Roman" w:eastAsia="Times New Roman" w:hAnsi="Times New Roman"/>
                <w:b/>
                <w:bCs/>
                <w:color w:val="000000"/>
                <w:sz w:val="24"/>
                <w:szCs w:val="24"/>
              </w:rPr>
              <w:t>EBL</w:t>
            </w:r>
          </w:p>
        </w:tc>
        <w:tc>
          <w:tcPr>
            <w:tcW w:w="1500" w:type="dxa"/>
            <w:tcBorders>
              <w:top w:val="single" w:sz="8" w:space="0" w:color="auto"/>
              <w:left w:val="nil"/>
              <w:bottom w:val="single" w:sz="4" w:space="0" w:color="auto"/>
              <w:right w:val="single" w:sz="8" w:space="0" w:color="auto"/>
            </w:tcBorders>
            <w:noWrap/>
            <w:vAlign w:val="bottom"/>
            <w:hideMark/>
          </w:tcPr>
          <w:p w14:paraId="390682E5" w14:textId="77777777" w:rsidR="00F16DF5" w:rsidRPr="006751AF" w:rsidRDefault="00F16DF5" w:rsidP="001E3E58">
            <w:pPr>
              <w:spacing w:after="0" w:line="240" w:lineRule="auto"/>
              <w:jc w:val="center"/>
              <w:rPr>
                <w:rFonts w:ascii="Times New Roman" w:eastAsia="Times New Roman" w:hAnsi="Times New Roman"/>
                <w:b/>
                <w:bCs/>
                <w:color w:val="000000"/>
                <w:sz w:val="24"/>
                <w:szCs w:val="24"/>
              </w:rPr>
            </w:pPr>
            <w:r w:rsidRPr="006751AF">
              <w:rPr>
                <w:rFonts w:ascii="Times New Roman" w:eastAsia="Times New Roman" w:hAnsi="Times New Roman"/>
                <w:b/>
                <w:bCs/>
                <w:color w:val="000000"/>
                <w:sz w:val="24"/>
                <w:szCs w:val="24"/>
              </w:rPr>
              <w:t>Industry Avg</w:t>
            </w:r>
          </w:p>
        </w:tc>
      </w:tr>
      <w:tr w:rsidR="00F16DF5" w:rsidRPr="006751AF" w14:paraId="4FBFEFD0" w14:textId="77777777" w:rsidTr="001E3E58">
        <w:trPr>
          <w:trHeight w:val="315"/>
          <w:jc w:val="center"/>
        </w:trPr>
        <w:tc>
          <w:tcPr>
            <w:tcW w:w="2100" w:type="dxa"/>
            <w:tcBorders>
              <w:top w:val="nil"/>
              <w:left w:val="single" w:sz="8" w:space="0" w:color="auto"/>
              <w:bottom w:val="single" w:sz="4" w:space="0" w:color="auto"/>
              <w:right w:val="single" w:sz="4" w:space="0" w:color="auto"/>
            </w:tcBorders>
            <w:noWrap/>
            <w:vAlign w:val="bottom"/>
            <w:hideMark/>
          </w:tcPr>
          <w:p w14:paraId="09B7C2FA"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NPL Ratio</w:t>
            </w:r>
          </w:p>
        </w:tc>
        <w:tc>
          <w:tcPr>
            <w:tcW w:w="1500" w:type="dxa"/>
            <w:tcBorders>
              <w:top w:val="nil"/>
              <w:left w:val="nil"/>
              <w:bottom w:val="single" w:sz="4" w:space="0" w:color="auto"/>
              <w:right w:val="single" w:sz="4" w:space="0" w:color="auto"/>
            </w:tcBorders>
            <w:noWrap/>
            <w:vAlign w:val="bottom"/>
            <w:hideMark/>
          </w:tcPr>
          <w:p w14:paraId="69BF988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3.2%</w:t>
            </w:r>
          </w:p>
        </w:tc>
        <w:tc>
          <w:tcPr>
            <w:tcW w:w="1500" w:type="dxa"/>
            <w:tcBorders>
              <w:top w:val="nil"/>
              <w:left w:val="nil"/>
              <w:bottom w:val="single" w:sz="4" w:space="0" w:color="auto"/>
              <w:right w:val="single" w:sz="4" w:space="0" w:color="auto"/>
            </w:tcBorders>
            <w:noWrap/>
            <w:vAlign w:val="bottom"/>
            <w:hideMark/>
          </w:tcPr>
          <w:p w14:paraId="764B7D9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2.8%</w:t>
            </w:r>
          </w:p>
        </w:tc>
        <w:tc>
          <w:tcPr>
            <w:tcW w:w="1500" w:type="dxa"/>
            <w:tcBorders>
              <w:top w:val="nil"/>
              <w:left w:val="nil"/>
              <w:bottom w:val="single" w:sz="4" w:space="0" w:color="auto"/>
              <w:right w:val="single" w:sz="4" w:space="0" w:color="auto"/>
            </w:tcBorders>
            <w:noWrap/>
            <w:vAlign w:val="bottom"/>
            <w:hideMark/>
          </w:tcPr>
          <w:p w14:paraId="491DB7B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3.5%</w:t>
            </w:r>
          </w:p>
        </w:tc>
        <w:tc>
          <w:tcPr>
            <w:tcW w:w="1500" w:type="dxa"/>
            <w:tcBorders>
              <w:top w:val="nil"/>
              <w:left w:val="nil"/>
              <w:bottom w:val="single" w:sz="4" w:space="0" w:color="auto"/>
              <w:right w:val="single" w:sz="8" w:space="0" w:color="auto"/>
            </w:tcBorders>
            <w:noWrap/>
            <w:vAlign w:val="bottom"/>
            <w:hideMark/>
          </w:tcPr>
          <w:p w14:paraId="141DA14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8.9%</w:t>
            </w:r>
          </w:p>
        </w:tc>
      </w:tr>
      <w:tr w:rsidR="00F16DF5" w:rsidRPr="006751AF" w14:paraId="7BD9FBC8" w14:textId="77777777" w:rsidTr="001E3E58">
        <w:trPr>
          <w:trHeight w:val="315"/>
          <w:jc w:val="center"/>
        </w:trPr>
        <w:tc>
          <w:tcPr>
            <w:tcW w:w="2100" w:type="dxa"/>
            <w:tcBorders>
              <w:top w:val="nil"/>
              <w:left w:val="single" w:sz="8" w:space="0" w:color="auto"/>
              <w:bottom w:val="single" w:sz="4" w:space="0" w:color="auto"/>
              <w:right w:val="single" w:sz="4" w:space="0" w:color="auto"/>
            </w:tcBorders>
            <w:noWrap/>
            <w:vAlign w:val="bottom"/>
            <w:hideMark/>
          </w:tcPr>
          <w:p w14:paraId="115FD70E"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CAR</w:t>
            </w:r>
          </w:p>
        </w:tc>
        <w:tc>
          <w:tcPr>
            <w:tcW w:w="1500" w:type="dxa"/>
            <w:tcBorders>
              <w:top w:val="nil"/>
              <w:left w:val="nil"/>
              <w:bottom w:val="single" w:sz="4" w:space="0" w:color="auto"/>
              <w:right w:val="single" w:sz="4" w:space="0" w:color="auto"/>
            </w:tcBorders>
            <w:noWrap/>
            <w:vAlign w:val="bottom"/>
            <w:hideMark/>
          </w:tcPr>
          <w:p w14:paraId="24C9FB6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13.2%</w:t>
            </w:r>
          </w:p>
        </w:tc>
        <w:tc>
          <w:tcPr>
            <w:tcW w:w="1500" w:type="dxa"/>
            <w:tcBorders>
              <w:top w:val="nil"/>
              <w:left w:val="nil"/>
              <w:bottom w:val="single" w:sz="4" w:space="0" w:color="auto"/>
              <w:right w:val="single" w:sz="4" w:space="0" w:color="auto"/>
            </w:tcBorders>
            <w:noWrap/>
            <w:vAlign w:val="bottom"/>
            <w:hideMark/>
          </w:tcPr>
          <w:p w14:paraId="73BF0EB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14.1%</w:t>
            </w:r>
          </w:p>
        </w:tc>
        <w:tc>
          <w:tcPr>
            <w:tcW w:w="1500" w:type="dxa"/>
            <w:tcBorders>
              <w:top w:val="nil"/>
              <w:left w:val="nil"/>
              <w:bottom w:val="single" w:sz="4" w:space="0" w:color="auto"/>
              <w:right w:val="single" w:sz="4" w:space="0" w:color="auto"/>
            </w:tcBorders>
            <w:noWrap/>
            <w:vAlign w:val="bottom"/>
            <w:hideMark/>
          </w:tcPr>
          <w:p w14:paraId="03A449F7"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12.8%</w:t>
            </w:r>
          </w:p>
        </w:tc>
        <w:tc>
          <w:tcPr>
            <w:tcW w:w="1500" w:type="dxa"/>
            <w:tcBorders>
              <w:top w:val="nil"/>
              <w:left w:val="nil"/>
              <w:bottom w:val="single" w:sz="4" w:space="0" w:color="auto"/>
              <w:right w:val="single" w:sz="8" w:space="0" w:color="auto"/>
            </w:tcBorders>
            <w:noWrap/>
            <w:vAlign w:val="bottom"/>
            <w:hideMark/>
          </w:tcPr>
          <w:p w14:paraId="50B6474B"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11.8%</w:t>
            </w:r>
          </w:p>
        </w:tc>
      </w:tr>
      <w:tr w:rsidR="00F16DF5" w:rsidRPr="006751AF" w14:paraId="3BF498F2" w14:textId="77777777" w:rsidTr="001E3E58">
        <w:trPr>
          <w:trHeight w:val="315"/>
          <w:jc w:val="center"/>
        </w:trPr>
        <w:tc>
          <w:tcPr>
            <w:tcW w:w="2100" w:type="dxa"/>
            <w:tcBorders>
              <w:top w:val="nil"/>
              <w:left w:val="single" w:sz="8" w:space="0" w:color="auto"/>
              <w:bottom w:val="single" w:sz="4" w:space="0" w:color="auto"/>
              <w:right w:val="single" w:sz="4" w:space="0" w:color="auto"/>
            </w:tcBorders>
            <w:noWrap/>
            <w:vAlign w:val="bottom"/>
            <w:hideMark/>
          </w:tcPr>
          <w:p w14:paraId="749D2B4D"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ROA</w:t>
            </w:r>
          </w:p>
        </w:tc>
        <w:tc>
          <w:tcPr>
            <w:tcW w:w="1500" w:type="dxa"/>
            <w:tcBorders>
              <w:top w:val="nil"/>
              <w:left w:val="nil"/>
              <w:bottom w:val="single" w:sz="4" w:space="0" w:color="auto"/>
              <w:right w:val="single" w:sz="4" w:space="0" w:color="auto"/>
            </w:tcBorders>
            <w:noWrap/>
            <w:vAlign w:val="bottom"/>
            <w:hideMark/>
          </w:tcPr>
          <w:p w14:paraId="4C932EB8"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1.12%</w:t>
            </w:r>
          </w:p>
        </w:tc>
        <w:tc>
          <w:tcPr>
            <w:tcW w:w="1500" w:type="dxa"/>
            <w:tcBorders>
              <w:top w:val="nil"/>
              <w:left w:val="nil"/>
              <w:bottom w:val="single" w:sz="4" w:space="0" w:color="auto"/>
              <w:right w:val="single" w:sz="4" w:space="0" w:color="auto"/>
            </w:tcBorders>
            <w:noWrap/>
            <w:vAlign w:val="bottom"/>
            <w:hideMark/>
          </w:tcPr>
          <w:p w14:paraId="45742B8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1.35%</w:t>
            </w:r>
          </w:p>
        </w:tc>
        <w:tc>
          <w:tcPr>
            <w:tcW w:w="1500" w:type="dxa"/>
            <w:tcBorders>
              <w:top w:val="nil"/>
              <w:left w:val="nil"/>
              <w:bottom w:val="single" w:sz="4" w:space="0" w:color="auto"/>
              <w:right w:val="single" w:sz="4" w:space="0" w:color="auto"/>
            </w:tcBorders>
            <w:noWrap/>
            <w:vAlign w:val="bottom"/>
            <w:hideMark/>
          </w:tcPr>
          <w:p w14:paraId="14B695F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1.08%</w:t>
            </w:r>
          </w:p>
        </w:tc>
        <w:tc>
          <w:tcPr>
            <w:tcW w:w="1500" w:type="dxa"/>
            <w:tcBorders>
              <w:top w:val="nil"/>
              <w:left w:val="nil"/>
              <w:bottom w:val="single" w:sz="4" w:space="0" w:color="auto"/>
              <w:right w:val="single" w:sz="8" w:space="0" w:color="auto"/>
            </w:tcBorders>
            <w:noWrap/>
            <w:vAlign w:val="bottom"/>
            <w:hideMark/>
          </w:tcPr>
          <w:p w14:paraId="3BA4CA6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0.65%</w:t>
            </w:r>
          </w:p>
        </w:tc>
      </w:tr>
      <w:tr w:rsidR="00F16DF5" w:rsidRPr="006751AF" w14:paraId="0B806C3A" w14:textId="77777777" w:rsidTr="001E3E58">
        <w:trPr>
          <w:trHeight w:val="315"/>
          <w:jc w:val="center"/>
        </w:trPr>
        <w:tc>
          <w:tcPr>
            <w:tcW w:w="2100" w:type="dxa"/>
            <w:tcBorders>
              <w:top w:val="nil"/>
              <w:left w:val="single" w:sz="8" w:space="0" w:color="auto"/>
              <w:bottom w:val="single" w:sz="4" w:space="0" w:color="auto"/>
              <w:right w:val="single" w:sz="4" w:space="0" w:color="auto"/>
            </w:tcBorders>
            <w:noWrap/>
            <w:vAlign w:val="bottom"/>
            <w:hideMark/>
          </w:tcPr>
          <w:p w14:paraId="319C4E1D"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ROE</w:t>
            </w:r>
          </w:p>
        </w:tc>
        <w:tc>
          <w:tcPr>
            <w:tcW w:w="1500" w:type="dxa"/>
            <w:tcBorders>
              <w:top w:val="nil"/>
              <w:left w:val="nil"/>
              <w:bottom w:val="single" w:sz="4" w:space="0" w:color="auto"/>
              <w:right w:val="single" w:sz="4" w:space="0" w:color="auto"/>
            </w:tcBorders>
            <w:noWrap/>
            <w:vAlign w:val="bottom"/>
            <w:hideMark/>
          </w:tcPr>
          <w:p w14:paraId="546D6BFA"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12.8%</w:t>
            </w:r>
          </w:p>
        </w:tc>
        <w:tc>
          <w:tcPr>
            <w:tcW w:w="1500" w:type="dxa"/>
            <w:tcBorders>
              <w:top w:val="nil"/>
              <w:left w:val="nil"/>
              <w:bottom w:val="single" w:sz="4" w:space="0" w:color="auto"/>
              <w:right w:val="single" w:sz="4" w:space="0" w:color="auto"/>
            </w:tcBorders>
            <w:noWrap/>
            <w:vAlign w:val="bottom"/>
            <w:hideMark/>
          </w:tcPr>
          <w:p w14:paraId="04D42D9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15.2%</w:t>
            </w:r>
          </w:p>
        </w:tc>
        <w:tc>
          <w:tcPr>
            <w:tcW w:w="1500" w:type="dxa"/>
            <w:tcBorders>
              <w:top w:val="nil"/>
              <w:left w:val="nil"/>
              <w:bottom w:val="single" w:sz="4" w:space="0" w:color="auto"/>
              <w:right w:val="single" w:sz="4" w:space="0" w:color="auto"/>
            </w:tcBorders>
            <w:noWrap/>
            <w:vAlign w:val="bottom"/>
            <w:hideMark/>
          </w:tcPr>
          <w:p w14:paraId="5AE4BBB0"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12.3%</w:t>
            </w:r>
          </w:p>
        </w:tc>
        <w:tc>
          <w:tcPr>
            <w:tcW w:w="1500" w:type="dxa"/>
            <w:tcBorders>
              <w:top w:val="nil"/>
              <w:left w:val="nil"/>
              <w:bottom w:val="single" w:sz="4" w:space="0" w:color="auto"/>
              <w:right w:val="single" w:sz="8" w:space="0" w:color="auto"/>
            </w:tcBorders>
            <w:noWrap/>
            <w:vAlign w:val="bottom"/>
            <w:hideMark/>
          </w:tcPr>
          <w:p w14:paraId="140128A1"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8.5%</w:t>
            </w:r>
          </w:p>
        </w:tc>
      </w:tr>
      <w:tr w:rsidR="00F16DF5" w:rsidRPr="006751AF" w14:paraId="05FE94E3" w14:textId="77777777" w:rsidTr="001E3E58">
        <w:trPr>
          <w:trHeight w:val="315"/>
          <w:jc w:val="center"/>
        </w:trPr>
        <w:tc>
          <w:tcPr>
            <w:tcW w:w="2100" w:type="dxa"/>
            <w:tcBorders>
              <w:top w:val="nil"/>
              <w:left w:val="single" w:sz="8" w:space="0" w:color="auto"/>
              <w:bottom w:val="single" w:sz="4" w:space="0" w:color="auto"/>
              <w:right w:val="single" w:sz="4" w:space="0" w:color="auto"/>
            </w:tcBorders>
            <w:noWrap/>
            <w:vAlign w:val="bottom"/>
            <w:hideMark/>
          </w:tcPr>
          <w:p w14:paraId="58C4A856"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LDR</w:t>
            </w:r>
          </w:p>
        </w:tc>
        <w:tc>
          <w:tcPr>
            <w:tcW w:w="1500" w:type="dxa"/>
            <w:tcBorders>
              <w:top w:val="nil"/>
              <w:left w:val="nil"/>
              <w:bottom w:val="single" w:sz="4" w:space="0" w:color="auto"/>
              <w:right w:val="single" w:sz="4" w:space="0" w:color="auto"/>
            </w:tcBorders>
            <w:noWrap/>
            <w:vAlign w:val="bottom"/>
            <w:hideMark/>
          </w:tcPr>
          <w:p w14:paraId="0B7ADF16"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82.6%</w:t>
            </w:r>
          </w:p>
        </w:tc>
        <w:tc>
          <w:tcPr>
            <w:tcW w:w="1500" w:type="dxa"/>
            <w:tcBorders>
              <w:top w:val="nil"/>
              <w:left w:val="nil"/>
              <w:bottom w:val="single" w:sz="4" w:space="0" w:color="auto"/>
              <w:right w:val="single" w:sz="4" w:space="0" w:color="auto"/>
            </w:tcBorders>
            <w:noWrap/>
            <w:vAlign w:val="bottom"/>
            <w:hideMark/>
          </w:tcPr>
          <w:p w14:paraId="03CCFB6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85.3%</w:t>
            </w:r>
          </w:p>
        </w:tc>
        <w:tc>
          <w:tcPr>
            <w:tcW w:w="1500" w:type="dxa"/>
            <w:tcBorders>
              <w:top w:val="nil"/>
              <w:left w:val="nil"/>
              <w:bottom w:val="single" w:sz="4" w:space="0" w:color="auto"/>
              <w:right w:val="single" w:sz="4" w:space="0" w:color="auto"/>
            </w:tcBorders>
            <w:noWrap/>
            <w:vAlign w:val="bottom"/>
            <w:hideMark/>
          </w:tcPr>
          <w:p w14:paraId="69D6536C"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79.8%</w:t>
            </w:r>
          </w:p>
        </w:tc>
        <w:tc>
          <w:tcPr>
            <w:tcW w:w="1500" w:type="dxa"/>
            <w:tcBorders>
              <w:top w:val="nil"/>
              <w:left w:val="nil"/>
              <w:bottom w:val="single" w:sz="4" w:space="0" w:color="auto"/>
              <w:right w:val="single" w:sz="8" w:space="0" w:color="auto"/>
            </w:tcBorders>
            <w:noWrap/>
            <w:vAlign w:val="bottom"/>
            <w:hideMark/>
          </w:tcPr>
          <w:p w14:paraId="5E4B335E"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78.5%</w:t>
            </w:r>
          </w:p>
        </w:tc>
      </w:tr>
      <w:tr w:rsidR="00F16DF5" w:rsidRPr="006751AF" w14:paraId="33691E79" w14:textId="77777777" w:rsidTr="001E3E58">
        <w:trPr>
          <w:trHeight w:val="330"/>
          <w:jc w:val="center"/>
        </w:trPr>
        <w:tc>
          <w:tcPr>
            <w:tcW w:w="2100" w:type="dxa"/>
            <w:tcBorders>
              <w:top w:val="nil"/>
              <w:left w:val="single" w:sz="8" w:space="0" w:color="auto"/>
              <w:bottom w:val="single" w:sz="8" w:space="0" w:color="auto"/>
              <w:right w:val="single" w:sz="4" w:space="0" w:color="auto"/>
            </w:tcBorders>
            <w:noWrap/>
            <w:vAlign w:val="bottom"/>
            <w:hideMark/>
          </w:tcPr>
          <w:p w14:paraId="12A285FC" w14:textId="77777777" w:rsidR="00F16DF5" w:rsidRPr="006751AF" w:rsidRDefault="00F16DF5" w:rsidP="001E3E58">
            <w:pPr>
              <w:spacing w:after="0" w:line="240" w:lineRule="auto"/>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Cost-to-Income</w:t>
            </w:r>
          </w:p>
        </w:tc>
        <w:tc>
          <w:tcPr>
            <w:tcW w:w="1500" w:type="dxa"/>
            <w:tcBorders>
              <w:top w:val="nil"/>
              <w:left w:val="nil"/>
              <w:bottom w:val="single" w:sz="8" w:space="0" w:color="auto"/>
              <w:right w:val="single" w:sz="4" w:space="0" w:color="auto"/>
            </w:tcBorders>
            <w:noWrap/>
            <w:vAlign w:val="bottom"/>
            <w:hideMark/>
          </w:tcPr>
          <w:p w14:paraId="7FFACCE4"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45.1%</w:t>
            </w:r>
          </w:p>
        </w:tc>
        <w:tc>
          <w:tcPr>
            <w:tcW w:w="1500" w:type="dxa"/>
            <w:tcBorders>
              <w:top w:val="nil"/>
              <w:left w:val="nil"/>
              <w:bottom w:val="single" w:sz="8" w:space="0" w:color="auto"/>
              <w:right w:val="single" w:sz="4" w:space="0" w:color="auto"/>
            </w:tcBorders>
            <w:noWrap/>
            <w:vAlign w:val="bottom"/>
            <w:hideMark/>
          </w:tcPr>
          <w:p w14:paraId="53933772"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42.8%</w:t>
            </w:r>
          </w:p>
        </w:tc>
        <w:tc>
          <w:tcPr>
            <w:tcW w:w="1500" w:type="dxa"/>
            <w:tcBorders>
              <w:top w:val="nil"/>
              <w:left w:val="nil"/>
              <w:bottom w:val="single" w:sz="8" w:space="0" w:color="auto"/>
              <w:right w:val="single" w:sz="4" w:space="0" w:color="auto"/>
            </w:tcBorders>
            <w:noWrap/>
            <w:vAlign w:val="bottom"/>
            <w:hideMark/>
          </w:tcPr>
          <w:p w14:paraId="51C2EA8D"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46.5%</w:t>
            </w:r>
          </w:p>
        </w:tc>
        <w:tc>
          <w:tcPr>
            <w:tcW w:w="1500" w:type="dxa"/>
            <w:tcBorders>
              <w:top w:val="nil"/>
              <w:left w:val="nil"/>
              <w:bottom w:val="single" w:sz="8" w:space="0" w:color="auto"/>
              <w:right w:val="single" w:sz="8" w:space="0" w:color="auto"/>
            </w:tcBorders>
            <w:noWrap/>
            <w:vAlign w:val="bottom"/>
            <w:hideMark/>
          </w:tcPr>
          <w:p w14:paraId="3DAD10C5" w14:textId="77777777" w:rsidR="00F16DF5" w:rsidRPr="006751AF" w:rsidRDefault="00F16DF5" w:rsidP="001E3E58">
            <w:pPr>
              <w:spacing w:after="0" w:line="240" w:lineRule="auto"/>
              <w:jc w:val="right"/>
              <w:rPr>
                <w:rFonts w:ascii="Times New Roman" w:eastAsia="Times New Roman" w:hAnsi="Times New Roman"/>
                <w:color w:val="000000"/>
                <w:sz w:val="24"/>
                <w:szCs w:val="24"/>
              </w:rPr>
            </w:pPr>
            <w:r w:rsidRPr="006751AF">
              <w:rPr>
                <w:rFonts w:ascii="Times New Roman" w:eastAsia="Times New Roman" w:hAnsi="Times New Roman"/>
                <w:color w:val="000000"/>
                <w:sz w:val="24"/>
                <w:szCs w:val="24"/>
              </w:rPr>
              <w:t>52.3%</w:t>
            </w:r>
          </w:p>
        </w:tc>
      </w:tr>
    </w:tbl>
    <w:p w14:paraId="62C2D7AE" w14:textId="77777777" w:rsidR="00F16DF5" w:rsidRPr="006751AF" w:rsidRDefault="00F16DF5" w:rsidP="00F16DF5">
      <w:pPr>
        <w:tabs>
          <w:tab w:val="left" w:pos="2813"/>
        </w:tabs>
        <w:spacing w:line="360" w:lineRule="auto"/>
        <w:jc w:val="both"/>
        <w:rPr>
          <w:rFonts w:ascii="Times New Roman" w:hAnsi="Times New Roman"/>
          <w:bCs/>
          <w:sz w:val="24"/>
          <w:szCs w:val="24"/>
        </w:rPr>
      </w:pPr>
      <w:r w:rsidRPr="006751AF">
        <w:rPr>
          <w:rFonts w:ascii="Times New Roman" w:hAnsi="Times New Roman"/>
          <w:b/>
          <w:bCs/>
          <w:sz w:val="24"/>
          <w:szCs w:val="24"/>
        </w:rPr>
        <w:lastRenderedPageBreak/>
        <w:t>Analysis:</w:t>
      </w:r>
    </w:p>
    <w:p w14:paraId="67D9123D" w14:textId="77777777" w:rsidR="00DD41CC" w:rsidRPr="00DD41CC" w:rsidRDefault="00DD41CC" w:rsidP="00DD41CC">
      <w:pPr>
        <w:pStyle w:val="ListParagraph"/>
        <w:numPr>
          <w:ilvl w:val="0"/>
          <w:numId w:val="35"/>
        </w:num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Competitive NPL</w:t>
      </w:r>
      <w:r w:rsidRPr="00DD41CC">
        <w:t> </w:t>
      </w:r>
      <w:r w:rsidRPr="00DD41CC">
        <w:rPr>
          <w:rFonts w:ascii="Times New Roman" w:hAnsi="Times New Roman"/>
          <w:bCs/>
          <w:sz w:val="24"/>
          <w:szCs w:val="24"/>
        </w:rPr>
        <w:t>ratio compared to peer banks and much better than the industry average for Dhaka Bank</w:t>
      </w:r>
    </w:p>
    <w:p w14:paraId="0D9D9ACF" w14:textId="77777777" w:rsidR="00DD41CC" w:rsidRPr="00DD41CC" w:rsidRDefault="00DD41CC" w:rsidP="00DD41CC">
      <w:pPr>
        <w:pStyle w:val="ListParagraph"/>
        <w:numPr>
          <w:ilvl w:val="0"/>
          <w:numId w:val="35"/>
        </w:num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Capital adequacy is</w:t>
      </w:r>
      <w:r w:rsidRPr="00DD41CC">
        <w:t> </w:t>
      </w:r>
      <w:r w:rsidRPr="00DD41CC">
        <w:rPr>
          <w:rFonts w:ascii="Times New Roman" w:hAnsi="Times New Roman"/>
          <w:bCs/>
          <w:sz w:val="24"/>
          <w:szCs w:val="24"/>
        </w:rPr>
        <w:t>high although marginally lower than BRAC Bank's ratios</w:t>
      </w:r>
    </w:p>
    <w:p w14:paraId="7248B935" w14:textId="77777777" w:rsidR="00DD41CC" w:rsidRPr="00DD41CC" w:rsidRDefault="00DD41CC" w:rsidP="00DD41CC">
      <w:pPr>
        <w:pStyle w:val="ListParagraph"/>
        <w:numPr>
          <w:ilvl w:val="0"/>
          <w:numId w:val="35"/>
        </w:num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Profitability ratios are sound,</w:t>
      </w:r>
      <w:r w:rsidRPr="00DD41CC">
        <w:t> </w:t>
      </w:r>
      <w:r w:rsidRPr="00DD41CC">
        <w:rPr>
          <w:rFonts w:ascii="Times New Roman" w:hAnsi="Times New Roman"/>
          <w:bCs/>
          <w:sz w:val="24"/>
          <w:szCs w:val="24"/>
        </w:rPr>
        <w:t>better than industry average, but below BRAC Bank</w:t>
      </w:r>
    </w:p>
    <w:p w14:paraId="6AF6276E" w14:textId="77777777" w:rsidR="00DD41CC" w:rsidRPr="00DD41CC" w:rsidRDefault="00DD41CC" w:rsidP="00DD41CC">
      <w:pPr>
        <w:pStyle w:val="ListParagraph"/>
        <w:numPr>
          <w:ilvl w:val="0"/>
          <w:numId w:val="35"/>
        </w:num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Liquidity</w:t>
      </w:r>
      <w:r w:rsidRPr="00DD41CC">
        <w:t> </w:t>
      </w:r>
      <w:r w:rsidRPr="00DD41CC">
        <w:rPr>
          <w:rFonts w:ascii="Times New Roman" w:hAnsi="Times New Roman"/>
          <w:bCs/>
          <w:sz w:val="24"/>
          <w:szCs w:val="24"/>
        </w:rPr>
        <w:t>Low risk appetite with LDR in peer average</w:t>
      </w:r>
    </w:p>
    <w:p w14:paraId="00538680" w14:textId="77777777" w:rsidR="00DD41CC" w:rsidRPr="00DD41CC" w:rsidRDefault="00DD41CC" w:rsidP="00DD41CC">
      <w:pPr>
        <w:pStyle w:val="ListParagraph"/>
        <w:numPr>
          <w:ilvl w:val="0"/>
          <w:numId w:val="35"/>
        </w:num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Operating</w:t>
      </w:r>
      <w:r w:rsidRPr="00DD41CC">
        <w:t> </w:t>
      </w:r>
      <w:r w:rsidRPr="00DD41CC">
        <w:rPr>
          <w:rFonts w:ascii="Times New Roman" w:hAnsi="Times New Roman"/>
          <w:bCs/>
          <w:sz w:val="24"/>
          <w:szCs w:val="24"/>
        </w:rPr>
        <w:t>efficiency is strong, with costs as a percentage of income lower than the industry average.</w:t>
      </w:r>
    </w:p>
    <w:p w14:paraId="1F5B8065" w14:textId="77777777" w:rsidR="00DD41CC" w:rsidRPr="00DD41CC" w:rsidRDefault="00DD41CC" w:rsidP="00DD41CC">
      <w:pPr>
        <w:tabs>
          <w:tab w:val="left" w:pos="2813"/>
        </w:tabs>
        <w:spacing w:line="360" w:lineRule="auto"/>
        <w:jc w:val="both"/>
        <w:rPr>
          <w:rFonts w:ascii="Times New Roman" w:hAnsi="Times New Roman"/>
          <w:bCs/>
          <w:sz w:val="24"/>
          <w:szCs w:val="24"/>
        </w:rPr>
      </w:pPr>
      <w:r w:rsidRPr="00DD41CC">
        <w:rPr>
          <w:rFonts w:ascii="Times New Roman" w:hAnsi="Times New Roman"/>
          <w:bCs/>
          <w:sz w:val="24"/>
          <w:szCs w:val="24"/>
        </w:rPr>
        <w:t>The bank’s overall risk-return profile is considered adequate as it ranks among the better-managed banks in Bangladesh, being one of the stronger private commercial</w:t>
      </w:r>
      <w:r w:rsidRPr="00DD41CC">
        <w:rPr>
          <w:rFonts w:ascii="Times New Roman" w:hAnsi="Times New Roman"/>
          <w:bCs/>
          <w:sz w:val="24"/>
          <w:szCs w:val="24"/>
        </w:rPr>
        <w:t> </w:t>
      </w:r>
      <w:r w:rsidRPr="00DD41CC">
        <w:rPr>
          <w:rFonts w:ascii="Times New Roman" w:hAnsi="Times New Roman"/>
          <w:bCs/>
          <w:sz w:val="24"/>
          <w:szCs w:val="24"/>
        </w:rPr>
        <w:t>banks.</w:t>
      </w:r>
    </w:p>
    <w:p w14:paraId="14595665" w14:textId="77777777" w:rsidR="00C81513" w:rsidRDefault="00C81513" w:rsidP="00F16DF5">
      <w:pPr>
        <w:tabs>
          <w:tab w:val="left" w:pos="2813"/>
        </w:tabs>
        <w:spacing w:line="360" w:lineRule="auto"/>
        <w:jc w:val="both"/>
        <w:rPr>
          <w:rFonts w:ascii="Times New Roman" w:hAnsi="Times New Roman"/>
          <w:bCs/>
          <w:sz w:val="24"/>
          <w:szCs w:val="24"/>
        </w:rPr>
      </w:pPr>
    </w:p>
    <w:p w14:paraId="42542F4B" w14:textId="77777777" w:rsidR="00C81513" w:rsidRDefault="00C81513" w:rsidP="00F16DF5">
      <w:pPr>
        <w:tabs>
          <w:tab w:val="left" w:pos="2813"/>
        </w:tabs>
        <w:spacing w:line="360" w:lineRule="auto"/>
        <w:jc w:val="both"/>
        <w:rPr>
          <w:rFonts w:ascii="Times New Roman" w:hAnsi="Times New Roman"/>
          <w:bCs/>
          <w:sz w:val="24"/>
          <w:szCs w:val="24"/>
        </w:rPr>
      </w:pPr>
    </w:p>
    <w:p w14:paraId="32A7187A" w14:textId="77777777" w:rsidR="00C81513" w:rsidRDefault="00C81513" w:rsidP="00F16DF5">
      <w:pPr>
        <w:tabs>
          <w:tab w:val="left" w:pos="2813"/>
        </w:tabs>
        <w:spacing w:line="360" w:lineRule="auto"/>
        <w:jc w:val="both"/>
        <w:rPr>
          <w:rFonts w:ascii="Times New Roman" w:hAnsi="Times New Roman"/>
          <w:bCs/>
          <w:sz w:val="24"/>
          <w:szCs w:val="24"/>
        </w:rPr>
      </w:pPr>
    </w:p>
    <w:p w14:paraId="4F62DE0E" w14:textId="77777777" w:rsidR="00C81513" w:rsidRDefault="00C81513" w:rsidP="00F16DF5">
      <w:pPr>
        <w:tabs>
          <w:tab w:val="left" w:pos="2813"/>
        </w:tabs>
        <w:spacing w:line="360" w:lineRule="auto"/>
        <w:jc w:val="both"/>
        <w:rPr>
          <w:rFonts w:ascii="Times New Roman" w:hAnsi="Times New Roman"/>
          <w:bCs/>
          <w:sz w:val="24"/>
          <w:szCs w:val="24"/>
        </w:rPr>
      </w:pPr>
    </w:p>
    <w:p w14:paraId="1EEDA1D8" w14:textId="77777777" w:rsidR="00C81513" w:rsidRDefault="00C81513" w:rsidP="00F16DF5">
      <w:pPr>
        <w:tabs>
          <w:tab w:val="left" w:pos="2813"/>
        </w:tabs>
        <w:spacing w:line="360" w:lineRule="auto"/>
        <w:jc w:val="both"/>
        <w:rPr>
          <w:rFonts w:ascii="Times New Roman" w:hAnsi="Times New Roman"/>
          <w:bCs/>
          <w:sz w:val="24"/>
          <w:szCs w:val="24"/>
        </w:rPr>
      </w:pPr>
    </w:p>
    <w:p w14:paraId="1D669E62" w14:textId="77777777" w:rsidR="00C81513" w:rsidRDefault="00C81513" w:rsidP="00F16DF5">
      <w:pPr>
        <w:tabs>
          <w:tab w:val="left" w:pos="2813"/>
        </w:tabs>
        <w:spacing w:line="360" w:lineRule="auto"/>
        <w:jc w:val="both"/>
        <w:rPr>
          <w:rFonts w:ascii="Times New Roman" w:hAnsi="Times New Roman"/>
          <w:bCs/>
          <w:sz w:val="24"/>
          <w:szCs w:val="24"/>
        </w:rPr>
      </w:pPr>
    </w:p>
    <w:p w14:paraId="04D6D0F3" w14:textId="77777777" w:rsidR="00C81513" w:rsidRDefault="00C81513" w:rsidP="00F16DF5">
      <w:pPr>
        <w:tabs>
          <w:tab w:val="left" w:pos="2813"/>
        </w:tabs>
        <w:spacing w:line="360" w:lineRule="auto"/>
        <w:jc w:val="both"/>
        <w:rPr>
          <w:rFonts w:ascii="Times New Roman" w:hAnsi="Times New Roman"/>
          <w:bCs/>
          <w:sz w:val="24"/>
          <w:szCs w:val="24"/>
        </w:rPr>
      </w:pPr>
    </w:p>
    <w:p w14:paraId="401AA85C" w14:textId="77777777" w:rsidR="00C81513" w:rsidRDefault="00C81513" w:rsidP="00F16DF5">
      <w:pPr>
        <w:tabs>
          <w:tab w:val="left" w:pos="2813"/>
        </w:tabs>
        <w:spacing w:line="360" w:lineRule="auto"/>
        <w:jc w:val="both"/>
        <w:rPr>
          <w:rFonts w:ascii="Times New Roman" w:hAnsi="Times New Roman"/>
          <w:bCs/>
          <w:sz w:val="24"/>
          <w:szCs w:val="24"/>
        </w:rPr>
      </w:pPr>
    </w:p>
    <w:p w14:paraId="59B9A018" w14:textId="77777777" w:rsidR="00C81513" w:rsidRDefault="00C81513" w:rsidP="00F16DF5">
      <w:pPr>
        <w:tabs>
          <w:tab w:val="left" w:pos="2813"/>
        </w:tabs>
        <w:spacing w:line="360" w:lineRule="auto"/>
        <w:jc w:val="both"/>
        <w:rPr>
          <w:rFonts w:ascii="Times New Roman" w:hAnsi="Times New Roman"/>
          <w:bCs/>
          <w:sz w:val="24"/>
          <w:szCs w:val="24"/>
        </w:rPr>
      </w:pPr>
    </w:p>
    <w:p w14:paraId="413FAE48" w14:textId="77777777" w:rsidR="00C81513" w:rsidRDefault="00C81513" w:rsidP="00F16DF5">
      <w:pPr>
        <w:tabs>
          <w:tab w:val="left" w:pos="2813"/>
        </w:tabs>
        <w:spacing w:line="360" w:lineRule="auto"/>
        <w:jc w:val="both"/>
        <w:rPr>
          <w:rFonts w:ascii="Times New Roman" w:hAnsi="Times New Roman"/>
          <w:bCs/>
          <w:sz w:val="24"/>
          <w:szCs w:val="24"/>
        </w:rPr>
      </w:pPr>
    </w:p>
    <w:p w14:paraId="430DD9C5" w14:textId="77777777" w:rsidR="005A1438" w:rsidRDefault="005A1438" w:rsidP="00F16DF5">
      <w:pPr>
        <w:tabs>
          <w:tab w:val="left" w:pos="2813"/>
        </w:tabs>
        <w:spacing w:line="360" w:lineRule="auto"/>
        <w:jc w:val="both"/>
        <w:rPr>
          <w:rFonts w:ascii="Times New Roman" w:hAnsi="Times New Roman"/>
          <w:bCs/>
          <w:sz w:val="24"/>
          <w:szCs w:val="24"/>
        </w:rPr>
      </w:pPr>
    </w:p>
    <w:p w14:paraId="05683DB3" w14:textId="77777777" w:rsidR="005A1438" w:rsidRDefault="005A1438" w:rsidP="00F16DF5">
      <w:pPr>
        <w:tabs>
          <w:tab w:val="left" w:pos="2813"/>
        </w:tabs>
        <w:spacing w:line="360" w:lineRule="auto"/>
        <w:jc w:val="both"/>
        <w:rPr>
          <w:rFonts w:ascii="Times New Roman" w:hAnsi="Times New Roman"/>
          <w:bCs/>
          <w:sz w:val="24"/>
          <w:szCs w:val="24"/>
        </w:rPr>
      </w:pPr>
    </w:p>
    <w:p w14:paraId="0B13BB6C" w14:textId="77777777" w:rsidR="00C81513" w:rsidRDefault="00C81513" w:rsidP="00C81513">
      <w:pPr>
        <w:rPr>
          <w:rFonts w:asciiTheme="majorHAnsi" w:eastAsiaTheme="majorEastAsia" w:hAnsiTheme="majorHAnsi" w:cstheme="majorBidi"/>
          <w:color w:val="000000" w:themeColor="text1"/>
          <w:spacing w:val="5"/>
          <w:kern w:val="28"/>
          <w:sz w:val="52"/>
          <w:szCs w:val="52"/>
        </w:rPr>
      </w:pPr>
    </w:p>
    <w:p w14:paraId="0F09C4FA" w14:textId="77777777" w:rsidR="00C81513" w:rsidRDefault="00C81513" w:rsidP="00C81513">
      <w:pPr>
        <w:rPr>
          <w:rFonts w:asciiTheme="majorHAnsi" w:eastAsiaTheme="majorEastAsia" w:hAnsiTheme="majorHAnsi" w:cstheme="majorBidi"/>
          <w:color w:val="000000" w:themeColor="text1"/>
          <w:spacing w:val="5"/>
          <w:kern w:val="28"/>
          <w:sz w:val="52"/>
          <w:szCs w:val="52"/>
        </w:rPr>
      </w:pPr>
    </w:p>
    <w:p w14:paraId="04D65AC7" w14:textId="77777777" w:rsidR="00C81513" w:rsidRPr="00C81513" w:rsidRDefault="00C81513" w:rsidP="00C81513"/>
    <w:p w14:paraId="2E65415C" w14:textId="77777777" w:rsidR="005A1438" w:rsidRDefault="005A1438" w:rsidP="005A1438">
      <w:pPr>
        <w:pStyle w:val="Title"/>
        <w:rPr>
          <w:color w:val="000000" w:themeColor="text1"/>
        </w:rPr>
      </w:pPr>
    </w:p>
    <w:p w14:paraId="7D8941AE" w14:textId="77777777" w:rsidR="00217E68" w:rsidRDefault="00217E68" w:rsidP="005A1438">
      <w:pPr>
        <w:pStyle w:val="Title"/>
        <w:rPr>
          <w:color w:val="000000" w:themeColor="text1"/>
        </w:rPr>
      </w:pPr>
    </w:p>
    <w:p w14:paraId="15A9B98F" w14:textId="77777777" w:rsidR="005A1438" w:rsidRPr="005A1438" w:rsidRDefault="005A1438" w:rsidP="005A1438">
      <w:pPr>
        <w:pStyle w:val="Title"/>
        <w:rPr>
          <w:color w:val="000000" w:themeColor="text1"/>
        </w:rPr>
      </w:pPr>
      <w:r w:rsidRPr="005A1438">
        <w:rPr>
          <w:color w:val="000000" w:themeColor="text1"/>
        </w:rPr>
        <w:t>CHAPTER: V</w:t>
      </w:r>
    </w:p>
    <w:p w14:paraId="2B40547A" w14:textId="77777777" w:rsidR="005A1438" w:rsidRPr="005A1438" w:rsidRDefault="005A1438" w:rsidP="005A1438">
      <w:pPr>
        <w:pStyle w:val="Title"/>
        <w:rPr>
          <w:color w:val="0070C0"/>
        </w:rPr>
      </w:pPr>
      <w:r w:rsidRPr="005A1438">
        <w:rPr>
          <w:color w:val="0070C0"/>
        </w:rPr>
        <w:t>CONCLUSIONS AND KEY FACTS</w:t>
      </w:r>
    </w:p>
    <w:p w14:paraId="5DF5A8A1" w14:textId="77777777" w:rsidR="00F16DF5" w:rsidRDefault="00F16DF5" w:rsidP="005A1438"/>
    <w:p w14:paraId="3453204D" w14:textId="77777777" w:rsidR="005A1438" w:rsidRDefault="005A1438" w:rsidP="005A1438"/>
    <w:p w14:paraId="740AEE74" w14:textId="77777777" w:rsidR="005A1438" w:rsidRDefault="005A1438" w:rsidP="005A1438"/>
    <w:p w14:paraId="626AD917" w14:textId="77777777" w:rsidR="005A1438" w:rsidRDefault="005A1438" w:rsidP="005A1438"/>
    <w:p w14:paraId="3817386C" w14:textId="77777777" w:rsidR="005A1438" w:rsidRDefault="005A1438" w:rsidP="005A1438"/>
    <w:p w14:paraId="6DDC64BE" w14:textId="77777777" w:rsidR="005A1438" w:rsidRDefault="005A1438" w:rsidP="005A1438"/>
    <w:p w14:paraId="3B11C13D" w14:textId="77777777" w:rsidR="005A1438" w:rsidRDefault="005A1438" w:rsidP="005A1438"/>
    <w:p w14:paraId="332F1083" w14:textId="77777777" w:rsidR="005A1438" w:rsidRDefault="005A1438" w:rsidP="005A1438"/>
    <w:p w14:paraId="2F9932C7" w14:textId="77777777" w:rsidR="005A1438" w:rsidRDefault="005A1438" w:rsidP="005A1438"/>
    <w:p w14:paraId="233DD72F" w14:textId="77777777" w:rsidR="005A1438" w:rsidRDefault="005A1438" w:rsidP="005A1438"/>
    <w:p w14:paraId="1674E637" w14:textId="77777777" w:rsidR="005A1438" w:rsidRDefault="005A1438" w:rsidP="005A1438"/>
    <w:p w14:paraId="1DB0920A" w14:textId="77777777" w:rsidR="005A1438" w:rsidRDefault="005A1438" w:rsidP="005A1438"/>
    <w:p w14:paraId="19DF5D1B" w14:textId="77777777" w:rsidR="005A1438" w:rsidRDefault="005A1438" w:rsidP="005A1438"/>
    <w:p w14:paraId="290395A0" w14:textId="77777777" w:rsidR="00495296" w:rsidRDefault="00495296" w:rsidP="005A1438"/>
    <w:p w14:paraId="098FD32D" w14:textId="77777777" w:rsidR="00C25A69" w:rsidRDefault="00C25A69" w:rsidP="005A1438"/>
    <w:p w14:paraId="6DA513BA" w14:textId="77777777" w:rsidR="005A1438" w:rsidRPr="00D77C53" w:rsidRDefault="005A1438" w:rsidP="00C81513">
      <w:pPr>
        <w:pStyle w:val="Heading1"/>
        <w:jc w:val="left"/>
        <w:rPr>
          <w:rFonts w:ascii="Times New Roman" w:hAnsi="Times New Roman" w:cs="Times New Roman"/>
          <w:sz w:val="28"/>
        </w:rPr>
      </w:pPr>
      <w:bookmarkStart w:id="61" w:name="_Toc214949053"/>
      <w:r w:rsidRPr="00D77C53">
        <w:rPr>
          <w:rFonts w:ascii="Times New Roman" w:hAnsi="Times New Roman" w:cs="Times New Roman"/>
          <w:sz w:val="28"/>
        </w:rPr>
        <w:lastRenderedPageBreak/>
        <w:t>5.1 Recommendations</w:t>
      </w:r>
      <w:bookmarkEnd w:id="61"/>
    </w:p>
    <w:p w14:paraId="70F2B11E" w14:textId="77777777" w:rsidR="00181E08" w:rsidRPr="005A1438" w:rsidRDefault="00181E08" w:rsidP="005A1438">
      <w:pPr>
        <w:spacing w:before="100" w:beforeAutospacing="1" w:after="100" w:afterAutospacing="1" w:line="240" w:lineRule="auto"/>
        <w:outlineLvl w:val="2"/>
        <w:rPr>
          <w:rFonts w:ascii="Times New Roman" w:eastAsia="Times New Roman" w:hAnsi="Times New Roman"/>
          <w:b/>
          <w:bCs/>
          <w:sz w:val="27"/>
          <w:szCs w:val="27"/>
        </w:rPr>
      </w:pPr>
    </w:p>
    <w:p w14:paraId="2981B121" w14:textId="77777777" w:rsidR="00D77C53" w:rsidRPr="00D77C53" w:rsidRDefault="00181E08" w:rsidP="00D77C53">
      <w:pPr>
        <w:spacing w:before="100" w:beforeAutospacing="1" w:after="100" w:afterAutospacing="1" w:line="360" w:lineRule="auto"/>
        <w:jc w:val="both"/>
        <w:rPr>
          <w:rFonts w:ascii="Times New Roman" w:eastAsia="Times New Roman" w:hAnsi="Times New Roman"/>
          <w:sz w:val="24"/>
          <w:szCs w:val="24"/>
        </w:rPr>
      </w:pPr>
      <w:r>
        <w:rPr>
          <w:rFonts w:ascii="Times New Roman" w:eastAsia="Times New Roman" w:hAnsi="Times New Roman"/>
          <w:b/>
          <w:bCs/>
          <w:sz w:val="24"/>
          <w:szCs w:val="24"/>
        </w:rPr>
        <w:t xml:space="preserve">1. </w:t>
      </w:r>
      <w:r w:rsidR="005A1438" w:rsidRPr="005A1438">
        <w:rPr>
          <w:rFonts w:ascii="Times New Roman" w:eastAsia="Times New Roman" w:hAnsi="Times New Roman"/>
          <w:b/>
          <w:bCs/>
          <w:sz w:val="24"/>
          <w:szCs w:val="24"/>
        </w:rPr>
        <w:t>Enhance Credit Risk Management</w:t>
      </w:r>
      <w:r w:rsidR="005A1438" w:rsidRPr="005A1438">
        <w:rPr>
          <w:rFonts w:ascii="Times New Roman" w:eastAsia="Times New Roman" w:hAnsi="Times New Roman"/>
          <w:sz w:val="24"/>
          <w:szCs w:val="24"/>
        </w:rPr>
        <w:t xml:space="preserve">: </w:t>
      </w:r>
      <w:r w:rsidR="00D77C53" w:rsidRPr="00D77C53">
        <w:rPr>
          <w:rFonts w:ascii="Times New Roman" w:eastAsia="Times New Roman" w:hAnsi="Times New Roman"/>
          <w:sz w:val="24"/>
          <w:szCs w:val="24"/>
        </w:rPr>
        <w:t>Dhaka Bank PLC needs to enhance its credit assessment with the utilization of more</w:t>
      </w:r>
      <w:r w:rsidR="00D77C53" w:rsidRPr="00D77C53">
        <w:rPr>
          <w:rFonts w:ascii="Times New Roman" w:eastAsia="Times New Roman" w:hAnsi="Times New Roman"/>
          <w:sz w:val="24"/>
          <w:szCs w:val="24"/>
        </w:rPr>
        <w:t> </w:t>
      </w:r>
      <w:r w:rsidR="00D77C53" w:rsidRPr="00D77C53">
        <w:rPr>
          <w:rFonts w:ascii="Times New Roman" w:eastAsia="Times New Roman" w:hAnsi="Times New Roman"/>
          <w:sz w:val="24"/>
          <w:szCs w:val="24"/>
        </w:rPr>
        <w:t>advanced analytics and risk models, due to increasing NPLs. An artificial intelligence would’ve been</w:t>
      </w:r>
      <w:r w:rsidR="00D77C53" w:rsidRPr="00D77C53">
        <w:rPr>
          <w:rFonts w:ascii="Times New Roman" w:eastAsia="Times New Roman" w:hAnsi="Times New Roman"/>
          <w:sz w:val="24"/>
          <w:szCs w:val="24"/>
        </w:rPr>
        <w:t> </w:t>
      </w:r>
      <w:r w:rsidR="00D77C53" w:rsidRPr="00D77C53">
        <w:rPr>
          <w:rFonts w:ascii="Times New Roman" w:eastAsia="Times New Roman" w:hAnsi="Times New Roman"/>
          <w:sz w:val="24"/>
          <w:szCs w:val="24"/>
        </w:rPr>
        <w:t>implemented to enhance the credit risk rating model, and consequently give a more accurate evaluation of the borrowers.</w:t>
      </w:r>
    </w:p>
    <w:p w14:paraId="6F7501BF" w14:textId="77777777" w:rsidR="00D77C53" w:rsidRPr="00D77C53" w:rsidRDefault="00181E08" w:rsidP="00D77C53">
      <w:pPr>
        <w:spacing w:before="100" w:beforeAutospacing="1" w:after="100" w:afterAutospacing="1" w:line="360" w:lineRule="auto"/>
        <w:jc w:val="both"/>
        <w:rPr>
          <w:rFonts w:ascii="Times New Roman" w:eastAsia="Times New Roman" w:hAnsi="Times New Roman"/>
          <w:sz w:val="24"/>
          <w:szCs w:val="24"/>
        </w:rPr>
      </w:pPr>
      <w:r>
        <w:rPr>
          <w:rFonts w:ascii="Times New Roman" w:eastAsia="Times New Roman" w:hAnsi="Times New Roman"/>
          <w:b/>
          <w:bCs/>
          <w:sz w:val="24"/>
          <w:szCs w:val="24"/>
        </w:rPr>
        <w:t xml:space="preserve">2. </w:t>
      </w:r>
      <w:r w:rsidR="005A1438" w:rsidRPr="005A1438">
        <w:rPr>
          <w:rFonts w:ascii="Times New Roman" w:eastAsia="Times New Roman" w:hAnsi="Times New Roman"/>
          <w:b/>
          <w:bCs/>
          <w:sz w:val="24"/>
          <w:szCs w:val="24"/>
        </w:rPr>
        <w:t>Focus on Digitalization</w:t>
      </w:r>
      <w:r w:rsidR="005A1438" w:rsidRPr="005A1438">
        <w:rPr>
          <w:rFonts w:ascii="Times New Roman" w:eastAsia="Times New Roman" w:hAnsi="Times New Roman"/>
          <w:sz w:val="24"/>
          <w:szCs w:val="24"/>
        </w:rPr>
        <w:t xml:space="preserve">: </w:t>
      </w:r>
      <w:r w:rsidR="00D77C53" w:rsidRPr="00D77C53">
        <w:rPr>
          <w:rFonts w:ascii="Times New Roman" w:eastAsia="Times New Roman" w:hAnsi="Times New Roman"/>
          <w:sz w:val="24"/>
          <w:szCs w:val="24"/>
        </w:rPr>
        <w:t>In</w:t>
      </w:r>
      <w:r w:rsidR="00D77C53" w:rsidRPr="00D77C53">
        <w:rPr>
          <w:rFonts w:ascii="Times New Roman" w:eastAsia="Times New Roman" w:hAnsi="Times New Roman"/>
          <w:sz w:val="24"/>
          <w:szCs w:val="24"/>
        </w:rPr>
        <w:t> </w:t>
      </w:r>
      <w:r w:rsidR="00D77C53" w:rsidRPr="00D77C53">
        <w:rPr>
          <w:rFonts w:ascii="Times New Roman" w:eastAsia="Times New Roman" w:hAnsi="Times New Roman"/>
          <w:sz w:val="24"/>
          <w:szCs w:val="24"/>
        </w:rPr>
        <w:t>their quest to win market share of digital customers they have, Dhaka bank need to enhance its digital banking infrastructure especially focusing on Mobile and online banking as like matured banks are moving toward digital solution.</w:t>
      </w:r>
    </w:p>
    <w:p w14:paraId="76D0F684" w14:textId="77777777" w:rsidR="00D77C53" w:rsidRPr="00D77C53" w:rsidRDefault="00181E08" w:rsidP="00D77C53">
      <w:pPr>
        <w:spacing w:before="100" w:beforeAutospacing="1" w:after="100" w:afterAutospacing="1" w:line="360" w:lineRule="auto"/>
        <w:jc w:val="both"/>
        <w:rPr>
          <w:rFonts w:ascii="Times New Roman" w:eastAsia="Times New Roman" w:hAnsi="Times New Roman"/>
          <w:sz w:val="24"/>
          <w:szCs w:val="24"/>
        </w:rPr>
      </w:pPr>
      <w:r>
        <w:rPr>
          <w:rFonts w:ascii="Times New Roman" w:eastAsia="Times New Roman" w:hAnsi="Times New Roman"/>
          <w:b/>
          <w:bCs/>
          <w:sz w:val="24"/>
          <w:szCs w:val="24"/>
        </w:rPr>
        <w:t xml:space="preserve">3. </w:t>
      </w:r>
      <w:r w:rsidR="005A1438" w:rsidRPr="005A1438">
        <w:rPr>
          <w:rFonts w:ascii="Times New Roman" w:eastAsia="Times New Roman" w:hAnsi="Times New Roman"/>
          <w:b/>
          <w:bCs/>
          <w:sz w:val="24"/>
          <w:szCs w:val="24"/>
        </w:rPr>
        <w:t>Strengthen Liquidity Management</w:t>
      </w:r>
      <w:r w:rsidR="005A1438" w:rsidRPr="005A1438">
        <w:rPr>
          <w:rFonts w:ascii="Times New Roman" w:eastAsia="Times New Roman" w:hAnsi="Times New Roman"/>
          <w:sz w:val="24"/>
          <w:szCs w:val="24"/>
        </w:rPr>
        <w:t xml:space="preserve">: </w:t>
      </w:r>
      <w:r w:rsidR="00D77C53" w:rsidRPr="00D77C53">
        <w:rPr>
          <w:rFonts w:ascii="Times New Roman" w:eastAsia="Times New Roman" w:hAnsi="Times New Roman"/>
          <w:sz w:val="24"/>
          <w:szCs w:val="24"/>
        </w:rPr>
        <w:t>WHB has strong liquidity ratios (135% in terms of LCR, as at end-2023), but the bank needs to remain nimble amid</w:t>
      </w:r>
      <w:r w:rsidR="00D77C53" w:rsidRPr="00D77C53">
        <w:rPr>
          <w:rFonts w:ascii="Times New Roman" w:eastAsia="Times New Roman" w:hAnsi="Times New Roman"/>
          <w:sz w:val="24"/>
          <w:szCs w:val="24"/>
        </w:rPr>
        <w:t> </w:t>
      </w:r>
      <w:r w:rsidR="00D77C53" w:rsidRPr="00D77C53">
        <w:rPr>
          <w:rFonts w:ascii="Times New Roman" w:eastAsia="Times New Roman" w:hAnsi="Times New Roman"/>
          <w:sz w:val="24"/>
          <w:szCs w:val="24"/>
        </w:rPr>
        <w:t>market volatilities. The acquisition of an agile liquidity management structure</w:t>
      </w:r>
      <w:r w:rsidR="00D77C53" w:rsidRPr="00D77C53">
        <w:rPr>
          <w:rFonts w:ascii="Times New Roman" w:eastAsia="Times New Roman" w:hAnsi="Times New Roman"/>
          <w:sz w:val="24"/>
          <w:szCs w:val="24"/>
        </w:rPr>
        <w:t> </w:t>
      </w:r>
      <w:r w:rsidR="00D77C53" w:rsidRPr="00D77C53">
        <w:rPr>
          <w:rFonts w:ascii="Times New Roman" w:eastAsia="Times New Roman" w:hAnsi="Times New Roman"/>
          <w:sz w:val="24"/>
          <w:szCs w:val="24"/>
        </w:rPr>
        <w:t>that can rapidly adjust to market movement and internal needs would be a strengthening of the bank’s balance sheet.</w:t>
      </w:r>
    </w:p>
    <w:p w14:paraId="498E2927" w14:textId="77777777" w:rsidR="000E2A7B" w:rsidRPr="000E2A7B" w:rsidRDefault="00181E08" w:rsidP="000E2A7B">
      <w:pPr>
        <w:spacing w:before="100" w:beforeAutospacing="1" w:after="100" w:afterAutospacing="1" w:line="360" w:lineRule="auto"/>
        <w:jc w:val="both"/>
        <w:rPr>
          <w:rFonts w:ascii="Times New Roman" w:eastAsia="Times New Roman" w:hAnsi="Times New Roman"/>
          <w:sz w:val="24"/>
          <w:szCs w:val="24"/>
        </w:rPr>
      </w:pPr>
      <w:r>
        <w:rPr>
          <w:rFonts w:ascii="Times New Roman" w:eastAsia="Times New Roman" w:hAnsi="Times New Roman"/>
          <w:b/>
          <w:bCs/>
          <w:sz w:val="24"/>
          <w:szCs w:val="24"/>
        </w:rPr>
        <w:t xml:space="preserve">4. </w:t>
      </w:r>
      <w:r w:rsidR="005A1438" w:rsidRPr="005A1438">
        <w:rPr>
          <w:rFonts w:ascii="Times New Roman" w:eastAsia="Times New Roman" w:hAnsi="Times New Roman"/>
          <w:b/>
          <w:bCs/>
          <w:sz w:val="24"/>
          <w:szCs w:val="24"/>
        </w:rPr>
        <w:t>Diversification of Loan Portfolio</w:t>
      </w:r>
      <w:r w:rsidR="005A1438" w:rsidRPr="005A1438">
        <w:rPr>
          <w:rFonts w:ascii="Times New Roman" w:eastAsia="Times New Roman" w:hAnsi="Times New Roman"/>
          <w:sz w:val="24"/>
          <w:szCs w:val="24"/>
        </w:rPr>
        <w:t xml:space="preserve">: </w:t>
      </w:r>
      <w:r w:rsidR="000E2A7B" w:rsidRPr="000E2A7B">
        <w:rPr>
          <w:rFonts w:ascii="Times New Roman" w:eastAsia="Times New Roman" w:hAnsi="Times New Roman"/>
          <w:sz w:val="24"/>
          <w:szCs w:val="24"/>
        </w:rPr>
        <w:t>Dhaka Bank should increase its loan diversification in the upcoming</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days, especially while focusing on sectors which are showing robustness and potential growth avenues such as SMEs, agriculture and green finance. Continued focus on SME financing may be well-placed given the</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country's economic advancement.</w:t>
      </w:r>
    </w:p>
    <w:p w14:paraId="6DCD991A" w14:textId="77777777" w:rsidR="000E2A7B" w:rsidRPr="000E2A7B" w:rsidRDefault="00181E08" w:rsidP="000E2A7B">
      <w:pPr>
        <w:spacing w:before="100" w:beforeAutospacing="1" w:after="100" w:afterAutospacing="1" w:line="360" w:lineRule="auto"/>
        <w:jc w:val="both"/>
        <w:rPr>
          <w:rFonts w:ascii="Times New Roman" w:eastAsia="Times New Roman" w:hAnsi="Times New Roman"/>
          <w:sz w:val="24"/>
          <w:szCs w:val="24"/>
        </w:rPr>
      </w:pPr>
      <w:r>
        <w:rPr>
          <w:rFonts w:ascii="Times New Roman" w:eastAsia="Times New Roman" w:hAnsi="Times New Roman"/>
          <w:b/>
          <w:bCs/>
          <w:sz w:val="24"/>
          <w:szCs w:val="24"/>
        </w:rPr>
        <w:t xml:space="preserve">5. </w:t>
      </w:r>
      <w:r w:rsidR="005A1438" w:rsidRPr="005A1438">
        <w:rPr>
          <w:rFonts w:ascii="Times New Roman" w:eastAsia="Times New Roman" w:hAnsi="Times New Roman"/>
          <w:b/>
          <w:bCs/>
          <w:sz w:val="24"/>
          <w:szCs w:val="24"/>
        </w:rPr>
        <w:t>Risk Culture and Training</w:t>
      </w:r>
      <w:r w:rsidR="005A1438" w:rsidRPr="005A1438">
        <w:rPr>
          <w:rFonts w:ascii="Times New Roman" w:eastAsia="Times New Roman" w:hAnsi="Times New Roman"/>
          <w:sz w:val="24"/>
          <w:szCs w:val="24"/>
        </w:rPr>
        <w:t xml:space="preserve">: </w:t>
      </w:r>
      <w:r w:rsidR="000E2A7B" w:rsidRPr="000E2A7B">
        <w:rPr>
          <w:rFonts w:ascii="Times New Roman" w:eastAsia="Times New Roman" w:hAnsi="Times New Roman"/>
          <w:sz w:val="24"/>
          <w:szCs w:val="24"/>
        </w:rPr>
        <w:t>Building the bank’s risk management culture across all units and continuous risk assessment, cyber threat, regulatory compliance training of staff would further increase</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overall risk resilience.</w:t>
      </w:r>
    </w:p>
    <w:p w14:paraId="037775C8" w14:textId="77777777" w:rsidR="005A1438" w:rsidRDefault="005A1438" w:rsidP="00D77C53">
      <w:pPr>
        <w:spacing w:before="100" w:beforeAutospacing="1" w:after="100" w:afterAutospacing="1" w:line="360" w:lineRule="auto"/>
        <w:jc w:val="both"/>
        <w:rPr>
          <w:rFonts w:ascii="Times New Roman" w:eastAsia="Times New Roman" w:hAnsi="Times New Roman"/>
          <w:sz w:val="24"/>
          <w:szCs w:val="24"/>
        </w:rPr>
      </w:pPr>
    </w:p>
    <w:p w14:paraId="18EE2C89" w14:textId="77777777" w:rsidR="00181E08" w:rsidRDefault="00181E08" w:rsidP="00181E08">
      <w:pPr>
        <w:spacing w:before="100" w:beforeAutospacing="1" w:after="0" w:afterAutospacing="1" w:line="360" w:lineRule="auto"/>
        <w:jc w:val="both"/>
        <w:rPr>
          <w:rFonts w:ascii="Times New Roman" w:eastAsia="Times New Roman" w:hAnsi="Times New Roman"/>
          <w:sz w:val="24"/>
          <w:szCs w:val="24"/>
        </w:rPr>
      </w:pPr>
    </w:p>
    <w:p w14:paraId="042F4410" w14:textId="77777777" w:rsidR="00181E08" w:rsidRDefault="00181E08" w:rsidP="00181E08">
      <w:pPr>
        <w:spacing w:before="100" w:beforeAutospacing="1" w:after="0" w:afterAutospacing="1" w:line="360" w:lineRule="auto"/>
        <w:jc w:val="both"/>
        <w:rPr>
          <w:rFonts w:ascii="Times New Roman" w:eastAsia="Times New Roman" w:hAnsi="Times New Roman"/>
          <w:sz w:val="24"/>
          <w:szCs w:val="24"/>
        </w:rPr>
      </w:pPr>
    </w:p>
    <w:p w14:paraId="2452C772" w14:textId="77777777" w:rsidR="00181E08" w:rsidRDefault="00181E08" w:rsidP="00181E08">
      <w:pPr>
        <w:spacing w:before="100" w:beforeAutospacing="1" w:after="0" w:afterAutospacing="1" w:line="360" w:lineRule="auto"/>
        <w:jc w:val="both"/>
        <w:rPr>
          <w:rFonts w:ascii="Times New Roman" w:eastAsia="Times New Roman" w:hAnsi="Times New Roman"/>
          <w:sz w:val="24"/>
          <w:szCs w:val="24"/>
        </w:rPr>
      </w:pPr>
    </w:p>
    <w:p w14:paraId="16BA2BA5" w14:textId="77777777" w:rsidR="00181E08" w:rsidRPr="00D2125B" w:rsidRDefault="00181E08" w:rsidP="00C81513">
      <w:pPr>
        <w:pStyle w:val="Heading1"/>
        <w:jc w:val="left"/>
        <w:rPr>
          <w:rFonts w:ascii="Times New Roman" w:hAnsi="Times New Roman" w:cs="Times New Roman"/>
          <w:sz w:val="28"/>
        </w:rPr>
      </w:pPr>
      <w:bookmarkStart w:id="62" w:name="_Toc214949054"/>
      <w:r w:rsidRPr="00D2125B">
        <w:rPr>
          <w:rFonts w:ascii="Times New Roman" w:hAnsi="Times New Roman" w:cs="Times New Roman"/>
          <w:sz w:val="28"/>
        </w:rPr>
        <w:lastRenderedPageBreak/>
        <w:t>5.2 Key Understanding</w:t>
      </w:r>
      <w:bookmarkEnd w:id="62"/>
    </w:p>
    <w:p w14:paraId="7F291A80" w14:textId="77777777" w:rsidR="00181E08" w:rsidRPr="00181E08" w:rsidRDefault="00181E08" w:rsidP="00181E08">
      <w:pPr>
        <w:spacing w:before="100" w:beforeAutospacing="1" w:after="100" w:afterAutospacing="1" w:line="240" w:lineRule="auto"/>
        <w:outlineLvl w:val="2"/>
        <w:rPr>
          <w:rFonts w:ascii="Times New Roman" w:eastAsia="Times New Roman" w:hAnsi="Times New Roman"/>
          <w:b/>
          <w:bCs/>
          <w:sz w:val="27"/>
          <w:szCs w:val="27"/>
        </w:rPr>
      </w:pPr>
    </w:p>
    <w:p w14:paraId="66EA9E3A" w14:textId="77777777" w:rsidR="00181E08" w:rsidRPr="000E2A7B" w:rsidRDefault="00181E08" w:rsidP="000E2A7B">
      <w:pPr>
        <w:numPr>
          <w:ilvl w:val="0"/>
          <w:numId w:val="15"/>
        </w:numPr>
        <w:spacing w:before="100" w:beforeAutospacing="1" w:after="100" w:afterAutospacing="1" w:line="360" w:lineRule="auto"/>
        <w:jc w:val="both"/>
        <w:rPr>
          <w:rFonts w:ascii="Times New Roman" w:eastAsia="Times New Roman" w:hAnsi="Times New Roman"/>
          <w:sz w:val="24"/>
          <w:szCs w:val="24"/>
        </w:rPr>
      </w:pPr>
      <w:r w:rsidRPr="00181E08">
        <w:rPr>
          <w:rFonts w:ascii="Times New Roman" w:eastAsia="Times New Roman" w:hAnsi="Times New Roman"/>
          <w:b/>
          <w:bCs/>
          <w:sz w:val="24"/>
          <w:szCs w:val="24"/>
        </w:rPr>
        <w:t>Dhaka Bank's Risk Management Approach</w:t>
      </w:r>
      <w:r w:rsidRPr="00181E08">
        <w:rPr>
          <w:rFonts w:ascii="Times New Roman" w:eastAsia="Times New Roman" w:hAnsi="Times New Roman"/>
          <w:sz w:val="24"/>
          <w:szCs w:val="24"/>
        </w:rPr>
        <w:t xml:space="preserve">: </w:t>
      </w:r>
      <w:r w:rsidR="000E2A7B" w:rsidRPr="000E2A7B">
        <w:rPr>
          <w:rFonts w:ascii="Times New Roman" w:eastAsia="Times New Roman" w:hAnsi="Times New Roman"/>
          <w:sz w:val="24"/>
          <w:szCs w:val="24"/>
        </w:rPr>
        <w:t>The bank based on the internal analysis and experts opinions follows a very good credit risk management tools, which are its systematic loan approval process and an internal credit rating process. The focus on prudent lending and effective monitoring</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mechanisms, as reflected in a 35% limit on exposure to high-risk sectors, allows the bank to effectively manage credit risk.</w:t>
      </w:r>
    </w:p>
    <w:p w14:paraId="51C50F7B" w14:textId="77777777" w:rsidR="00181E08" w:rsidRPr="00181E08" w:rsidRDefault="00181E08" w:rsidP="00181E08">
      <w:pPr>
        <w:spacing w:before="100" w:beforeAutospacing="1" w:after="100" w:afterAutospacing="1" w:line="360" w:lineRule="auto"/>
        <w:ind w:left="720"/>
        <w:jc w:val="both"/>
        <w:rPr>
          <w:rFonts w:ascii="Times New Roman" w:eastAsia="Times New Roman" w:hAnsi="Times New Roman"/>
          <w:sz w:val="24"/>
          <w:szCs w:val="24"/>
        </w:rPr>
      </w:pPr>
    </w:p>
    <w:p w14:paraId="0FEFB78E" w14:textId="77777777" w:rsidR="00181E08" w:rsidRDefault="00181E08" w:rsidP="000E2A7B">
      <w:pPr>
        <w:numPr>
          <w:ilvl w:val="0"/>
          <w:numId w:val="15"/>
        </w:numPr>
        <w:spacing w:before="100" w:beforeAutospacing="1" w:after="100" w:afterAutospacing="1" w:line="360" w:lineRule="auto"/>
        <w:jc w:val="both"/>
        <w:rPr>
          <w:rFonts w:ascii="Times New Roman" w:eastAsia="Times New Roman" w:hAnsi="Times New Roman"/>
          <w:sz w:val="24"/>
          <w:szCs w:val="24"/>
        </w:rPr>
      </w:pPr>
      <w:r w:rsidRPr="000E2A7B">
        <w:rPr>
          <w:rFonts w:ascii="Times New Roman" w:eastAsia="Times New Roman" w:hAnsi="Times New Roman"/>
          <w:b/>
          <w:bCs/>
          <w:sz w:val="24"/>
          <w:szCs w:val="24"/>
        </w:rPr>
        <w:t>Operational Efficiency</w:t>
      </w:r>
      <w:r w:rsidRPr="000E2A7B">
        <w:rPr>
          <w:rFonts w:ascii="Times New Roman" w:eastAsia="Times New Roman" w:hAnsi="Times New Roman"/>
          <w:sz w:val="24"/>
          <w:szCs w:val="24"/>
        </w:rPr>
        <w:t xml:space="preserve">: </w:t>
      </w:r>
      <w:r w:rsidR="000E2A7B" w:rsidRPr="000E2A7B">
        <w:rPr>
          <w:rFonts w:ascii="Times New Roman" w:eastAsia="Times New Roman" w:hAnsi="Times New Roman"/>
          <w:sz w:val="24"/>
          <w:szCs w:val="24"/>
        </w:rPr>
        <w:t>Despite the rise in Non-Performing Loans (NPLs), operational performance of the bank has been strong and in 2023, ROE was at12.8%, implying that</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good risk management is leading to improved financial performance. Decline in the cost-to-income ratio</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indicates improving operational efficiency of the bank.</w:t>
      </w:r>
    </w:p>
    <w:p w14:paraId="7A617C34" w14:textId="77777777" w:rsidR="000E2A7B" w:rsidRPr="000E2A7B" w:rsidRDefault="000E2A7B" w:rsidP="000E2A7B">
      <w:pPr>
        <w:spacing w:before="100" w:beforeAutospacing="1" w:after="100" w:afterAutospacing="1" w:line="360" w:lineRule="auto"/>
        <w:jc w:val="both"/>
        <w:rPr>
          <w:rFonts w:ascii="Times New Roman" w:eastAsia="Times New Roman" w:hAnsi="Times New Roman"/>
          <w:sz w:val="24"/>
          <w:szCs w:val="24"/>
        </w:rPr>
      </w:pPr>
    </w:p>
    <w:p w14:paraId="08E6CAE2" w14:textId="77777777" w:rsidR="000E2A7B" w:rsidRPr="000E2A7B" w:rsidRDefault="00181E08" w:rsidP="000E2A7B">
      <w:pPr>
        <w:numPr>
          <w:ilvl w:val="0"/>
          <w:numId w:val="15"/>
        </w:numPr>
        <w:spacing w:before="100" w:beforeAutospacing="1" w:after="100" w:afterAutospacing="1" w:line="360" w:lineRule="auto"/>
        <w:jc w:val="both"/>
        <w:rPr>
          <w:rFonts w:ascii="Times New Roman" w:eastAsia="Times New Roman" w:hAnsi="Times New Roman"/>
          <w:sz w:val="24"/>
          <w:szCs w:val="24"/>
        </w:rPr>
      </w:pPr>
      <w:r w:rsidRPr="000E2A7B">
        <w:rPr>
          <w:rFonts w:ascii="Times New Roman" w:eastAsia="Times New Roman" w:hAnsi="Times New Roman"/>
          <w:b/>
          <w:bCs/>
          <w:sz w:val="24"/>
          <w:szCs w:val="24"/>
        </w:rPr>
        <w:t>Capital Adequacy</w:t>
      </w:r>
      <w:r w:rsidRPr="000E2A7B">
        <w:rPr>
          <w:rFonts w:ascii="Times New Roman" w:eastAsia="Times New Roman" w:hAnsi="Times New Roman"/>
          <w:sz w:val="24"/>
          <w:szCs w:val="24"/>
        </w:rPr>
        <w:t xml:space="preserve">: </w:t>
      </w:r>
      <w:r w:rsidR="000E2A7B" w:rsidRPr="000E2A7B">
        <w:rPr>
          <w:rFonts w:ascii="Times New Roman" w:eastAsia="Times New Roman" w:hAnsi="Times New Roman"/>
          <w:sz w:val="24"/>
          <w:szCs w:val="24"/>
        </w:rPr>
        <w:t>The bank maintains a strong capital base, with CAR of 13.2% in 2023, which is</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well above regulatory requirements. This gives the bank enough power to absorb losses and</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keep running even in down markets.</w:t>
      </w:r>
    </w:p>
    <w:p w14:paraId="1901FA79" w14:textId="77777777" w:rsidR="00181E08" w:rsidRPr="000E2A7B" w:rsidRDefault="00181E08" w:rsidP="000E2A7B">
      <w:pPr>
        <w:spacing w:before="100" w:beforeAutospacing="1" w:after="100" w:afterAutospacing="1" w:line="360" w:lineRule="auto"/>
        <w:ind w:left="360"/>
        <w:jc w:val="both"/>
        <w:rPr>
          <w:rFonts w:ascii="Times New Roman" w:eastAsia="Times New Roman" w:hAnsi="Times New Roman"/>
          <w:sz w:val="24"/>
          <w:szCs w:val="24"/>
        </w:rPr>
      </w:pPr>
    </w:p>
    <w:p w14:paraId="7BF2BA89" w14:textId="77777777" w:rsidR="00181E08" w:rsidRPr="00181E08" w:rsidRDefault="00181E08" w:rsidP="00DA1DC8">
      <w:pPr>
        <w:numPr>
          <w:ilvl w:val="0"/>
          <w:numId w:val="15"/>
        </w:numPr>
        <w:spacing w:before="100" w:beforeAutospacing="1" w:after="100" w:afterAutospacing="1" w:line="360" w:lineRule="auto"/>
        <w:jc w:val="both"/>
        <w:rPr>
          <w:rFonts w:ascii="Times New Roman" w:eastAsia="Times New Roman" w:hAnsi="Times New Roman"/>
          <w:sz w:val="24"/>
          <w:szCs w:val="24"/>
        </w:rPr>
      </w:pPr>
      <w:r w:rsidRPr="00181E08">
        <w:rPr>
          <w:rFonts w:ascii="Times New Roman" w:eastAsia="Times New Roman" w:hAnsi="Times New Roman"/>
          <w:b/>
          <w:bCs/>
          <w:sz w:val="24"/>
          <w:szCs w:val="24"/>
        </w:rPr>
        <w:t>Liquidity Management</w:t>
      </w:r>
      <w:r w:rsidRPr="00181E08">
        <w:rPr>
          <w:rFonts w:ascii="Times New Roman" w:eastAsia="Times New Roman" w:hAnsi="Times New Roman"/>
          <w:sz w:val="24"/>
          <w:szCs w:val="24"/>
        </w:rPr>
        <w:t xml:space="preserve">: </w:t>
      </w:r>
      <w:r w:rsidR="000E2A7B" w:rsidRPr="000E2A7B">
        <w:rPr>
          <w:rFonts w:ascii="Times New Roman" w:eastAsia="Times New Roman" w:hAnsi="Times New Roman"/>
          <w:sz w:val="24"/>
          <w:szCs w:val="24"/>
        </w:rPr>
        <w:t>Dhaka Bank's liquidity ratios are</w:t>
      </w:r>
      <w:r w:rsidR="000E2A7B" w:rsidRPr="000E2A7B">
        <w:rPr>
          <w:rFonts w:ascii="Times New Roman" w:eastAsia="Times New Roman" w:hAnsi="Times New Roman"/>
          <w:sz w:val="24"/>
          <w:szCs w:val="24"/>
        </w:rPr>
        <w:t> </w:t>
      </w:r>
      <w:r w:rsidR="000E2A7B" w:rsidRPr="000E2A7B">
        <w:rPr>
          <w:rFonts w:ascii="Times New Roman" w:eastAsia="Times New Roman" w:hAnsi="Times New Roman"/>
          <w:sz w:val="24"/>
          <w:szCs w:val="24"/>
        </w:rPr>
        <w:t xml:space="preserve">above regulatory requirements (135% for the Liquidity Coverage Ratio in 2023), indicating </w:t>
      </w:r>
      <w:r w:rsidRPr="00181E08">
        <w:rPr>
          <w:rFonts w:ascii="Times New Roman" w:eastAsia="Times New Roman" w:hAnsi="Times New Roman"/>
          <w:sz w:val="24"/>
          <w:szCs w:val="24"/>
        </w:rPr>
        <w:t>its readiness to fulfill financial obligations in both stable and volatile conditions.</w:t>
      </w:r>
    </w:p>
    <w:p w14:paraId="29EB1E05" w14:textId="77777777" w:rsidR="00181E08" w:rsidRPr="005A1438" w:rsidRDefault="00181E08" w:rsidP="00181E08">
      <w:pPr>
        <w:spacing w:before="100" w:beforeAutospacing="1" w:after="0" w:afterAutospacing="1" w:line="360" w:lineRule="auto"/>
        <w:jc w:val="both"/>
        <w:rPr>
          <w:rFonts w:ascii="Times New Roman" w:eastAsia="Times New Roman" w:hAnsi="Times New Roman"/>
          <w:sz w:val="24"/>
          <w:szCs w:val="24"/>
        </w:rPr>
      </w:pPr>
    </w:p>
    <w:p w14:paraId="3BEB7039" w14:textId="77777777" w:rsidR="005A1438" w:rsidRPr="005A1438" w:rsidRDefault="005A1438" w:rsidP="005A1438">
      <w:pPr>
        <w:spacing w:line="360" w:lineRule="auto"/>
        <w:jc w:val="both"/>
        <w:rPr>
          <w:rFonts w:ascii="Times New Roman" w:hAnsi="Times New Roman"/>
          <w:color w:val="000000" w:themeColor="text1"/>
          <w:sz w:val="24"/>
          <w:szCs w:val="24"/>
        </w:rPr>
      </w:pPr>
    </w:p>
    <w:p w14:paraId="523CFC58" w14:textId="77777777" w:rsidR="00B938C6" w:rsidRPr="00D2125B" w:rsidRDefault="00B938C6" w:rsidP="00C81513">
      <w:pPr>
        <w:pStyle w:val="Heading1"/>
        <w:jc w:val="left"/>
        <w:rPr>
          <w:rFonts w:ascii="Times New Roman" w:hAnsi="Times New Roman" w:cs="Times New Roman"/>
          <w:sz w:val="28"/>
        </w:rPr>
      </w:pPr>
      <w:bookmarkStart w:id="63" w:name="_Toc214949055"/>
      <w:r w:rsidRPr="00D2125B">
        <w:rPr>
          <w:rFonts w:ascii="Times New Roman" w:hAnsi="Times New Roman" w:cs="Times New Roman"/>
          <w:sz w:val="28"/>
        </w:rPr>
        <w:lastRenderedPageBreak/>
        <w:t>5.3 Conclusion</w:t>
      </w:r>
      <w:bookmarkEnd w:id="63"/>
    </w:p>
    <w:p w14:paraId="08A99A4F" w14:textId="77777777" w:rsidR="00B938C6" w:rsidRPr="00B938C6" w:rsidRDefault="00B938C6" w:rsidP="00B938C6">
      <w:pPr>
        <w:spacing w:before="100" w:beforeAutospacing="1" w:after="100" w:afterAutospacing="1" w:line="240" w:lineRule="auto"/>
        <w:rPr>
          <w:rFonts w:ascii="Times New Roman" w:eastAsia="Times New Roman" w:hAnsi="Times New Roman"/>
          <w:b/>
          <w:bCs/>
          <w:sz w:val="24"/>
          <w:szCs w:val="24"/>
        </w:rPr>
      </w:pPr>
    </w:p>
    <w:p w14:paraId="6D91701C" w14:textId="77777777" w:rsidR="000E2A7B" w:rsidRPr="000E2A7B" w:rsidRDefault="000E2A7B" w:rsidP="000E2A7B">
      <w:pPr>
        <w:spacing w:before="100" w:beforeAutospacing="1" w:after="100" w:afterAutospacing="1" w:line="360" w:lineRule="auto"/>
        <w:jc w:val="both"/>
        <w:rPr>
          <w:rFonts w:ascii="Times New Roman" w:eastAsia="Times New Roman" w:hAnsi="Times New Roman"/>
          <w:sz w:val="24"/>
          <w:szCs w:val="24"/>
        </w:rPr>
      </w:pPr>
      <w:r w:rsidRPr="000E2A7B">
        <w:rPr>
          <w:rFonts w:ascii="Times New Roman" w:eastAsia="Times New Roman" w:hAnsi="Times New Roman"/>
          <w:sz w:val="24"/>
          <w:szCs w:val="24"/>
        </w:rPr>
        <w:t>Dhaka Bank PLC</w:t>
      </w:r>
      <w:r w:rsidRPr="000E2A7B">
        <w:rPr>
          <w:rFonts w:ascii="Times New Roman" w:eastAsia="Times New Roman" w:hAnsi="Times New Roman"/>
          <w:sz w:val="24"/>
          <w:szCs w:val="24"/>
        </w:rPr>
        <w:t> </w:t>
      </w:r>
      <w:r w:rsidRPr="000E2A7B">
        <w:rPr>
          <w:rFonts w:ascii="Times New Roman" w:eastAsia="Times New Roman" w:hAnsi="Times New Roman"/>
          <w:sz w:val="24"/>
          <w:szCs w:val="24"/>
        </w:rPr>
        <w:t>maintains a strong and effective risk management structure that enable to handle effectively the operational risks, as well as the market risks. Though continuing risks including rising NPAs and fluctuating markets, the bank seems well-positioned as of now with strong capital buffers, spread loan book</w:t>
      </w:r>
      <w:r w:rsidRPr="000E2A7B">
        <w:rPr>
          <w:rFonts w:ascii="Times New Roman" w:eastAsia="Times New Roman" w:hAnsi="Times New Roman"/>
          <w:sz w:val="24"/>
          <w:szCs w:val="24"/>
        </w:rPr>
        <w:t> </w:t>
      </w:r>
      <w:r w:rsidRPr="000E2A7B">
        <w:rPr>
          <w:rFonts w:ascii="Times New Roman" w:eastAsia="Times New Roman" w:hAnsi="Times New Roman"/>
          <w:sz w:val="24"/>
          <w:szCs w:val="24"/>
        </w:rPr>
        <w:t>and structured liquidity risk management. The</w:t>
      </w:r>
      <w:r w:rsidRPr="000E2A7B">
        <w:rPr>
          <w:rFonts w:ascii="Times New Roman" w:eastAsia="Times New Roman" w:hAnsi="Times New Roman"/>
          <w:sz w:val="24"/>
          <w:szCs w:val="24"/>
        </w:rPr>
        <w:t> </w:t>
      </w:r>
      <w:r w:rsidRPr="000E2A7B">
        <w:rPr>
          <w:rFonts w:ascii="Times New Roman" w:eastAsia="Times New Roman" w:hAnsi="Times New Roman"/>
          <w:sz w:val="24"/>
          <w:szCs w:val="24"/>
        </w:rPr>
        <w:t>focus on digital transformation and SME finance maps out an alternative path of growth into the future.</w:t>
      </w:r>
    </w:p>
    <w:p w14:paraId="7F86D0D6" w14:textId="77777777" w:rsidR="000E2A7B" w:rsidRPr="000E2A7B" w:rsidRDefault="000E2A7B" w:rsidP="000E2A7B">
      <w:pPr>
        <w:spacing w:before="100" w:beforeAutospacing="1" w:after="100" w:afterAutospacing="1" w:line="360" w:lineRule="auto"/>
        <w:jc w:val="both"/>
        <w:rPr>
          <w:rFonts w:ascii="Times New Roman" w:eastAsia="Times New Roman" w:hAnsi="Times New Roman"/>
          <w:sz w:val="24"/>
          <w:szCs w:val="24"/>
        </w:rPr>
      </w:pPr>
      <w:r w:rsidRPr="000E2A7B">
        <w:rPr>
          <w:rFonts w:ascii="Times New Roman" w:eastAsia="Times New Roman" w:hAnsi="Times New Roman"/>
          <w:sz w:val="24"/>
          <w:szCs w:val="24"/>
        </w:rPr>
        <w:t>In order to maintain and enhance its competitive position, Dhaka Bank has to continue to perfect risk management systems, create digital infrastructure and further enhance it human resources through modern training methods that are in tune with emerging</w:t>
      </w:r>
      <w:r w:rsidRPr="000E2A7B">
        <w:rPr>
          <w:rFonts w:ascii="Times New Roman" w:eastAsia="Times New Roman" w:hAnsi="Times New Roman"/>
          <w:sz w:val="24"/>
          <w:szCs w:val="24"/>
        </w:rPr>
        <w:t> </w:t>
      </w:r>
      <w:r w:rsidRPr="000E2A7B">
        <w:rPr>
          <w:rFonts w:ascii="Times New Roman" w:eastAsia="Times New Roman" w:hAnsi="Times New Roman"/>
          <w:sz w:val="24"/>
          <w:szCs w:val="24"/>
        </w:rPr>
        <w:t>industry needs. The bank's</w:t>
      </w:r>
      <w:r w:rsidRPr="000E2A7B">
        <w:rPr>
          <w:rFonts w:ascii="Times New Roman" w:eastAsia="Times New Roman" w:hAnsi="Times New Roman"/>
          <w:sz w:val="24"/>
          <w:szCs w:val="24"/>
        </w:rPr>
        <w:t> </w:t>
      </w:r>
      <w:r w:rsidRPr="000E2A7B">
        <w:rPr>
          <w:rFonts w:ascii="Times New Roman" w:eastAsia="Times New Roman" w:hAnsi="Times New Roman"/>
          <w:sz w:val="24"/>
          <w:szCs w:val="24"/>
        </w:rPr>
        <w:t>commitment to the maintaining of a healthy capital account ensures its lasting position in Bangladesh's banking industry. Dhaka Bank Limited could very</w:t>
      </w:r>
      <w:r w:rsidRPr="000E2A7B">
        <w:rPr>
          <w:rFonts w:ascii="Times New Roman" w:eastAsia="Times New Roman" w:hAnsi="Times New Roman"/>
          <w:sz w:val="24"/>
          <w:szCs w:val="24"/>
        </w:rPr>
        <w:t> </w:t>
      </w:r>
      <w:r w:rsidRPr="000E2A7B">
        <w:rPr>
          <w:rFonts w:ascii="Times New Roman" w:eastAsia="Times New Roman" w:hAnsi="Times New Roman"/>
          <w:sz w:val="24"/>
          <w:szCs w:val="24"/>
        </w:rPr>
        <w:t>well stand for an epitome of steadfastness in the banking sector.</w:t>
      </w:r>
    </w:p>
    <w:p w14:paraId="7206ACE2" w14:textId="77777777" w:rsidR="000E2A7B" w:rsidRPr="000E2A7B" w:rsidRDefault="000E2A7B" w:rsidP="000E2A7B">
      <w:pPr>
        <w:spacing w:before="100" w:beforeAutospacing="1" w:after="100" w:afterAutospacing="1" w:line="360" w:lineRule="auto"/>
        <w:jc w:val="both"/>
        <w:rPr>
          <w:rFonts w:ascii="Times New Roman" w:eastAsia="Times New Roman" w:hAnsi="Times New Roman"/>
          <w:sz w:val="24"/>
          <w:szCs w:val="24"/>
        </w:rPr>
      </w:pPr>
      <w:r w:rsidRPr="000E2A7B">
        <w:rPr>
          <w:rFonts w:ascii="Times New Roman" w:eastAsia="Times New Roman" w:hAnsi="Times New Roman"/>
          <w:sz w:val="24"/>
          <w:szCs w:val="24"/>
        </w:rPr>
        <w:t>Based on my experience at DBL, the corporate head office represents a collage of</w:t>
      </w:r>
      <w:r w:rsidRPr="000E2A7B">
        <w:rPr>
          <w:rFonts w:ascii="Times New Roman" w:eastAsia="Times New Roman" w:hAnsi="Times New Roman"/>
          <w:sz w:val="24"/>
          <w:szCs w:val="24"/>
        </w:rPr>
        <w:t> </w:t>
      </w:r>
      <w:r w:rsidRPr="000E2A7B">
        <w:rPr>
          <w:rFonts w:ascii="Times New Roman" w:eastAsia="Times New Roman" w:hAnsi="Times New Roman"/>
          <w:sz w:val="24"/>
          <w:szCs w:val="24"/>
        </w:rPr>
        <w:t>both positive and negative views in banking such as on managerial practices, operations and performance indicators. The report offers numerous conclusions and recommendations, based on the data gathered</w:t>
      </w:r>
      <w:r w:rsidRPr="000E2A7B">
        <w:rPr>
          <w:rFonts w:ascii="Times New Roman" w:eastAsia="Times New Roman" w:hAnsi="Times New Roman"/>
          <w:sz w:val="24"/>
          <w:szCs w:val="24"/>
        </w:rPr>
        <w:t> </w:t>
      </w:r>
      <w:r w:rsidRPr="000E2A7B">
        <w:rPr>
          <w:rFonts w:ascii="Times New Roman" w:eastAsia="Times New Roman" w:hAnsi="Times New Roman"/>
          <w:sz w:val="24"/>
          <w:szCs w:val="24"/>
        </w:rPr>
        <w:t>and analyzed, which completely subjective after doing the research. Banking function, digitals services and</w:t>
      </w:r>
      <w:r w:rsidRPr="000E2A7B">
        <w:rPr>
          <w:rFonts w:ascii="Times New Roman" w:eastAsia="Times New Roman" w:hAnsi="Times New Roman"/>
          <w:sz w:val="24"/>
          <w:szCs w:val="24"/>
        </w:rPr>
        <w:t> </w:t>
      </w:r>
      <w:r w:rsidRPr="000E2A7B">
        <w:rPr>
          <w:rFonts w:ascii="Times New Roman" w:eastAsia="Times New Roman" w:hAnsi="Times New Roman"/>
          <w:sz w:val="24"/>
          <w:szCs w:val="24"/>
        </w:rPr>
        <w:t>customer transactions with the banks in Dhaka have been good so far. The bank is leading in</w:t>
      </w:r>
      <w:r w:rsidRPr="000E2A7B">
        <w:rPr>
          <w:rFonts w:ascii="Times New Roman" w:eastAsia="Times New Roman" w:hAnsi="Times New Roman"/>
          <w:sz w:val="24"/>
          <w:szCs w:val="24"/>
        </w:rPr>
        <w:t> </w:t>
      </w:r>
      <w:r w:rsidRPr="000E2A7B">
        <w:rPr>
          <w:rFonts w:ascii="Times New Roman" w:eastAsia="Times New Roman" w:hAnsi="Times New Roman"/>
          <w:sz w:val="24"/>
          <w:szCs w:val="24"/>
        </w:rPr>
        <w:t>Bangladeshi banking sector because of its competitive product lines.</w:t>
      </w:r>
    </w:p>
    <w:p w14:paraId="05233FC8" w14:textId="77777777" w:rsidR="00FE6C1A" w:rsidRDefault="00FE6C1A" w:rsidP="00B938C6">
      <w:pPr>
        <w:spacing w:before="100" w:beforeAutospacing="1" w:after="100" w:afterAutospacing="1" w:line="360" w:lineRule="auto"/>
        <w:jc w:val="both"/>
        <w:rPr>
          <w:rFonts w:ascii="Times New Roman" w:eastAsia="Times New Roman" w:hAnsi="Times New Roman"/>
          <w:sz w:val="24"/>
          <w:szCs w:val="24"/>
        </w:rPr>
      </w:pPr>
    </w:p>
    <w:p w14:paraId="3452A1DD" w14:textId="77777777" w:rsidR="00FE6C1A" w:rsidRDefault="00FE6C1A" w:rsidP="00B938C6">
      <w:pPr>
        <w:spacing w:before="100" w:beforeAutospacing="1" w:after="100" w:afterAutospacing="1" w:line="360" w:lineRule="auto"/>
        <w:jc w:val="both"/>
        <w:rPr>
          <w:rFonts w:ascii="Times New Roman" w:eastAsia="Times New Roman" w:hAnsi="Times New Roman"/>
          <w:sz w:val="24"/>
          <w:szCs w:val="24"/>
        </w:rPr>
      </w:pPr>
    </w:p>
    <w:p w14:paraId="61187CB1" w14:textId="77777777" w:rsidR="00FE6C1A" w:rsidRDefault="00FE6C1A" w:rsidP="00B938C6">
      <w:pPr>
        <w:spacing w:before="100" w:beforeAutospacing="1" w:after="100" w:afterAutospacing="1" w:line="360" w:lineRule="auto"/>
        <w:jc w:val="both"/>
        <w:rPr>
          <w:rFonts w:ascii="Times New Roman" w:eastAsia="Times New Roman" w:hAnsi="Times New Roman"/>
          <w:sz w:val="24"/>
          <w:szCs w:val="24"/>
        </w:rPr>
      </w:pPr>
    </w:p>
    <w:p w14:paraId="0374713D" w14:textId="77777777" w:rsidR="00FE6C1A" w:rsidRDefault="00FE6C1A" w:rsidP="00B938C6">
      <w:pPr>
        <w:spacing w:before="100" w:beforeAutospacing="1" w:after="100" w:afterAutospacing="1" w:line="360" w:lineRule="auto"/>
        <w:jc w:val="both"/>
        <w:rPr>
          <w:rFonts w:ascii="Times New Roman" w:eastAsia="Times New Roman" w:hAnsi="Times New Roman"/>
          <w:sz w:val="24"/>
          <w:szCs w:val="24"/>
        </w:rPr>
      </w:pPr>
    </w:p>
    <w:p w14:paraId="2528E9F5" w14:textId="77777777" w:rsidR="00FE6C1A" w:rsidRDefault="00FE6C1A" w:rsidP="00B938C6">
      <w:pPr>
        <w:spacing w:before="100" w:beforeAutospacing="1" w:after="100" w:afterAutospacing="1" w:line="360" w:lineRule="auto"/>
        <w:jc w:val="both"/>
        <w:rPr>
          <w:rFonts w:ascii="Times New Roman" w:eastAsia="Times New Roman" w:hAnsi="Times New Roman"/>
          <w:sz w:val="24"/>
          <w:szCs w:val="24"/>
        </w:rPr>
      </w:pPr>
    </w:p>
    <w:p w14:paraId="2DA429B5" w14:textId="77777777" w:rsidR="00FE6C1A" w:rsidRPr="00D2125B" w:rsidRDefault="00FE6C1A" w:rsidP="007A323C">
      <w:pPr>
        <w:pStyle w:val="Heading1"/>
        <w:jc w:val="left"/>
        <w:rPr>
          <w:rFonts w:ascii="Times New Roman" w:hAnsi="Times New Roman" w:cs="Times New Roman"/>
          <w:sz w:val="28"/>
        </w:rPr>
      </w:pPr>
      <w:bookmarkStart w:id="64" w:name="_Toc214949056"/>
      <w:r w:rsidRPr="00D2125B">
        <w:rPr>
          <w:rFonts w:ascii="Times New Roman" w:hAnsi="Times New Roman" w:cs="Times New Roman"/>
          <w:sz w:val="28"/>
        </w:rPr>
        <w:lastRenderedPageBreak/>
        <w:t>Reference</w:t>
      </w:r>
      <w:r w:rsidR="005C53CC">
        <w:rPr>
          <w:rFonts w:ascii="Times New Roman" w:hAnsi="Times New Roman" w:cs="Times New Roman"/>
          <w:sz w:val="28"/>
        </w:rPr>
        <w:t>s</w:t>
      </w:r>
      <w:bookmarkEnd w:id="64"/>
    </w:p>
    <w:p w14:paraId="0DE0C618" w14:textId="77777777" w:rsidR="00B17893" w:rsidRDefault="00B17893" w:rsidP="00B938C6">
      <w:pPr>
        <w:spacing w:before="100" w:beforeAutospacing="1" w:after="100" w:afterAutospacing="1" w:line="360" w:lineRule="auto"/>
        <w:jc w:val="both"/>
        <w:rPr>
          <w:rFonts w:ascii="Times New Roman" w:eastAsia="Times New Roman" w:hAnsi="Times New Roman"/>
          <w:sz w:val="24"/>
          <w:szCs w:val="24"/>
        </w:rPr>
      </w:pPr>
    </w:p>
    <w:p w14:paraId="031C492F" w14:textId="77777777" w:rsidR="00B17893" w:rsidRPr="00B17893" w:rsidRDefault="00B17893" w:rsidP="00DA1DC8">
      <w:pPr>
        <w:numPr>
          <w:ilvl w:val="0"/>
          <w:numId w:val="17"/>
        </w:numPr>
        <w:spacing w:line="360" w:lineRule="auto"/>
        <w:jc w:val="both"/>
        <w:rPr>
          <w:rFonts w:ascii="Times New Roman" w:eastAsiaTheme="minorHAnsi" w:hAnsi="Times New Roman"/>
          <w:sz w:val="24"/>
          <w:szCs w:val="24"/>
        </w:rPr>
      </w:pPr>
      <w:r w:rsidRPr="00B17893">
        <w:rPr>
          <w:rFonts w:ascii="Times New Roman" w:eastAsiaTheme="minorHAnsi" w:hAnsi="Times New Roman"/>
          <w:sz w:val="24"/>
          <w:szCs w:val="24"/>
        </w:rPr>
        <w:t xml:space="preserve">Dhaka Bank PLC. (2025, July). </w:t>
      </w:r>
      <w:r w:rsidRPr="00B17893">
        <w:rPr>
          <w:rFonts w:ascii="Times New Roman" w:eastAsiaTheme="minorHAnsi" w:hAnsi="Times New Roman"/>
          <w:i/>
          <w:iCs/>
          <w:sz w:val="24"/>
          <w:szCs w:val="24"/>
        </w:rPr>
        <w:t>Dhaka Bank Annual Report 2024: Papers to Pixels: The Future of Banking through AI</w:t>
      </w:r>
      <w:r w:rsidRPr="00B17893">
        <w:rPr>
          <w:rFonts w:ascii="Times New Roman" w:eastAsiaTheme="minorHAnsi" w:hAnsi="Times New Roman"/>
          <w:sz w:val="24"/>
          <w:szCs w:val="24"/>
        </w:rPr>
        <w:t xml:space="preserve"> (pp. 1-482). </w:t>
      </w:r>
      <w:hyperlink r:id="rId23" w:tgtFrame="_blank" w:history="1">
        <w:r w:rsidRPr="00B17893">
          <w:rPr>
            <w:rFonts w:ascii="Times New Roman" w:eastAsiaTheme="minorHAnsi" w:hAnsi="Times New Roman"/>
            <w:color w:val="0000FF" w:themeColor="hyperlink"/>
            <w:sz w:val="24"/>
            <w:szCs w:val="24"/>
            <w:u w:val="single"/>
          </w:rPr>
          <w:t>https://dhakabankltd.com/wp-content/uploads/2025/07/Dhaka-Bank-Annual-Report-2024.pdf</w:t>
        </w:r>
      </w:hyperlink>
    </w:p>
    <w:p w14:paraId="6F3047F8" w14:textId="77777777" w:rsidR="00B17893" w:rsidRPr="00B17893" w:rsidRDefault="00B17893" w:rsidP="00DA1DC8">
      <w:pPr>
        <w:numPr>
          <w:ilvl w:val="0"/>
          <w:numId w:val="17"/>
        </w:numPr>
        <w:spacing w:line="360" w:lineRule="auto"/>
        <w:jc w:val="both"/>
        <w:rPr>
          <w:rFonts w:ascii="Times New Roman" w:eastAsiaTheme="minorHAnsi" w:hAnsi="Times New Roman"/>
          <w:sz w:val="24"/>
          <w:szCs w:val="24"/>
        </w:rPr>
      </w:pPr>
      <w:r w:rsidRPr="00B17893">
        <w:rPr>
          <w:rFonts w:ascii="Times New Roman" w:eastAsiaTheme="minorHAnsi" w:hAnsi="Times New Roman"/>
          <w:sz w:val="24"/>
          <w:szCs w:val="24"/>
        </w:rPr>
        <w:t xml:space="preserve">Dhaka Bank PLC. (2025, July 16). </w:t>
      </w:r>
      <w:r w:rsidRPr="00B17893">
        <w:rPr>
          <w:rFonts w:ascii="Times New Roman" w:eastAsiaTheme="minorHAnsi" w:hAnsi="Times New Roman"/>
          <w:i/>
          <w:iCs/>
          <w:sz w:val="24"/>
          <w:szCs w:val="24"/>
        </w:rPr>
        <w:t>Distribution of Annual Report-2024</w:t>
      </w:r>
      <w:r w:rsidRPr="00B17893">
        <w:rPr>
          <w:rFonts w:ascii="Times New Roman" w:eastAsiaTheme="minorHAnsi" w:hAnsi="Times New Roman"/>
          <w:sz w:val="24"/>
          <w:szCs w:val="24"/>
        </w:rPr>
        <w:t xml:space="preserve">. </w:t>
      </w:r>
      <w:hyperlink r:id="rId24" w:tgtFrame="_blank" w:history="1">
        <w:r w:rsidRPr="00B17893">
          <w:rPr>
            <w:rFonts w:ascii="Times New Roman" w:eastAsiaTheme="minorHAnsi" w:hAnsi="Times New Roman"/>
            <w:color w:val="0000FF" w:themeColor="hyperlink"/>
            <w:sz w:val="24"/>
            <w:szCs w:val="24"/>
            <w:u w:val="single"/>
          </w:rPr>
          <w:t>https://dhakabankltd.com/wp-content/uploads/2025/07/DBL-Distribution-of-Annual-Report-2024.pdf</w:t>
        </w:r>
      </w:hyperlink>
    </w:p>
    <w:p w14:paraId="2A45E245" w14:textId="77777777" w:rsidR="00B17893" w:rsidRPr="00B17893" w:rsidRDefault="00B17893" w:rsidP="00DA1DC8">
      <w:pPr>
        <w:numPr>
          <w:ilvl w:val="0"/>
          <w:numId w:val="17"/>
        </w:numPr>
        <w:spacing w:line="360" w:lineRule="auto"/>
        <w:jc w:val="both"/>
        <w:rPr>
          <w:rFonts w:ascii="Times New Roman" w:eastAsiaTheme="minorHAnsi" w:hAnsi="Times New Roman"/>
          <w:sz w:val="24"/>
          <w:szCs w:val="24"/>
        </w:rPr>
      </w:pPr>
      <w:r w:rsidRPr="00B17893">
        <w:rPr>
          <w:rFonts w:ascii="Times New Roman" w:eastAsiaTheme="minorHAnsi" w:hAnsi="Times New Roman"/>
          <w:sz w:val="24"/>
          <w:szCs w:val="24"/>
        </w:rPr>
        <w:t xml:space="preserve">Dhaka Bank PLC. &amp; its Subsidiaries. (2025, July). </w:t>
      </w:r>
      <w:r w:rsidRPr="00B17893">
        <w:rPr>
          <w:rFonts w:ascii="Times New Roman" w:eastAsiaTheme="minorHAnsi" w:hAnsi="Times New Roman"/>
          <w:i/>
          <w:iCs/>
          <w:sz w:val="24"/>
          <w:szCs w:val="24"/>
        </w:rPr>
        <w:t>Consolidated &amp; separate financial statements as at and for the period ended 30 June 2025</w:t>
      </w:r>
      <w:r w:rsidRPr="00B17893">
        <w:rPr>
          <w:rFonts w:ascii="Times New Roman" w:eastAsiaTheme="minorHAnsi" w:hAnsi="Times New Roman"/>
          <w:sz w:val="24"/>
          <w:szCs w:val="24"/>
        </w:rPr>
        <w:t xml:space="preserve">. </w:t>
      </w:r>
      <w:hyperlink r:id="rId25" w:tgtFrame="_blank" w:history="1">
        <w:r w:rsidRPr="00B17893">
          <w:rPr>
            <w:rFonts w:ascii="Times New Roman" w:eastAsiaTheme="minorHAnsi" w:hAnsi="Times New Roman"/>
            <w:color w:val="0000FF" w:themeColor="hyperlink"/>
            <w:sz w:val="24"/>
            <w:szCs w:val="24"/>
            <w:u w:val="single"/>
          </w:rPr>
          <w:t>https://dhakabankltd.com/wp-content/uploads/2025/07/UN-AUDITED-FINANCIAL-STATEMENTS-FOR-THE-PERIOD-ENDED-30-JUNE-2025.pdf</w:t>
        </w:r>
      </w:hyperlink>
    </w:p>
    <w:p w14:paraId="56062E22" w14:textId="77777777" w:rsidR="00B17893" w:rsidRPr="00B17893" w:rsidRDefault="00B17893" w:rsidP="00DA1DC8">
      <w:pPr>
        <w:numPr>
          <w:ilvl w:val="0"/>
          <w:numId w:val="17"/>
        </w:numPr>
        <w:spacing w:line="360" w:lineRule="auto"/>
        <w:jc w:val="both"/>
        <w:rPr>
          <w:rFonts w:ascii="Times New Roman" w:eastAsiaTheme="minorHAnsi" w:hAnsi="Times New Roman"/>
          <w:sz w:val="24"/>
          <w:szCs w:val="24"/>
        </w:rPr>
      </w:pPr>
      <w:r w:rsidRPr="00B17893">
        <w:rPr>
          <w:rFonts w:ascii="Times New Roman" w:eastAsiaTheme="minorHAnsi" w:hAnsi="Times New Roman"/>
          <w:sz w:val="24"/>
          <w:szCs w:val="24"/>
        </w:rPr>
        <w:t xml:space="preserve">Dhaka Bank PLC. &amp; its Subsidiaries. (2025, March 31). </w:t>
      </w:r>
      <w:r w:rsidRPr="00B17893">
        <w:rPr>
          <w:rFonts w:ascii="Times New Roman" w:eastAsiaTheme="minorHAnsi" w:hAnsi="Times New Roman"/>
          <w:i/>
          <w:iCs/>
          <w:sz w:val="24"/>
          <w:szCs w:val="24"/>
        </w:rPr>
        <w:t>Consolidated &amp; separate financial statements as at and for the period ended 31 March 2025</w:t>
      </w:r>
      <w:r w:rsidRPr="00B17893">
        <w:rPr>
          <w:rFonts w:ascii="Times New Roman" w:eastAsiaTheme="minorHAnsi" w:hAnsi="Times New Roman"/>
          <w:sz w:val="24"/>
          <w:szCs w:val="24"/>
        </w:rPr>
        <w:t xml:space="preserve">. </w:t>
      </w:r>
      <w:hyperlink r:id="rId26" w:tgtFrame="_blank" w:history="1">
        <w:r w:rsidRPr="00B17893">
          <w:rPr>
            <w:rFonts w:ascii="Times New Roman" w:eastAsiaTheme="minorHAnsi" w:hAnsi="Times New Roman"/>
            <w:color w:val="0000FF" w:themeColor="hyperlink"/>
            <w:sz w:val="24"/>
            <w:szCs w:val="24"/>
            <w:u w:val="single"/>
          </w:rPr>
          <w:t>https://dhakabankltd.com/wp-content/uploads/2025/05/UN-AUDITED-FINANCIAL-STATEMENTS-FOR-THE-PERIOD-ENDED-31-MARCH-2025.pdf</w:t>
        </w:r>
      </w:hyperlink>
    </w:p>
    <w:p w14:paraId="4624A99D" w14:textId="77777777" w:rsidR="00B17893" w:rsidRPr="00B17893" w:rsidRDefault="00B17893" w:rsidP="00DA1DC8">
      <w:pPr>
        <w:numPr>
          <w:ilvl w:val="0"/>
          <w:numId w:val="17"/>
        </w:numPr>
        <w:spacing w:line="360" w:lineRule="auto"/>
        <w:jc w:val="both"/>
        <w:rPr>
          <w:rFonts w:ascii="Times New Roman" w:eastAsiaTheme="minorHAnsi" w:hAnsi="Times New Roman"/>
          <w:sz w:val="24"/>
          <w:szCs w:val="24"/>
        </w:rPr>
      </w:pPr>
      <w:r w:rsidRPr="00B17893">
        <w:rPr>
          <w:rFonts w:ascii="Times New Roman" w:eastAsiaTheme="minorHAnsi" w:hAnsi="Times New Roman"/>
          <w:sz w:val="24"/>
          <w:szCs w:val="24"/>
        </w:rPr>
        <w:t xml:space="preserve">Dhaka Bank PLC. (2025, November 20). </w:t>
      </w:r>
      <w:r w:rsidRPr="00B17893">
        <w:rPr>
          <w:rFonts w:ascii="Times New Roman" w:eastAsiaTheme="minorHAnsi" w:hAnsi="Times New Roman"/>
          <w:i/>
          <w:iCs/>
          <w:sz w:val="24"/>
          <w:szCs w:val="24"/>
        </w:rPr>
        <w:t>Price sensitive information</w:t>
      </w:r>
      <w:r w:rsidRPr="00B17893">
        <w:rPr>
          <w:rFonts w:ascii="Times New Roman" w:eastAsiaTheme="minorHAnsi" w:hAnsi="Times New Roman"/>
          <w:sz w:val="24"/>
          <w:szCs w:val="24"/>
        </w:rPr>
        <w:t xml:space="preserve">. </w:t>
      </w:r>
      <w:hyperlink r:id="rId27" w:tgtFrame="_blank" w:history="1">
        <w:r w:rsidRPr="00B17893">
          <w:rPr>
            <w:rFonts w:ascii="Times New Roman" w:eastAsiaTheme="minorHAnsi" w:hAnsi="Times New Roman"/>
            <w:color w:val="0000FF" w:themeColor="hyperlink"/>
            <w:sz w:val="24"/>
            <w:szCs w:val="24"/>
            <w:u w:val="single"/>
          </w:rPr>
          <w:t>https://dhakabankltd.com/price-sensitive-information/</w:t>
        </w:r>
      </w:hyperlink>
      <w:r w:rsidRPr="00B17893">
        <w:rPr>
          <w:rFonts w:ascii="Times New Roman" w:eastAsiaTheme="minorHAnsi" w:hAnsi="Times New Roman"/>
          <w:sz w:val="24"/>
          <w:szCs w:val="24"/>
        </w:rPr>
        <w:t xml:space="preserve"> (Use the latest date for the page you access).</w:t>
      </w:r>
    </w:p>
    <w:p w14:paraId="078BCF05" w14:textId="77777777" w:rsidR="00B17893" w:rsidRPr="00B17893" w:rsidRDefault="00B17893" w:rsidP="00DA1DC8">
      <w:pPr>
        <w:numPr>
          <w:ilvl w:val="0"/>
          <w:numId w:val="17"/>
        </w:numPr>
        <w:spacing w:line="360" w:lineRule="auto"/>
        <w:jc w:val="both"/>
        <w:rPr>
          <w:rFonts w:ascii="Times New Roman" w:eastAsiaTheme="minorHAnsi" w:hAnsi="Times New Roman"/>
          <w:sz w:val="24"/>
          <w:szCs w:val="24"/>
        </w:rPr>
      </w:pPr>
      <w:r w:rsidRPr="00B17893">
        <w:rPr>
          <w:rFonts w:ascii="Times New Roman" w:eastAsiaTheme="minorHAnsi" w:hAnsi="Times New Roman"/>
          <w:sz w:val="24"/>
          <w:szCs w:val="24"/>
        </w:rPr>
        <w:t xml:space="preserve">Dhaka Bank PLC. (2024, November). </w:t>
      </w:r>
      <w:r w:rsidRPr="00B17893">
        <w:rPr>
          <w:rFonts w:ascii="Times New Roman" w:eastAsiaTheme="minorHAnsi" w:hAnsi="Times New Roman"/>
          <w:i/>
          <w:iCs/>
          <w:sz w:val="24"/>
          <w:szCs w:val="24"/>
        </w:rPr>
        <w:t>Sustainable finance and CSR initiatives 2023</w:t>
      </w:r>
      <w:r w:rsidRPr="00B17893">
        <w:rPr>
          <w:rFonts w:ascii="Times New Roman" w:eastAsiaTheme="minorHAnsi" w:hAnsi="Times New Roman"/>
          <w:sz w:val="24"/>
          <w:szCs w:val="24"/>
        </w:rPr>
        <w:t xml:space="preserve">. </w:t>
      </w:r>
      <w:hyperlink r:id="rId28" w:tgtFrame="_blank" w:history="1">
        <w:r w:rsidRPr="00B17893">
          <w:rPr>
            <w:rFonts w:ascii="Times New Roman" w:eastAsiaTheme="minorHAnsi" w:hAnsi="Times New Roman"/>
            <w:color w:val="0000FF" w:themeColor="hyperlink"/>
            <w:sz w:val="24"/>
            <w:szCs w:val="24"/>
            <w:u w:val="single"/>
          </w:rPr>
          <w:t>https://dhakabankltd.com/wp-content/uploads/2024/11/Sustainable-finance-CSR-initiatives-2023.pdf</w:t>
        </w:r>
      </w:hyperlink>
    </w:p>
    <w:p w14:paraId="1991A446"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(n.d.). </w:t>
      </w:r>
      <w:r w:rsidRPr="00B17893">
        <w:rPr>
          <w:rFonts w:ascii="Times New Roman" w:eastAsia="Times New Roman" w:hAnsi="Times New Roman"/>
          <w:i/>
          <w:iCs/>
          <w:sz w:val="24"/>
          <w:szCs w:val="24"/>
        </w:rPr>
        <w:t>About us</w:t>
      </w:r>
      <w:r w:rsidRPr="00B17893">
        <w:rPr>
          <w:rFonts w:ascii="Times New Roman" w:eastAsia="Times New Roman" w:hAnsi="Times New Roman"/>
          <w:sz w:val="24"/>
          <w:szCs w:val="24"/>
        </w:rPr>
        <w:t xml:space="preserve">. Retrieved November 23, 2025, from </w:t>
      </w:r>
      <w:hyperlink r:id="rId29" w:tgtFrame="_blank" w:history="1">
        <w:r w:rsidRPr="00B17893">
          <w:rPr>
            <w:rFonts w:ascii="Times New Roman" w:eastAsia="Times New Roman" w:hAnsi="Times New Roman"/>
            <w:color w:val="0000FF" w:themeColor="hyperlink"/>
            <w:sz w:val="24"/>
            <w:szCs w:val="24"/>
            <w:u w:val="single"/>
          </w:rPr>
          <w:t>https://dhakabankltd.com/about-us/</w:t>
        </w:r>
      </w:hyperlink>
    </w:p>
    <w:p w14:paraId="0357C06A"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(n.d.). </w:t>
      </w:r>
      <w:r w:rsidRPr="00B17893">
        <w:rPr>
          <w:rFonts w:ascii="Times New Roman" w:eastAsia="Times New Roman" w:hAnsi="Times New Roman"/>
          <w:i/>
          <w:iCs/>
          <w:sz w:val="24"/>
          <w:szCs w:val="24"/>
        </w:rPr>
        <w:t>Corporate banking</w:t>
      </w:r>
      <w:r w:rsidRPr="00B17893">
        <w:rPr>
          <w:rFonts w:ascii="Times New Roman" w:eastAsia="Times New Roman" w:hAnsi="Times New Roman"/>
          <w:sz w:val="24"/>
          <w:szCs w:val="24"/>
        </w:rPr>
        <w:t xml:space="preserve">. Retrieved November 23, 2025, from </w:t>
      </w:r>
      <w:hyperlink r:id="rId30" w:tgtFrame="_blank" w:history="1">
        <w:r w:rsidRPr="00B17893">
          <w:rPr>
            <w:rFonts w:ascii="Times New Roman" w:eastAsia="Times New Roman" w:hAnsi="Times New Roman"/>
            <w:color w:val="0000FF" w:themeColor="hyperlink"/>
            <w:sz w:val="24"/>
            <w:szCs w:val="24"/>
            <w:u w:val="single"/>
          </w:rPr>
          <w:t>https://dhakabankltd.com/corporate-banking/</w:t>
        </w:r>
      </w:hyperlink>
    </w:p>
    <w:p w14:paraId="587D51B6"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lastRenderedPageBreak/>
        <w:t xml:space="preserve">Dhaka Bank PLC. (n.d.). </w:t>
      </w:r>
      <w:r w:rsidRPr="00B17893">
        <w:rPr>
          <w:rFonts w:ascii="Times New Roman" w:eastAsia="Times New Roman" w:hAnsi="Times New Roman"/>
          <w:i/>
          <w:iCs/>
          <w:sz w:val="24"/>
          <w:szCs w:val="24"/>
        </w:rPr>
        <w:t>MSME &amp; Agri</w:t>
      </w:r>
      <w:r w:rsidRPr="00B17893">
        <w:rPr>
          <w:rFonts w:ascii="Times New Roman" w:eastAsia="Times New Roman" w:hAnsi="Times New Roman"/>
          <w:sz w:val="24"/>
          <w:szCs w:val="24"/>
        </w:rPr>
        <w:t xml:space="preserve">. Retrieved November 23, 2025, from </w:t>
      </w:r>
      <w:hyperlink r:id="rId31" w:tgtFrame="_blank" w:history="1">
        <w:r w:rsidRPr="00B17893">
          <w:rPr>
            <w:rFonts w:ascii="Times New Roman" w:eastAsia="Times New Roman" w:hAnsi="Times New Roman"/>
            <w:color w:val="0000FF" w:themeColor="hyperlink"/>
            <w:sz w:val="24"/>
            <w:szCs w:val="24"/>
            <w:u w:val="single"/>
          </w:rPr>
          <w:t>https://dhakabankltd.com/sme-agri/</w:t>
        </w:r>
      </w:hyperlink>
    </w:p>
    <w:p w14:paraId="5AB49D97"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(n.d.). </w:t>
      </w:r>
      <w:r w:rsidRPr="00B17893">
        <w:rPr>
          <w:rFonts w:ascii="Times New Roman" w:eastAsia="Times New Roman" w:hAnsi="Times New Roman"/>
          <w:i/>
          <w:iCs/>
          <w:sz w:val="24"/>
          <w:szCs w:val="24"/>
        </w:rPr>
        <w:t>Islamic banking</w:t>
      </w:r>
      <w:r w:rsidRPr="00B17893">
        <w:rPr>
          <w:rFonts w:ascii="Times New Roman" w:eastAsia="Times New Roman" w:hAnsi="Times New Roman"/>
          <w:sz w:val="24"/>
          <w:szCs w:val="24"/>
        </w:rPr>
        <w:t xml:space="preserve">. Retrieved November 23, 2025, from </w:t>
      </w:r>
      <w:hyperlink r:id="rId32" w:tgtFrame="_blank" w:history="1">
        <w:r w:rsidRPr="00B17893">
          <w:rPr>
            <w:rFonts w:ascii="Times New Roman" w:eastAsia="Times New Roman" w:hAnsi="Times New Roman"/>
            <w:color w:val="0000FF" w:themeColor="hyperlink"/>
            <w:sz w:val="24"/>
            <w:szCs w:val="24"/>
            <w:u w:val="single"/>
          </w:rPr>
          <w:t>https://dhakabankltd.com/islamic-banking/</w:t>
        </w:r>
      </w:hyperlink>
    </w:p>
    <w:p w14:paraId="5E0E87F7"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(n.d.). </w:t>
      </w:r>
      <w:r w:rsidRPr="00B17893">
        <w:rPr>
          <w:rFonts w:ascii="Times New Roman" w:eastAsia="Times New Roman" w:hAnsi="Times New Roman"/>
          <w:i/>
          <w:iCs/>
          <w:sz w:val="24"/>
          <w:szCs w:val="24"/>
        </w:rPr>
        <w:t>Interest rates</w:t>
      </w:r>
      <w:r w:rsidRPr="00B17893">
        <w:rPr>
          <w:rFonts w:ascii="Times New Roman" w:eastAsia="Times New Roman" w:hAnsi="Times New Roman"/>
          <w:sz w:val="24"/>
          <w:szCs w:val="24"/>
        </w:rPr>
        <w:t xml:space="preserve">. Retrieved November 23, 2025, from </w:t>
      </w:r>
      <w:hyperlink r:id="rId33" w:tgtFrame="_blank" w:history="1">
        <w:r w:rsidRPr="00B17893">
          <w:rPr>
            <w:rFonts w:ascii="Times New Roman" w:eastAsia="Times New Roman" w:hAnsi="Times New Roman"/>
            <w:color w:val="0000FF" w:themeColor="hyperlink"/>
            <w:sz w:val="24"/>
            <w:szCs w:val="24"/>
            <w:u w:val="single"/>
          </w:rPr>
          <w:t>https://dhakabankltd.com/interest-rates/</w:t>
        </w:r>
      </w:hyperlink>
    </w:p>
    <w:p w14:paraId="6E82EDF6"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(n.d.). </w:t>
      </w:r>
      <w:r w:rsidRPr="00B17893">
        <w:rPr>
          <w:rFonts w:ascii="Times New Roman" w:eastAsia="Times New Roman" w:hAnsi="Times New Roman"/>
          <w:i/>
          <w:iCs/>
          <w:sz w:val="24"/>
          <w:szCs w:val="24"/>
        </w:rPr>
        <w:t>Regulatory notice</w:t>
      </w:r>
      <w:r w:rsidRPr="00B17893">
        <w:rPr>
          <w:rFonts w:ascii="Times New Roman" w:eastAsia="Times New Roman" w:hAnsi="Times New Roman"/>
          <w:sz w:val="24"/>
          <w:szCs w:val="24"/>
        </w:rPr>
        <w:t xml:space="preserve">. Retrieved November 23, 2025, from </w:t>
      </w:r>
      <w:hyperlink r:id="rId34" w:tgtFrame="_blank" w:history="1">
        <w:r w:rsidRPr="00B17893">
          <w:rPr>
            <w:rFonts w:ascii="Times New Roman" w:eastAsia="Times New Roman" w:hAnsi="Times New Roman"/>
            <w:color w:val="0000FF" w:themeColor="hyperlink"/>
            <w:sz w:val="24"/>
            <w:szCs w:val="24"/>
            <w:u w:val="single"/>
          </w:rPr>
          <w:t>https://dhakabankltd.com/regulatory-notice/</w:t>
        </w:r>
      </w:hyperlink>
    </w:p>
    <w:p w14:paraId="2FEFF167"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(2024, July 28). </w:t>
      </w:r>
      <w:r w:rsidRPr="00B17893">
        <w:rPr>
          <w:rFonts w:ascii="Times New Roman" w:eastAsia="Times New Roman" w:hAnsi="Times New Roman"/>
          <w:i/>
          <w:iCs/>
          <w:sz w:val="24"/>
          <w:szCs w:val="24"/>
        </w:rPr>
        <w:t>Daily business news flash July 28, 2024</w:t>
      </w:r>
      <w:r w:rsidRPr="00B17893">
        <w:rPr>
          <w:rFonts w:ascii="Times New Roman" w:eastAsia="Times New Roman" w:hAnsi="Times New Roman"/>
          <w:sz w:val="24"/>
          <w:szCs w:val="24"/>
        </w:rPr>
        <w:t xml:space="preserve">. </w:t>
      </w:r>
      <w:hyperlink r:id="rId35" w:tgtFrame="_blank" w:history="1">
        <w:r w:rsidRPr="00B17893">
          <w:rPr>
            <w:rFonts w:ascii="Times New Roman" w:eastAsia="Times New Roman" w:hAnsi="Times New Roman"/>
            <w:color w:val="0000FF" w:themeColor="hyperlink"/>
            <w:sz w:val="24"/>
            <w:szCs w:val="24"/>
            <w:u w:val="single"/>
          </w:rPr>
          <w:t>https://dhakabankltd.com/business-news/</w:t>
        </w:r>
      </w:hyperlink>
    </w:p>
    <w:p w14:paraId="230CB9C9" w14:textId="77777777" w:rsidR="00B17893" w:rsidRPr="00B17893"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EMIS. (2025, June 19). </w:t>
      </w:r>
      <w:r w:rsidRPr="00B17893">
        <w:rPr>
          <w:rFonts w:ascii="Times New Roman" w:eastAsia="Times New Roman" w:hAnsi="Times New Roman"/>
          <w:i/>
          <w:iCs/>
          <w:sz w:val="24"/>
          <w:szCs w:val="24"/>
        </w:rPr>
        <w:t>Dhaka Bank Plc company profile - Bangladesh</w:t>
      </w:r>
      <w:r w:rsidRPr="00B17893">
        <w:rPr>
          <w:rFonts w:ascii="Times New Roman" w:eastAsia="Times New Roman" w:hAnsi="Times New Roman"/>
          <w:sz w:val="24"/>
          <w:szCs w:val="24"/>
        </w:rPr>
        <w:t xml:space="preserve">. </w:t>
      </w:r>
      <w:hyperlink r:id="rId36" w:tgtFrame="_blank" w:history="1">
        <w:r w:rsidRPr="00B17893">
          <w:rPr>
            <w:rFonts w:ascii="Times New Roman" w:eastAsia="Times New Roman" w:hAnsi="Times New Roman"/>
            <w:color w:val="0000FF" w:themeColor="hyperlink"/>
            <w:sz w:val="24"/>
            <w:szCs w:val="24"/>
            <w:u w:val="single"/>
          </w:rPr>
          <w:t>https://www.emis.com/php/company-profile/BD/Dhaka_Bank_Plc_en_4049280.html</w:t>
        </w:r>
      </w:hyperlink>
    </w:p>
    <w:p w14:paraId="3A4024CB" w14:textId="77777777" w:rsidR="00BD524F" w:rsidRPr="007A323C" w:rsidRDefault="00B17893" w:rsidP="00DA1DC8">
      <w:pPr>
        <w:numPr>
          <w:ilvl w:val="0"/>
          <w:numId w:val="17"/>
        </w:numPr>
        <w:spacing w:before="100" w:beforeAutospacing="1" w:after="100" w:afterAutospacing="1" w:line="360" w:lineRule="auto"/>
        <w:jc w:val="both"/>
        <w:rPr>
          <w:rFonts w:ascii="Times New Roman" w:eastAsia="Times New Roman" w:hAnsi="Times New Roman"/>
          <w:sz w:val="24"/>
          <w:szCs w:val="24"/>
        </w:rPr>
      </w:pPr>
      <w:r w:rsidRPr="00B17893">
        <w:rPr>
          <w:rFonts w:ascii="Times New Roman" w:eastAsia="Times New Roman" w:hAnsi="Times New Roman"/>
          <w:sz w:val="24"/>
          <w:szCs w:val="24"/>
        </w:rPr>
        <w:t xml:space="preserve">Dhaka Bank PLC. (2025, November 20). </w:t>
      </w:r>
      <w:r w:rsidRPr="00B17893">
        <w:rPr>
          <w:rFonts w:ascii="Times New Roman" w:eastAsia="Times New Roman" w:hAnsi="Times New Roman"/>
          <w:i/>
          <w:iCs/>
          <w:sz w:val="24"/>
          <w:szCs w:val="24"/>
        </w:rPr>
        <w:t>Awards and accolades</w:t>
      </w:r>
      <w:r w:rsidRPr="00B17893">
        <w:rPr>
          <w:rFonts w:ascii="Times New Roman" w:eastAsia="Times New Roman" w:hAnsi="Times New Roman"/>
          <w:sz w:val="24"/>
          <w:szCs w:val="24"/>
        </w:rPr>
        <w:t xml:space="preserve">. </w:t>
      </w:r>
      <w:hyperlink r:id="rId37" w:tgtFrame="_blank" w:history="1">
        <w:r w:rsidRPr="00B17893">
          <w:rPr>
            <w:rFonts w:ascii="Times New Roman" w:eastAsia="Times New Roman" w:hAnsi="Times New Roman"/>
            <w:color w:val="0000FF" w:themeColor="hyperlink"/>
            <w:sz w:val="24"/>
            <w:szCs w:val="24"/>
            <w:u w:val="single"/>
          </w:rPr>
          <w:t>https://dhakabankltd.com/awards-and-accolades/</w:t>
        </w:r>
      </w:hyperlink>
    </w:p>
    <w:p w14:paraId="49D0523E" w14:textId="77777777" w:rsidR="00BD524F" w:rsidRDefault="00BD524F"/>
    <w:sectPr w:rsidR="00BD524F" w:rsidSect="009F64F4">
      <w:type w:val="continuous"/>
      <w:pgSz w:w="12240" w:h="15840"/>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Administrator" w:date="2019-09-02T14:11:00Z" w:initials="A">
    <w:p w14:paraId="3F0AE579" w14:textId="77777777" w:rsidR="00217E68" w:rsidRDefault="004A3528">
      <w:pPr>
        <w:pStyle w:val="CommentText"/>
      </w:pPr>
      <w:r>
        <w:rPr>
          <w:rStyle w:val="CommentReference"/>
        </w:rPr>
        <w:annotationRef/>
      </w:r>
      <w:r w:rsidR="00217E68">
        <w:rPr>
          <w:rFonts w:ascii="Arial" w:hAnsi="Arial" w:cs="Arial"/>
          <w:sz w:val="26"/>
          <w:szCs w:val="24"/>
        </w:rPr>
        <w:t>12 front, Central aligned, 1.5  line space</w:t>
      </w:r>
    </w:p>
  </w:comment>
  <w:comment w:id="1" w:author="Administrator" w:date="2019-09-02T15:42:00Z" w:initials="A">
    <w:p w14:paraId="2012187E"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16 front, Bold, Central aligned, </w:t>
      </w:r>
    </w:p>
  </w:comment>
  <w:comment w:id="2" w:author="Administrator" w:date="2019-09-02T14:14:00Z" w:initials="A">
    <w:p w14:paraId="714262D3"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20 front, Bold, Central aligned, </w:t>
      </w:r>
    </w:p>
    <w:p w14:paraId="1AD63CAE" w14:textId="77777777" w:rsidR="00217E68" w:rsidRDefault="00217E68">
      <w:pPr>
        <w:pStyle w:val="CommentText"/>
      </w:pPr>
    </w:p>
  </w:comment>
  <w:comment w:id="5" w:author="Administrator" w:date="2019-09-02T14:20:00Z" w:initials="A">
    <w:p w14:paraId="27E294C9"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16  front, Bold, Central aligned, </w:t>
      </w:r>
    </w:p>
    <w:p w14:paraId="3A72B7FD" w14:textId="77777777" w:rsidR="00217E68" w:rsidRDefault="00217E68">
      <w:pPr>
        <w:pStyle w:val="CommentText"/>
      </w:pPr>
    </w:p>
  </w:comment>
  <w:comment w:id="7" w:author="Administrator" w:date="2019-09-02T14:20:00Z" w:initials="A">
    <w:p w14:paraId="5E093E00"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16  front, Bold, Central aligned, </w:t>
      </w:r>
    </w:p>
  </w:comment>
  <w:comment w:id="9" w:author="Administrator" w:date="2024-12-03T08:28:00Z" w:initials="A">
    <w:p w14:paraId="239C5EB8"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16  front, Bold, Central aligned, </w:t>
      </w:r>
    </w:p>
  </w:comment>
  <w:comment w:id="11" w:author="Administrator" w:date="2019-09-02T14:21:00Z" w:initials="A">
    <w:p w14:paraId="40EA6EB8"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16  front, Bold, Central aligned, </w:t>
      </w:r>
    </w:p>
  </w:comment>
  <w:comment w:id="13" w:author="Administrator" w:date="2019-09-02T14:24:00Z" w:initials="A">
    <w:p w14:paraId="7CA65352" w14:textId="77777777" w:rsidR="00217E68" w:rsidRDefault="004A3528">
      <w:pPr>
        <w:pStyle w:val="CommentText"/>
        <w:rPr>
          <w:rFonts w:ascii="Arial" w:hAnsi="Arial" w:cs="Arial"/>
          <w:sz w:val="26"/>
          <w:szCs w:val="24"/>
        </w:rPr>
      </w:pPr>
      <w:r>
        <w:rPr>
          <w:rStyle w:val="CommentReference"/>
        </w:rPr>
        <w:annotationRef/>
      </w:r>
      <w:r w:rsidR="00217E68">
        <w:rPr>
          <w:rFonts w:ascii="Arial" w:hAnsi="Arial" w:cs="Arial"/>
          <w:sz w:val="26"/>
          <w:szCs w:val="24"/>
        </w:rPr>
        <w:t xml:space="preserve">Arial, 16 font, Bold, Central aligned, </w:t>
      </w:r>
    </w:p>
  </w:comment>
  <w:comment w:id="14" w:author="Administrator" w:date="2019-09-02T14:52:00Z" w:initials="A">
    <w:p w14:paraId="13D75FC3" w14:textId="77777777" w:rsidR="00217E68" w:rsidRDefault="004A3528">
      <w:pPr>
        <w:pStyle w:val="CommentText"/>
      </w:pPr>
      <w:r>
        <w:rPr>
          <w:rStyle w:val="CommentReference"/>
        </w:rPr>
        <w:annotationRef/>
      </w:r>
      <w:r w:rsidR="00217E68">
        <w:t xml:space="preserve"> Page number subject to change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F0AE579" w15:done="0"/>
  <w15:commentEx w15:paraId="2012187E" w15:done="0"/>
  <w15:commentEx w15:paraId="1AD63CAE" w15:done="0"/>
  <w15:commentEx w15:paraId="3A72B7FD" w15:done="0"/>
  <w15:commentEx w15:paraId="5E093E00" w15:done="0"/>
  <w15:commentEx w15:paraId="239C5EB8" w15:done="0"/>
  <w15:commentEx w15:paraId="40EA6EB8" w15:done="0"/>
  <w15:commentEx w15:paraId="7CA65352" w15:done="0"/>
  <w15:commentEx w15:paraId="13D75FC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F0AE579" w16cid:durableId="3F0AE579"/>
  <w16cid:commentId w16cid:paraId="2012187E" w16cid:durableId="2012187E"/>
  <w16cid:commentId w16cid:paraId="1AD63CAE" w16cid:durableId="1AD63CAE"/>
  <w16cid:commentId w16cid:paraId="3A72B7FD" w16cid:durableId="3A72B7FD"/>
  <w16cid:commentId w16cid:paraId="5E093E00" w16cid:durableId="5E093E00"/>
  <w16cid:commentId w16cid:paraId="239C5EB8" w16cid:durableId="239C5EB8"/>
  <w16cid:commentId w16cid:paraId="40EA6EB8" w16cid:durableId="40EA6EB8"/>
  <w16cid:commentId w16cid:paraId="7CA65352" w16cid:durableId="7CA65352"/>
  <w16cid:commentId w16cid:paraId="13D75FC3" w16cid:durableId="13D75FC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4748C7" w14:textId="77777777" w:rsidR="00B24743" w:rsidRDefault="00B24743">
      <w:pPr>
        <w:spacing w:line="240" w:lineRule="auto"/>
      </w:pPr>
      <w:r>
        <w:separator/>
      </w:r>
    </w:p>
  </w:endnote>
  <w:endnote w:type="continuationSeparator" w:id="0">
    <w:p w14:paraId="21254C67" w14:textId="77777777" w:rsidR="00B24743" w:rsidRDefault="00B2474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05361503"/>
      <w:docPartObj>
        <w:docPartGallery w:val="AutoText"/>
      </w:docPartObj>
    </w:sdtPr>
    <w:sdtContent>
      <w:p w14:paraId="1B6C6973" w14:textId="3A1A5B90" w:rsidR="00217E68" w:rsidRDefault="00217E68">
        <w:pPr>
          <w:pStyle w:val="Footer"/>
          <w:jc w:val="right"/>
        </w:pPr>
        <w:r w:rsidRPr="00917145">
          <w:rPr>
            <w:rFonts w:ascii="Times New Roman" w:hAnsi="Times New Roman"/>
            <w:b/>
            <w:sz w:val="24"/>
            <w:szCs w:val="24"/>
          </w:rPr>
          <w:fldChar w:fldCharType="begin"/>
        </w:r>
        <w:r w:rsidRPr="00917145">
          <w:rPr>
            <w:rFonts w:ascii="Times New Roman" w:hAnsi="Times New Roman"/>
            <w:b/>
            <w:sz w:val="24"/>
            <w:szCs w:val="24"/>
          </w:rPr>
          <w:instrText xml:space="preserve"> PAGE   \* MERGEFORMAT </w:instrText>
        </w:r>
        <w:r w:rsidRPr="00917145">
          <w:rPr>
            <w:rFonts w:ascii="Times New Roman" w:hAnsi="Times New Roman"/>
            <w:b/>
            <w:sz w:val="24"/>
            <w:szCs w:val="24"/>
          </w:rPr>
          <w:fldChar w:fldCharType="separate"/>
        </w:r>
        <w:r w:rsidR="002E2E0B">
          <w:rPr>
            <w:rFonts w:ascii="Times New Roman" w:hAnsi="Times New Roman"/>
            <w:b/>
            <w:noProof/>
            <w:sz w:val="24"/>
            <w:szCs w:val="24"/>
          </w:rPr>
          <w:t>x</w:t>
        </w:r>
        <w:r w:rsidRPr="00917145">
          <w:rPr>
            <w:rFonts w:ascii="Times New Roman" w:hAnsi="Times New Roman"/>
            <w:b/>
            <w:sz w:val="24"/>
            <w:szCs w:val="24"/>
          </w:rPr>
          <w:fldChar w:fldCharType="end"/>
        </w:r>
      </w:p>
    </w:sdtContent>
  </w:sdt>
  <w:p w14:paraId="29162F01" w14:textId="77777777" w:rsidR="00217E68" w:rsidRDefault="00217E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721622" w14:textId="77777777" w:rsidR="00B24743" w:rsidRDefault="00B24743">
      <w:pPr>
        <w:spacing w:after="0"/>
      </w:pPr>
      <w:r>
        <w:separator/>
      </w:r>
    </w:p>
  </w:footnote>
  <w:footnote w:type="continuationSeparator" w:id="0">
    <w:p w14:paraId="00CC8B32" w14:textId="77777777" w:rsidR="00B24743" w:rsidRDefault="00B24743">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01B77"/>
    <w:multiLevelType w:val="hybridMultilevel"/>
    <w:tmpl w:val="C57EF8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285CD1"/>
    <w:multiLevelType w:val="multilevel"/>
    <w:tmpl w:val="ED6AC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1E1002"/>
    <w:multiLevelType w:val="hybridMultilevel"/>
    <w:tmpl w:val="C4F80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717B31"/>
    <w:multiLevelType w:val="hybridMultilevel"/>
    <w:tmpl w:val="95AEA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D8062B"/>
    <w:multiLevelType w:val="hybridMultilevel"/>
    <w:tmpl w:val="94DE8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1D203A"/>
    <w:multiLevelType w:val="hybridMultilevel"/>
    <w:tmpl w:val="36D26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DF5296"/>
    <w:multiLevelType w:val="hybridMultilevel"/>
    <w:tmpl w:val="F1A4B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74959"/>
    <w:multiLevelType w:val="hybridMultilevel"/>
    <w:tmpl w:val="63E6C7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85B1EFA"/>
    <w:multiLevelType w:val="hybridMultilevel"/>
    <w:tmpl w:val="76C628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F890991"/>
    <w:multiLevelType w:val="multilevel"/>
    <w:tmpl w:val="4B126480"/>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2BD6D00"/>
    <w:multiLevelType w:val="multilevel"/>
    <w:tmpl w:val="947AB336"/>
    <w:lvl w:ilvl="0">
      <w:start w:val="1"/>
      <w:numFmt w:val="decimal"/>
      <w:lvlText w:val="%1."/>
      <w:lvlJc w:val="left"/>
      <w:pPr>
        <w:tabs>
          <w:tab w:val="num" w:pos="720"/>
        </w:tabs>
        <w:ind w:left="720" w:hanging="360"/>
      </w:pPr>
      <w:rPr>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31D4EDC"/>
    <w:multiLevelType w:val="multilevel"/>
    <w:tmpl w:val="1B829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5B5DD7"/>
    <w:multiLevelType w:val="multilevel"/>
    <w:tmpl w:val="7A34B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DF7666"/>
    <w:multiLevelType w:val="hybridMultilevel"/>
    <w:tmpl w:val="F7C01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6B2F4D"/>
    <w:multiLevelType w:val="multilevel"/>
    <w:tmpl w:val="B6A08A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27E4A53"/>
    <w:multiLevelType w:val="hybridMultilevel"/>
    <w:tmpl w:val="52EC8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76E2CD5"/>
    <w:multiLevelType w:val="hybridMultilevel"/>
    <w:tmpl w:val="25466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AA44FC"/>
    <w:multiLevelType w:val="hybridMultilevel"/>
    <w:tmpl w:val="4F3408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ADC5313"/>
    <w:multiLevelType w:val="hybridMultilevel"/>
    <w:tmpl w:val="883CDE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012CD0"/>
    <w:multiLevelType w:val="hybridMultilevel"/>
    <w:tmpl w:val="E3723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295A12"/>
    <w:multiLevelType w:val="hybridMultilevel"/>
    <w:tmpl w:val="817AA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3A7E3D"/>
    <w:multiLevelType w:val="multilevel"/>
    <w:tmpl w:val="5BBCA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8B0A44"/>
    <w:multiLevelType w:val="hybridMultilevel"/>
    <w:tmpl w:val="165892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8E569F"/>
    <w:multiLevelType w:val="hybridMultilevel"/>
    <w:tmpl w:val="CBF87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6D050DD"/>
    <w:multiLevelType w:val="hybridMultilevel"/>
    <w:tmpl w:val="E0188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7D1C7D"/>
    <w:multiLevelType w:val="hybridMultilevel"/>
    <w:tmpl w:val="32925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E91B93"/>
    <w:multiLevelType w:val="hybridMultilevel"/>
    <w:tmpl w:val="0E02DC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B14917"/>
    <w:multiLevelType w:val="hybridMultilevel"/>
    <w:tmpl w:val="994EC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D0C2C2C"/>
    <w:multiLevelType w:val="multilevel"/>
    <w:tmpl w:val="9202BC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0705121"/>
    <w:multiLevelType w:val="multilevel"/>
    <w:tmpl w:val="69AC4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08B5B95"/>
    <w:multiLevelType w:val="hybridMultilevel"/>
    <w:tmpl w:val="34506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AB2B25"/>
    <w:multiLevelType w:val="hybridMultilevel"/>
    <w:tmpl w:val="A8DC7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8FC3AC9"/>
    <w:multiLevelType w:val="hybridMultilevel"/>
    <w:tmpl w:val="21BA61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754E3A"/>
    <w:multiLevelType w:val="multilevel"/>
    <w:tmpl w:val="1C6E273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000B89"/>
    <w:multiLevelType w:val="hybridMultilevel"/>
    <w:tmpl w:val="4EEAF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B8D165C"/>
    <w:multiLevelType w:val="hybridMultilevel"/>
    <w:tmpl w:val="1B32A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12084228">
    <w:abstractNumId w:val="28"/>
  </w:num>
  <w:num w:numId="2" w16cid:durableId="2123642661">
    <w:abstractNumId w:val="17"/>
  </w:num>
  <w:num w:numId="3" w16cid:durableId="72430822">
    <w:abstractNumId w:val="26"/>
  </w:num>
  <w:num w:numId="4" w16cid:durableId="1308509392">
    <w:abstractNumId w:val="33"/>
  </w:num>
  <w:num w:numId="5" w16cid:durableId="250817663">
    <w:abstractNumId w:val="1"/>
  </w:num>
  <w:num w:numId="6" w16cid:durableId="1536697794">
    <w:abstractNumId w:val="10"/>
  </w:num>
  <w:num w:numId="7" w16cid:durableId="1855223632">
    <w:abstractNumId w:val="35"/>
  </w:num>
  <w:num w:numId="8" w16cid:durableId="2045327114">
    <w:abstractNumId w:val="34"/>
  </w:num>
  <w:num w:numId="9" w16cid:durableId="1438452315">
    <w:abstractNumId w:val="4"/>
  </w:num>
  <w:num w:numId="10" w16cid:durableId="1798327604">
    <w:abstractNumId w:val="5"/>
  </w:num>
  <w:num w:numId="11" w16cid:durableId="703605002">
    <w:abstractNumId w:val="8"/>
  </w:num>
  <w:num w:numId="12" w16cid:durableId="638657717">
    <w:abstractNumId w:val="21"/>
  </w:num>
  <w:num w:numId="13" w16cid:durableId="615068518">
    <w:abstractNumId w:val="11"/>
  </w:num>
  <w:num w:numId="14" w16cid:durableId="473136727">
    <w:abstractNumId w:val="29"/>
  </w:num>
  <w:num w:numId="15" w16cid:durableId="1302081107">
    <w:abstractNumId w:val="12"/>
  </w:num>
  <w:num w:numId="16" w16cid:durableId="1691099370">
    <w:abstractNumId w:val="9"/>
  </w:num>
  <w:num w:numId="17" w16cid:durableId="1679456667">
    <w:abstractNumId w:val="14"/>
  </w:num>
  <w:num w:numId="18" w16cid:durableId="2032338735">
    <w:abstractNumId w:val="32"/>
  </w:num>
  <w:num w:numId="19" w16cid:durableId="1657345251">
    <w:abstractNumId w:val="18"/>
  </w:num>
  <w:num w:numId="20" w16cid:durableId="1221677343">
    <w:abstractNumId w:val="13"/>
  </w:num>
  <w:num w:numId="21" w16cid:durableId="1994218677">
    <w:abstractNumId w:val="19"/>
  </w:num>
  <w:num w:numId="22" w16cid:durableId="1087045651">
    <w:abstractNumId w:val="6"/>
  </w:num>
  <w:num w:numId="23" w16cid:durableId="1679497547">
    <w:abstractNumId w:val="22"/>
  </w:num>
  <w:num w:numId="24" w16cid:durableId="1056780186">
    <w:abstractNumId w:val="30"/>
  </w:num>
  <w:num w:numId="25" w16cid:durableId="1096557217">
    <w:abstractNumId w:val="3"/>
  </w:num>
  <w:num w:numId="26" w16cid:durableId="407464114">
    <w:abstractNumId w:val="0"/>
  </w:num>
  <w:num w:numId="27" w16cid:durableId="822500693">
    <w:abstractNumId w:val="24"/>
  </w:num>
  <w:num w:numId="28" w16cid:durableId="1613630774">
    <w:abstractNumId w:val="31"/>
  </w:num>
  <w:num w:numId="29" w16cid:durableId="731805382">
    <w:abstractNumId w:val="15"/>
  </w:num>
  <w:num w:numId="30" w16cid:durableId="1823037701">
    <w:abstractNumId w:val="20"/>
  </w:num>
  <w:num w:numId="31" w16cid:durableId="1967350491">
    <w:abstractNumId w:val="27"/>
  </w:num>
  <w:num w:numId="32" w16cid:durableId="172493659">
    <w:abstractNumId w:val="16"/>
  </w:num>
  <w:num w:numId="33" w16cid:durableId="363988667">
    <w:abstractNumId w:val="2"/>
  </w:num>
  <w:num w:numId="34" w16cid:durableId="1403596514">
    <w:abstractNumId w:val="25"/>
  </w:num>
  <w:num w:numId="35" w16cid:durableId="1984195848">
    <w:abstractNumId w:val="7"/>
  </w:num>
  <w:num w:numId="36" w16cid:durableId="858159343">
    <w:abstractNumId w:val="23"/>
  </w:num>
  <w:numIdMacAtCleanup w:val="3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A731A"/>
    <w:rsid w:val="000002EE"/>
    <w:rsid w:val="00015F25"/>
    <w:rsid w:val="00017EEA"/>
    <w:rsid w:val="00034607"/>
    <w:rsid w:val="0005252A"/>
    <w:rsid w:val="000530C8"/>
    <w:rsid w:val="000661A4"/>
    <w:rsid w:val="0006650E"/>
    <w:rsid w:val="0009629E"/>
    <w:rsid w:val="000966CC"/>
    <w:rsid w:val="000C49CD"/>
    <w:rsid w:val="000C5EEE"/>
    <w:rsid w:val="000D3CD5"/>
    <w:rsid w:val="000E018F"/>
    <w:rsid w:val="000E2A7B"/>
    <w:rsid w:val="00102426"/>
    <w:rsid w:val="001055E8"/>
    <w:rsid w:val="00107A8B"/>
    <w:rsid w:val="00116602"/>
    <w:rsid w:val="00125466"/>
    <w:rsid w:val="00147D47"/>
    <w:rsid w:val="00153B14"/>
    <w:rsid w:val="00157EC7"/>
    <w:rsid w:val="001744CB"/>
    <w:rsid w:val="00175455"/>
    <w:rsid w:val="00177D81"/>
    <w:rsid w:val="00180D15"/>
    <w:rsid w:val="00181E08"/>
    <w:rsid w:val="00182B0D"/>
    <w:rsid w:val="00191FDD"/>
    <w:rsid w:val="00197D22"/>
    <w:rsid w:val="001A4020"/>
    <w:rsid w:val="001C29CE"/>
    <w:rsid w:val="001C7825"/>
    <w:rsid w:val="001D4117"/>
    <w:rsid w:val="001D4BC7"/>
    <w:rsid w:val="001E3E58"/>
    <w:rsid w:val="00204940"/>
    <w:rsid w:val="00217E68"/>
    <w:rsid w:val="00224EA7"/>
    <w:rsid w:val="00225191"/>
    <w:rsid w:val="002425C7"/>
    <w:rsid w:val="002469A9"/>
    <w:rsid w:val="00252BEF"/>
    <w:rsid w:val="00260C7F"/>
    <w:rsid w:val="002707AC"/>
    <w:rsid w:val="00294B10"/>
    <w:rsid w:val="002C2593"/>
    <w:rsid w:val="002C5601"/>
    <w:rsid w:val="002D062C"/>
    <w:rsid w:val="002D6B51"/>
    <w:rsid w:val="002D7BD6"/>
    <w:rsid w:val="002E2E0B"/>
    <w:rsid w:val="002E4E2A"/>
    <w:rsid w:val="002E50F2"/>
    <w:rsid w:val="002F39DE"/>
    <w:rsid w:val="002F7F1C"/>
    <w:rsid w:val="00300CD6"/>
    <w:rsid w:val="00340B98"/>
    <w:rsid w:val="003543D6"/>
    <w:rsid w:val="00366B6F"/>
    <w:rsid w:val="0037402E"/>
    <w:rsid w:val="00381146"/>
    <w:rsid w:val="0038239A"/>
    <w:rsid w:val="00393EC3"/>
    <w:rsid w:val="0039509B"/>
    <w:rsid w:val="003A26F5"/>
    <w:rsid w:val="003C5B67"/>
    <w:rsid w:val="003C682B"/>
    <w:rsid w:val="003D51FB"/>
    <w:rsid w:val="003E0FFB"/>
    <w:rsid w:val="003E49EE"/>
    <w:rsid w:val="003E7FD5"/>
    <w:rsid w:val="00410263"/>
    <w:rsid w:val="00412F5D"/>
    <w:rsid w:val="00414E60"/>
    <w:rsid w:val="00441EEA"/>
    <w:rsid w:val="004626B4"/>
    <w:rsid w:val="00493010"/>
    <w:rsid w:val="00495296"/>
    <w:rsid w:val="004A3528"/>
    <w:rsid w:val="004A6163"/>
    <w:rsid w:val="004A6A95"/>
    <w:rsid w:val="004C23F9"/>
    <w:rsid w:val="004C4488"/>
    <w:rsid w:val="004D4EEE"/>
    <w:rsid w:val="004E03FD"/>
    <w:rsid w:val="004E5BCF"/>
    <w:rsid w:val="004F00BB"/>
    <w:rsid w:val="004F1534"/>
    <w:rsid w:val="005155B5"/>
    <w:rsid w:val="00530F11"/>
    <w:rsid w:val="00535A54"/>
    <w:rsid w:val="00542AA0"/>
    <w:rsid w:val="00554323"/>
    <w:rsid w:val="00560B31"/>
    <w:rsid w:val="005623E7"/>
    <w:rsid w:val="005647CE"/>
    <w:rsid w:val="005822C5"/>
    <w:rsid w:val="0059585B"/>
    <w:rsid w:val="005A1438"/>
    <w:rsid w:val="005A3F50"/>
    <w:rsid w:val="005A65F0"/>
    <w:rsid w:val="005B3803"/>
    <w:rsid w:val="005C53CC"/>
    <w:rsid w:val="005D0CD1"/>
    <w:rsid w:val="005E1F4E"/>
    <w:rsid w:val="005E27A5"/>
    <w:rsid w:val="00606154"/>
    <w:rsid w:val="00610DD0"/>
    <w:rsid w:val="00616E8A"/>
    <w:rsid w:val="006176B3"/>
    <w:rsid w:val="00623D5A"/>
    <w:rsid w:val="00632551"/>
    <w:rsid w:val="00635579"/>
    <w:rsid w:val="006472C1"/>
    <w:rsid w:val="00663FBD"/>
    <w:rsid w:val="00674144"/>
    <w:rsid w:val="00674B2B"/>
    <w:rsid w:val="00677A53"/>
    <w:rsid w:val="00682D0F"/>
    <w:rsid w:val="006871B4"/>
    <w:rsid w:val="006A0EA7"/>
    <w:rsid w:val="006A6A9E"/>
    <w:rsid w:val="006D1B38"/>
    <w:rsid w:val="006D3AE7"/>
    <w:rsid w:val="00717A72"/>
    <w:rsid w:val="007222AA"/>
    <w:rsid w:val="0072296D"/>
    <w:rsid w:val="00730E4B"/>
    <w:rsid w:val="007343FA"/>
    <w:rsid w:val="007368C6"/>
    <w:rsid w:val="00754D9F"/>
    <w:rsid w:val="00780AA6"/>
    <w:rsid w:val="00794415"/>
    <w:rsid w:val="00794833"/>
    <w:rsid w:val="007A323C"/>
    <w:rsid w:val="007A731A"/>
    <w:rsid w:val="007A778F"/>
    <w:rsid w:val="007C1670"/>
    <w:rsid w:val="007D3B13"/>
    <w:rsid w:val="007E36FE"/>
    <w:rsid w:val="007E4B40"/>
    <w:rsid w:val="007F24F9"/>
    <w:rsid w:val="007F5BD3"/>
    <w:rsid w:val="00800E96"/>
    <w:rsid w:val="0081028D"/>
    <w:rsid w:val="00827A53"/>
    <w:rsid w:val="00833CCA"/>
    <w:rsid w:val="008423D0"/>
    <w:rsid w:val="00854589"/>
    <w:rsid w:val="00862418"/>
    <w:rsid w:val="008626F0"/>
    <w:rsid w:val="008668EE"/>
    <w:rsid w:val="00880A56"/>
    <w:rsid w:val="008963D1"/>
    <w:rsid w:val="008A78F8"/>
    <w:rsid w:val="008B46AA"/>
    <w:rsid w:val="008D159F"/>
    <w:rsid w:val="008E00B8"/>
    <w:rsid w:val="008E192F"/>
    <w:rsid w:val="008F17C2"/>
    <w:rsid w:val="00902668"/>
    <w:rsid w:val="0090351D"/>
    <w:rsid w:val="00903DDA"/>
    <w:rsid w:val="0090648C"/>
    <w:rsid w:val="009074DA"/>
    <w:rsid w:val="0091072A"/>
    <w:rsid w:val="009135BE"/>
    <w:rsid w:val="00917145"/>
    <w:rsid w:val="00927AA2"/>
    <w:rsid w:val="00940F62"/>
    <w:rsid w:val="009521E2"/>
    <w:rsid w:val="00957D20"/>
    <w:rsid w:val="009648A0"/>
    <w:rsid w:val="00992877"/>
    <w:rsid w:val="009A41E1"/>
    <w:rsid w:val="009B2955"/>
    <w:rsid w:val="009C74F3"/>
    <w:rsid w:val="009F333F"/>
    <w:rsid w:val="009F3397"/>
    <w:rsid w:val="009F64F4"/>
    <w:rsid w:val="00A131A0"/>
    <w:rsid w:val="00A2285C"/>
    <w:rsid w:val="00A259C4"/>
    <w:rsid w:val="00A42593"/>
    <w:rsid w:val="00A54AB0"/>
    <w:rsid w:val="00A54F31"/>
    <w:rsid w:val="00A74E9D"/>
    <w:rsid w:val="00A74FA3"/>
    <w:rsid w:val="00A77394"/>
    <w:rsid w:val="00A91AB6"/>
    <w:rsid w:val="00AC5F76"/>
    <w:rsid w:val="00AC79CA"/>
    <w:rsid w:val="00AD00B0"/>
    <w:rsid w:val="00AD0FAE"/>
    <w:rsid w:val="00AD33D1"/>
    <w:rsid w:val="00AD4066"/>
    <w:rsid w:val="00AD6078"/>
    <w:rsid w:val="00AD714A"/>
    <w:rsid w:val="00AE74C0"/>
    <w:rsid w:val="00B0104A"/>
    <w:rsid w:val="00B0669C"/>
    <w:rsid w:val="00B136C9"/>
    <w:rsid w:val="00B14382"/>
    <w:rsid w:val="00B17893"/>
    <w:rsid w:val="00B24743"/>
    <w:rsid w:val="00B43088"/>
    <w:rsid w:val="00B46980"/>
    <w:rsid w:val="00B563AF"/>
    <w:rsid w:val="00B604AA"/>
    <w:rsid w:val="00B938C6"/>
    <w:rsid w:val="00BB1572"/>
    <w:rsid w:val="00BB6F7E"/>
    <w:rsid w:val="00BD524F"/>
    <w:rsid w:val="00C019CE"/>
    <w:rsid w:val="00C2391F"/>
    <w:rsid w:val="00C2494F"/>
    <w:rsid w:val="00C25A69"/>
    <w:rsid w:val="00C319B8"/>
    <w:rsid w:val="00C4287A"/>
    <w:rsid w:val="00C6138D"/>
    <w:rsid w:val="00C736B7"/>
    <w:rsid w:val="00C74D2F"/>
    <w:rsid w:val="00C81513"/>
    <w:rsid w:val="00C87718"/>
    <w:rsid w:val="00CA102E"/>
    <w:rsid w:val="00CA1D28"/>
    <w:rsid w:val="00CA4120"/>
    <w:rsid w:val="00CA4BBC"/>
    <w:rsid w:val="00CA74F3"/>
    <w:rsid w:val="00CE7812"/>
    <w:rsid w:val="00CF0EB8"/>
    <w:rsid w:val="00D002F2"/>
    <w:rsid w:val="00D11CE9"/>
    <w:rsid w:val="00D154E3"/>
    <w:rsid w:val="00D2125B"/>
    <w:rsid w:val="00D24214"/>
    <w:rsid w:val="00D41686"/>
    <w:rsid w:val="00D4423E"/>
    <w:rsid w:val="00D4627F"/>
    <w:rsid w:val="00D527E4"/>
    <w:rsid w:val="00D57AA4"/>
    <w:rsid w:val="00D77C53"/>
    <w:rsid w:val="00DA098A"/>
    <w:rsid w:val="00DA1DBD"/>
    <w:rsid w:val="00DA1DC8"/>
    <w:rsid w:val="00DB64DF"/>
    <w:rsid w:val="00DD41CC"/>
    <w:rsid w:val="00DE12D2"/>
    <w:rsid w:val="00DE6533"/>
    <w:rsid w:val="00E07D66"/>
    <w:rsid w:val="00E11522"/>
    <w:rsid w:val="00E116D2"/>
    <w:rsid w:val="00E17A86"/>
    <w:rsid w:val="00E20003"/>
    <w:rsid w:val="00E25F09"/>
    <w:rsid w:val="00E365CD"/>
    <w:rsid w:val="00E36745"/>
    <w:rsid w:val="00E6771E"/>
    <w:rsid w:val="00E81A6F"/>
    <w:rsid w:val="00E83836"/>
    <w:rsid w:val="00E94B0F"/>
    <w:rsid w:val="00E952CD"/>
    <w:rsid w:val="00E95351"/>
    <w:rsid w:val="00EA170B"/>
    <w:rsid w:val="00EC4E07"/>
    <w:rsid w:val="00ED283B"/>
    <w:rsid w:val="00EE2B1B"/>
    <w:rsid w:val="00F014A3"/>
    <w:rsid w:val="00F04F45"/>
    <w:rsid w:val="00F16DF5"/>
    <w:rsid w:val="00F31C85"/>
    <w:rsid w:val="00F57D7F"/>
    <w:rsid w:val="00F85F2F"/>
    <w:rsid w:val="00F86E55"/>
    <w:rsid w:val="00F87FD5"/>
    <w:rsid w:val="00F95E1F"/>
    <w:rsid w:val="00FC337C"/>
    <w:rsid w:val="00FE6C1A"/>
    <w:rsid w:val="00FF244C"/>
    <w:rsid w:val="335240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475D9"/>
  <w15:docId w15:val="{EFEB210E-FD82-4DEE-A920-3EFF2F869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qFormat="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6DF5"/>
    <w:pPr>
      <w:spacing w:after="200" w:line="276" w:lineRule="auto"/>
    </w:pPr>
    <w:rPr>
      <w:rFonts w:ascii="Calibri" w:eastAsia="Calibri" w:hAnsi="Calibri" w:cs="Times New Roman"/>
      <w:sz w:val="22"/>
      <w:szCs w:val="22"/>
    </w:rPr>
  </w:style>
  <w:style w:type="paragraph" w:styleId="Heading1">
    <w:name w:val="heading 1"/>
    <w:basedOn w:val="Normal"/>
    <w:next w:val="Normal"/>
    <w:link w:val="Heading1Char"/>
    <w:uiPriority w:val="9"/>
    <w:qFormat/>
    <w:pPr>
      <w:keepNext/>
      <w:keepLines/>
      <w:spacing w:before="480" w:after="0"/>
      <w:jc w:val="center"/>
      <w:outlineLvl w:val="0"/>
    </w:pPr>
    <w:rPr>
      <w:rFonts w:ascii="Arial" w:eastAsiaTheme="majorEastAsia" w:hAnsi="Arial" w:cstheme="majorBidi"/>
      <w:b/>
      <w:bCs/>
      <w:color w:val="365F91" w:themeColor="accent1" w:themeShade="BF"/>
      <w:sz w:val="32"/>
      <w:szCs w:val="28"/>
    </w:rPr>
  </w:style>
  <w:style w:type="paragraph" w:styleId="Heading2">
    <w:name w:val="heading 2"/>
    <w:basedOn w:val="Normal"/>
    <w:next w:val="Normal"/>
    <w:link w:val="Heading2Char"/>
    <w:uiPriority w:val="9"/>
    <w:unhideWhenUsed/>
    <w:qFormat/>
    <w:pPr>
      <w:keepNext/>
      <w:keepLines/>
      <w:spacing w:before="200" w:after="0"/>
      <w:outlineLvl w:val="1"/>
    </w:pPr>
    <w:rPr>
      <w:rFonts w:ascii="Arial" w:eastAsiaTheme="majorEastAsia" w:hAnsi="Arial" w:cstheme="majorBidi"/>
      <w:bCs/>
      <w:color w:val="000000" w:themeColor="text1"/>
      <w:sz w:val="28"/>
      <w:szCs w:val="26"/>
    </w:rPr>
  </w:style>
  <w:style w:type="paragraph" w:styleId="Heading3">
    <w:name w:val="heading 3"/>
    <w:basedOn w:val="Normal"/>
    <w:next w:val="Normal"/>
    <w:link w:val="Heading3Char"/>
    <w:uiPriority w:val="9"/>
    <w:unhideWhenUsed/>
    <w:qFormat/>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qFormat/>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0000FF" w:themeColor="hyperlink"/>
      <w:u w:val="single"/>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qFormat/>
    <w:pPr>
      <w:spacing w:after="100"/>
      <w:ind w:left="220"/>
    </w:pPr>
  </w:style>
  <w:style w:type="paragraph" w:styleId="TOC3">
    <w:name w:val="toc 3"/>
    <w:basedOn w:val="Normal"/>
    <w:next w:val="Normal"/>
    <w:autoRedefine/>
    <w:uiPriority w:val="39"/>
    <w:unhideWhenUsed/>
    <w:pPr>
      <w:spacing w:after="100"/>
      <w:ind w:left="440"/>
    </w:pPr>
  </w:style>
  <w:style w:type="character" w:customStyle="1" w:styleId="CommentTextChar">
    <w:name w:val="Comment Text Char"/>
    <w:basedOn w:val="DefaultParagraphFont"/>
    <w:link w:val="CommentText"/>
    <w:uiPriority w:val="99"/>
    <w:semiHidden/>
    <w:rPr>
      <w:rFonts w:ascii="Calibri" w:eastAsia="Calibri" w:hAnsi="Calibri" w:cs="Times New Roman"/>
      <w:sz w:val="20"/>
      <w:szCs w:val="20"/>
    </w:rPr>
  </w:style>
  <w:style w:type="character" w:customStyle="1" w:styleId="CommentSubjectChar">
    <w:name w:val="Comment Subject Char"/>
    <w:basedOn w:val="CommentTextChar"/>
    <w:link w:val="CommentSubject"/>
    <w:uiPriority w:val="99"/>
    <w:semiHidden/>
    <w:rPr>
      <w:rFonts w:ascii="Calibri" w:eastAsia="Calibri" w:hAnsi="Calibri" w:cs="Times New Roman"/>
      <w:b/>
      <w:bCs/>
      <w:sz w:val="20"/>
      <w:szCs w:val="20"/>
    </w:rPr>
  </w:style>
  <w:style w:type="character" w:customStyle="1" w:styleId="BalloonTextChar">
    <w:name w:val="Balloon Text Char"/>
    <w:basedOn w:val="DefaultParagraphFont"/>
    <w:link w:val="BalloonText"/>
    <w:uiPriority w:val="99"/>
    <w:semiHidden/>
    <w:rPr>
      <w:rFonts w:ascii="Tahoma" w:eastAsia="Calibri" w:hAnsi="Tahoma" w:cs="Tahoma"/>
      <w:sz w:val="16"/>
      <w:szCs w:val="16"/>
    </w:rPr>
  </w:style>
  <w:style w:type="character" w:customStyle="1" w:styleId="Heading1Char">
    <w:name w:val="Heading 1 Char"/>
    <w:basedOn w:val="DefaultParagraphFont"/>
    <w:link w:val="Heading1"/>
    <w:uiPriority w:val="9"/>
    <w:qFormat/>
    <w:rPr>
      <w:rFonts w:ascii="Arial" w:eastAsiaTheme="majorEastAsia" w:hAnsi="Arial" w:cstheme="majorBidi"/>
      <w:b/>
      <w:bCs/>
      <w:color w:val="365F91" w:themeColor="accent1" w:themeShade="BF"/>
      <w:sz w:val="32"/>
      <w:szCs w:val="28"/>
    </w:rPr>
  </w:style>
  <w:style w:type="paragraph" w:customStyle="1" w:styleId="TOCHeading1">
    <w:name w:val="TOC Heading1"/>
    <w:basedOn w:val="Heading1"/>
    <w:next w:val="Normal"/>
    <w:uiPriority w:val="39"/>
    <w:semiHidden/>
    <w:unhideWhenUsed/>
    <w:qFormat/>
    <w:pPr>
      <w:jc w:val="left"/>
      <w:outlineLvl w:val="9"/>
    </w:pPr>
    <w:rPr>
      <w:rFonts w:asciiTheme="majorHAnsi" w:hAnsiTheme="majorHAnsi"/>
      <w:sz w:val="28"/>
      <w:lang w:eastAsia="ja-JP"/>
    </w:rPr>
  </w:style>
  <w:style w:type="character" w:customStyle="1" w:styleId="Heading2Char">
    <w:name w:val="Heading 2 Char"/>
    <w:basedOn w:val="DefaultParagraphFont"/>
    <w:link w:val="Heading2"/>
    <w:uiPriority w:val="9"/>
    <w:rPr>
      <w:rFonts w:ascii="Arial" w:eastAsiaTheme="majorEastAsia" w:hAnsi="Arial" w:cstheme="majorBidi"/>
      <w:bCs/>
      <w:color w:val="000000" w:themeColor="text1"/>
      <w:sz w:val="28"/>
      <w:szCs w:val="26"/>
    </w:rPr>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rPr>
      <w:rFonts w:asciiTheme="majorHAnsi" w:eastAsiaTheme="majorEastAsia" w:hAnsiTheme="majorHAnsi" w:cstheme="majorBidi"/>
      <w:b/>
      <w:bCs/>
      <w:color w:val="4F81BD" w:themeColor="accent1"/>
    </w:rPr>
  </w:style>
  <w:style w:type="character" w:customStyle="1" w:styleId="HeaderChar">
    <w:name w:val="Header Char"/>
    <w:basedOn w:val="DefaultParagraphFont"/>
    <w:link w:val="Header"/>
    <w:uiPriority w:val="99"/>
    <w:rPr>
      <w:rFonts w:ascii="Calibri" w:eastAsia="Calibri" w:hAnsi="Calibri" w:cs="Times New Roman"/>
    </w:rPr>
  </w:style>
  <w:style w:type="character" w:customStyle="1" w:styleId="FooterChar">
    <w:name w:val="Footer Char"/>
    <w:basedOn w:val="DefaultParagraphFont"/>
    <w:link w:val="Footer"/>
    <w:uiPriority w:val="99"/>
    <w:rPr>
      <w:rFonts w:ascii="Calibri" w:eastAsia="Calibri" w:hAnsi="Calibri" w:cs="Times New Roman"/>
    </w:rPr>
  </w:style>
  <w:style w:type="character" w:customStyle="1" w:styleId="Heading4Char">
    <w:name w:val="Heading 4 Char"/>
    <w:basedOn w:val="DefaultParagraphFont"/>
    <w:link w:val="Heading4"/>
    <w:uiPriority w:val="9"/>
    <w:rPr>
      <w:rFonts w:asciiTheme="majorHAnsi" w:eastAsiaTheme="majorEastAsia" w:hAnsiTheme="majorHAnsi" w:cstheme="majorBidi"/>
      <w:b/>
      <w:bCs/>
      <w:i/>
      <w:iCs/>
      <w:color w:val="4F81BD" w:themeColor="accent1"/>
    </w:rPr>
  </w:style>
  <w:style w:type="paragraph" w:styleId="Title">
    <w:name w:val="Title"/>
    <w:basedOn w:val="Normal"/>
    <w:next w:val="Normal"/>
    <w:link w:val="TitleChar"/>
    <w:uiPriority w:val="10"/>
    <w:qFormat/>
    <w:rsid w:val="009648A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648A0"/>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99"/>
    <w:unhideWhenUsed/>
    <w:rsid w:val="00530F11"/>
    <w:pPr>
      <w:ind w:left="720"/>
      <w:contextualSpacing/>
    </w:pPr>
  </w:style>
  <w:style w:type="table" w:styleId="TableGrid">
    <w:name w:val="Table Grid"/>
    <w:basedOn w:val="TableNormal"/>
    <w:uiPriority w:val="59"/>
    <w:rsid w:val="00F16DF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unhideWhenUsed/>
    <w:rsid w:val="00CF0EB8"/>
    <w:rPr>
      <w:rFonts w:ascii="Calibri" w:eastAsia="Calibri" w:hAnsi="Calibri" w:cs="Times New Roman"/>
      <w:sz w:val="22"/>
      <w:szCs w:val="22"/>
    </w:rPr>
  </w:style>
  <w:style w:type="paragraph" w:styleId="NormalWeb">
    <w:name w:val="Normal (Web)"/>
    <w:basedOn w:val="Normal"/>
    <w:uiPriority w:val="99"/>
    <w:unhideWhenUsed/>
    <w:rsid w:val="00B14382"/>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58046">
      <w:bodyDiv w:val="1"/>
      <w:marLeft w:val="0"/>
      <w:marRight w:val="0"/>
      <w:marTop w:val="0"/>
      <w:marBottom w:val="0"/>
      <w:divBdr>
        <w:top w:val="none" w:sz="0" w:space="0" w:color="auto"/>
        <w:left w:val="none" w:sz="0" w:space="0" w:color="auto"/>
        <w:bottom w:val="none" w:sz="0" w:space="0" w:color="auto"/>
        <w:right w:val="none" w:sz="0" w:space="0" w:color="auto"/>
      </w:divBdr>
    </w:div>
    <w:div w:id="514734033">
      <w:bodyDiv w:val="1"/>
      <w:marLeft w:val="0"/>
      <w:marRight w:val="0"/>
      <w:marTop w:val="0"/>
      <w:marBottom w:val="0"/>
      <w:divBdr>
        <w:top w:val="none" w:sz="0" w:space="0" w:color="auto"/>
        <w:left w:val="none" w:sz="0" w:space="0" w:color="auto"/>
        <w:bottom w:val="none" w:sz="0" w:space="0" w:color="auto"/>
        <w:right w:val="none" w:sz="0" w:space="0" w:color="auto"/>
      </w:divBdr>
    </w:div>
    <w:div w:id="575408191">
      <w:bodyDiv w:val="1"/>
      <w:marLeft w:val="0"/>
      <w:marRight w:val="0"/>
      <w:marTop w:val="0"/>
      <w:marBottom w:val="0"/>
      <w:divBdr>
        <w:top w:val="none" w:sz="0" w:space="0" w:color="auto"/>
        <w:left w:val="none" w:sz="0" w:space="0" w:color="auto"/>
        <w:bottom w:val="none" w:sz="0" w:space="0" w:color="auto"/>
        <w:right w:val="none" w:sz="0" w:space="0" w:color="auto"/>
      </w:divBdr>
    </w:div>
    <w:div w:id="1655797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chart" Target="charts/chart4.xml"/><Relationship Id="rId26" Type="http://schemas.openxmlformats.org/officeDocument/2006/relationships/hyperlink" Target="https://dhakabankltd.com/wp-content/uploads/2025/05/UN-AUDITED-FINANCIAL-STATEMENTS-FOR-THE-PERIOD-ENDED-31-MARCH-2025.pdf" TargetMode="External"/><Relationship Id="rId39" Type="http://schemas.microsoft.com/office/2011/relationships/people" Target="people.xml"/><Relationship Id="rId3" Type="http://schemas.openxmlformats.org/officeDocument/2006/relationships/styles" Target="styles.xml"/><Relationship Id="rId21" Type="http://schemas.openxmlformats.org/officeDocument/2006/relationships/chart" Target="charts/chart7.xml"/><Relationship Id="rId34" Type="http://schemas.openxmlformats.org/officeDocument/2006/relationships/hyperlink" Target="https://dhakabankltd.com/regulatory-notice/"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3.xml"/><Relationship Id="rId25" Type="http://schemas.openxmlformats.org/officeDocument/2006/relationships/hyperlink" Target="https://dhakabankltd.com/wp-content/uploads/2025/07/UN-AUDITED-FINANCIAL-STATEMENTS-FOR-THE-PERIOD-ENDED-30-JUNE-2025.pdf" TargetMode="External"/><Relationship Id="rId33" Type="http://schemas.openxmlformats.org/officeDocument/2006/relationships/hyperlink" Target="https://www.google.com/search?q=https://dhakabankltd.com/interest-rates/"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chart" Target="charts/chart6.xml"/><Relationship Id="rId29" Type="http://schemas.openxmlformats.org/officeDocument/2006/relationships/hyperlink" Target="https://dhakabankltd.com/about-u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24" Type="http://schemas.openxmlformats.org/officeDocument/2006/relationships/hyperlink" Target="https://dhakabankltd.com/wp-content/uploads/2025/07/DBL-Distribution-of-Annual-Report-2024.pdf" TargetMode="External"/><Relationship Id="rId32" Type="http://schemas.openxmlformats.org/officeDocument/2006/relationships/hyperlink" Target="https://dhakabankltd.com/islamic-banking/" TargetMode="External"/><Relationship Id="rId37" Type="http://schemas.openxmlformats.org/officeDocument/2006/relationships/hyperlink" Target="https://www.google.com/search?q=https://dhakabankltd.com/awards-and-accolades/"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dhakabankltd.com/wp-content/uploads/2025/07/Dhaka-Bank-Annual-Report-2024.pdf" TargetMode="External"/><Relationship Id="rId28" Type="http://schemas.openxmlformats.org/officeDocument/2006/relationships/hyperlink" Target="https://dhakabankltd.com/wp-content/uploads/2024/11/Sustainable-finance-CSR-initiatives-2023.pdf" TargetMode="External"/><Relationship Id="rId36" Type="http://schemas.openxmlformats.org/officeDocument/2006/relationships/hyperlink" Target="https://www.emis.com/php/company-profile/BD/Dhaka_Bank_Plc_en_4049280.html" TargetMode="External"/><Relationship Id="rId10" Type="http://schemas.microsoft.com/office/2011/relationships/commentsExtended" Target="commentsExtended.xml"/><Relationship Id="rId19" Type="http://schemas.openxmlformats.org/officeDocument/2006/relationships/chart" Target="charts/chart5.xml"/><Relationship Id="rId31" Type="http://schemas.openxmlformats.org/officeDocument/2006/relationships/hyperlink" Target="https://www.google.com/search?q=https://dhakabankltd.com/sme-agri/" TargetMode="Externa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1.xml"/><Relationship Id="rId22" Type="http://schemas.openxmlformats.org/officeDocument/2006/relationships/chart" Target="charts/chart8.xml"/><Relationship Id="rId27" Type="http://schemas.openxmlformats.org/officeDocument/2006/relationships/hyperlink" Target="https://dhakabankltd.com/price-sensitive-information/" TargetMode="External"/><Relationship Id="rId30" Type="http://schemas.openxmlformats.org/officeDocument/2006/relationships/hyperlink" Target="https://www.google.com/search?q=https://dhakabankltd.com/corporate-banking/" TargetMode="External"/><Relationship Id="rId35" Type="http://schemas.openxmlformats.org/officeDocument/2006/relationships/hyperlink" Target="https://dhakabankltd.com/business-news/"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Sheet8!$G$12</c:f>
              <c:strCache>
                <c:ptCount val="1"/>
                <c:pt idx="0">
                  <c:v>Credit Analysis Completion Rate</c:v>
                </c:pt>
              </c:strCache>
            </c:strRef>
          </c:tx>
          <c:marker>
            <c:symbol val="none"/>
          </c:marker>
          <c:cat>
            <c:numRef>
              <c:f>Sheet8!$H$11:$L$11</c:f>
              <c:numCache>
                <c:formatCode>General</c:formatCode>
                <c:ptCount val="5"/>
                <c:pt idx="0">
                  <c:v>2019</c:v>
                </c:pt>
                <c:pt idx="1">
                  <c:v>2020</c:v>
                </c:pt>
                <c:pt idx="2">
                  <c:v>2021</c:v>
                </c:pt>
                <c:pt idx="3">
                  <c:v>2022</c:v>
                </c:pt>
                <c:pt idx="4">
                  <c:v>2023</c:v>
                </c:pt>
              </c:numCache>
            </c:numRef>
          </c:cat>
          <c:val>
            <c:numRef>
              <c:f>Sheet8!$H$12:$L$12</c:f>
              <c:numCache>
                <c:formatCode>0%</c:formatCode>
                <c:ptCount val="5"/>
                <c:pt idx="0">
                  <c:v>0.75</c:v>
                </c:pt>
                <c:pt idx="1">
                  <c:v>0.7</c:v>
                </c:pt>
                <c:pt idx="2">
                  <c:v>0.78</c:v>
                </c:pt>
                <c:pt idx="3">
                  <c:v>0.8</c:v>
                </c:pt>
                <c:pt idx="4">
                  <c:v>0.82</c:v>
                </c:pt>
              </c:numCache>
            </c:numRef>
          </c:val>
          <c:smooth val="0"/>
          <c:extLst>
            <c:ext xmlns:c16="http://schemas.microsoft.com/office/drawing/2014/chart" uri="{C3380CC4-5D6E-409C-BE32-E72D297353CC}">
              <c16:uniqueId val="{00000000-10B9-414A-B91B-FDB47D724E47}"/>
            </c:ext>
          </c:extLst>
        </c:ser>
        <c:dLbls>
          <c:showLegendKey val="0"/>
          <c:showVal val="0"/>
          <c:showCatName val="0"/>
          <c:showSerName val="0"/>
          <c:showPercent val="0"/>
          <c:showBubbleSize val="0"/>
        </c:dLbls>
        <c:smooth val="0"/>
        <c:axId val="226636544"/>
        <c:axId val="296579456"/>
      </c:lineChart>
      <c:catAx>
        <c:axId val="226636544"/>
        <c:scaling>
          <c:orientation val="minMax"/>
        </c:scaling>
        <c:delete val="0"/>
        <c:axPos val="b"/>
        <c:numFmt formatCode="General" sourceLinked="1"/>
        <c:majorTickMark val="out"/>
        <c:minorTickMark val="none"/>
        <c:tickLblPos val="nextTo"/>
        <c:crossAx val="296579456"/>
        <c:crosses val="autoZero"/>
        <c:auto val="1"/>
        <c:lblAlgn val="ctr"/>
        <c:lblOffset val="100"/>
        <c:noMultiLvlLbl val="0"/>
      </c:catAx>
      <c:valAx>
        <c:axId val="296579456"/>
        <c:scaling>
          <c:orientation val="minMax"/>
        </c:scaling>
        <c:delete val="0"/>
        <c:axPos val="l"/>
        <c:numFmt formatCode="0%" sourceLinked="1"/>
        <c:majorTickMark val="out"/>
        <c:minorTickMark val="none"/>
        <c:tickLblPos val="nextTo"/>
        <c:crossAx val="226636544"/>
        <c:crosses val="autoZero"/>
        <c:crossBetween val="between"/>
      </c:val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Sheet9!$G$10</c:f>
              <c:strCache>
                <c:ptCount val="1"/>
                <c:pt idx="0">
                  <c:v>Current Ratio</c:v>
                </c:pt>
              </c:strCache>
            </c:strRef>
          </c:tx>
          <c:invertIfNegative val="0"/>
          <c:cat>
            <c:numRef>
              <c:f>Sheet9!$H$9:$L$9</c:f>
              <c:numCache>
                <c:formatCode>General</c:formatCode>
                <c:ptCount val="5"/>
                <c:pt idx="0">
                  <c:v>2019</c:v>
                </c:pt>
                <c:pt idx="1">
                  <c:v>2020</c:v>
                </c:pt>
                <c:pt idx="2">
                  <c:v>2021</c:v>
                </c:pt>
                <c:pt idx="3">
                  <c:v>2022</c:v>
                </c:pt>
                <c:pt idx="4">
                  <c:v>2023</c:v>
                </c:pt>
              </c:numCache>
            </c:numRef>
          </c:cat>
          <c:val>
            <c:numRef>
              <c:f>Sheet9!$H$10:$L$10</c:f>
              <c:numCache>
                <c:formatCode>0%</c:formatCode>
                <c:ptCount val="5"/>
                <c:pt idx="0">
                  <c:v>1.1499999999999999</c:v>
                </c:pt>
                <c:pt idx="1">
                  <c:v>1.18</c:v>
                </c:pt>
                <c:pt idx="2">
                  <c:v>1.2</c:v>
                </c:pt>
                <c:pt idx="3">
                  <c:v>1.22</c:v>
                </c:pt>
                <c:pt idx="4">
                  <c:v>1.25</c:v>
                </c:pt>
              </c:numCache>
            </c:numRef>
          </c:val>
          <c:extLst>
            <c:ext xmlns:c16="http://schemas.microsoft.com/office/drawing/2014/chart" uri="{C3380CC4-5D6E-409C-BE32-E72D297353CC}">
              <c16:uniqueId val="{00000000-0351-439D-B14A-C75B34B9EBEB}"/>
            </c:ext>
          </c:extLst>
        </c:ser>
        <c:ser>
          <c:idx val="1"/>
          <c:order val="1"/>
          <c:tx>
            <c:strRef>
              <c:f>Sheet9!$G$11</c:f>
              <c:strCache>
                <c:ptCount val="1"/>
                <c:pt idx="0">
                  <c:v>Debt‑to‑Equity Ratio</c:v>
                </c:pt>
              </c:strCache>
            </c:strRef>
          </c:tx>
          <c:invertIfNegative val="0"/>
          <c:cat>
            <c:numRef>
              <c:f>Sheet9!$H$9:$L$9</c:f>
              <c:numCache>
                <c:formatCode>General</c:formatCode>
                <c:ptCount val="5"/>
                <c:pt idx="0">
                  <c:v>2019</c:v>
                </c:pt>
                <c:pt idx="1">
                  <c:v>2020</c:v>
                </c:pt>
                <c:pt idx="2">
                  <c:v>2021</c:v>
                </c:pt>
                <c:pt idx="3">
                  <c:v>2022</c:v>
                </c:pt>
                <c:pt idx="4">
                  <c:v>2023</c:v>
                </c:pt>
              </c:numCache>
            </c:numRef>
          </c:cat>
          <c:val>
            <c:numRef>
              <c:f>Sheet9!$H$11:$L$11</c:f>
              <c:numCache>
                <c:formatCode>0%</c:formatCode>
                <c:ptCount val="5"/>
                <c:pt idx="0">
                  <c:v>2.4</c:v>
                </c:pt>
                <c:pt idx="1">
                  <c:v>2.5499999999999998</c:v>
                </c:pt>
                <c:pt idx="2">
                  <c:v>2.2999999999999998</c:v>
                </c:pt>
                <c:pt idx="3">
                  <c:v>2.1</c:v>
                </c:pt>
                <c:pt idx="4">
                  <c:v>1.83</c:v>
                </c:pt>
              </c:numCache>
            </c:numRef>
          </c:val>
          <c:extLst>
            <c:ext xmlns:c16="http://schemas.microsoft.com/office/drawing/2014/chart" uri="{C3380CC4-5D6E-409C-BE32-E72D297353CC}">
              <c16:uniqueId val="{00000001-0351-439D-B14A-C75B34B9EBEB}"/>
            </c:ext>
          </c:extLst>
        </c:ser>
        <c:ser>
          <c:idx val="2"/>
          <c:order val="2"/>
          <c:tx>
            <c:strRef>
              <c:f>Sheet9!$G$12</c:f>
              <c:strCache>
                <c:ptCount val="1"/>
                <c:pt idx="0">
                  <c:v>Debt Service Coverage Ratio</c:v>
                </c:pt>
              </c:strCache>
            </c:strRef>
          </c:tx>
          <c:invertIfNegative val="0"/>
          <c:cat>
            <c:numRef>
              <c:f>Sheet9!$H$9:$L$9</c:f>
              <c:numCache>
                <c:formatCode>General</c:formatCode>
                <c:ptCount val="5"/>
                <c:pt idx="0">
                  <c:v>2019</c:v>
                </c:pt>
                <c:pt idx="1">
                  <c:v>2020</c:v>
                </c:pt>
                <c:pt idx="2">
                  <c:v>2021</c:v>
                </c:pt>
                <c:pt idx="3">
                  <c:v>2022</c:v>
                </c:pt>
                <c:pt idx="4">
                  <c:v>2023</c:v>
                </c:pt>
              </c:numCache>
            </c:numRef>
          </c:cat>
          <c:val>
            <c:numRef>
              <c:f>Sheet9!$H$12:$L$12</c:f>
              <c:numCache>
                <c:formatCode>0%</c:formatCode>
                <c:ptCount val="5"/>
                <c:pt idx="0">
                  <c:v>1.1000000000000001</c:v>
                </c:pt>
                <c:pt idx="1">
                  <c:v>1.05</c:v>
                </c:pt>
                <c:pt idx="2">
                  <c:v>1.1200000000000001</c:v>
                </c:pt>
                <c:pt idx="3">
                  <c:v>1.18</c:v>
                </c:pt>
                <c:pt idx="4">
                  <c:v>1.25</c:v>
                </c:pt>
              </c:numCache>
            </c:numRef>
          </c:val>
          <c:extLst>
            <c:ext xmlns:c16="http://schemas.microsoft.com/office/drawing/2014/chart" uri="{C3380CC4-5D6E-409C-BE32-E72D297353CC}">
              <c16:uniqueId val="{00000002-0351-439D-B14A-C75B34B9EBEB}"/>
            </c:ext>
          </c:extLst>
        </c:ser>
        <c:dLbls>
          <c:showLegendKey val="0"/>
          <c:showVal val="0"/>
          <c:showCatName val="0"/>
          <c:showSerName val="0"/>
          <c:showPercent val="0"/>
          <c:showBubbleSize val="0"/>
        </c:dLbls>
        <c:gapWidth val="150"/>
        <c:axId val="225766016"/>
        <c:axId val="227451264"/>
      </c:barChart>
      <c:catAx>
        <c:axId val="225766016"/>
        <c:scaling>
          <c:orientation val="minMax"/>
        </c:scaling>
        <c:delete val="0"/>
        <c:axPos val="b"/>
        <c:numFmt formatCode="General" sourceLinked="1"/>
        <c:majorTickMark val="out"/>
        <c:minorTickMark val="none"/>
        <c:tickLblPos val="nextTo"/>
        <c:crossAx val="227451264"/>
        <c:crosses val="autoZero"/>
        <c:auto val="1"/>
        <c:lblAlgn val="ctr"/>
        <c:lblOffset val="100"/>
        <c:noMultiLvlLbl val="0"/>
      </c:catAx>
      <c:valAx>
        <c:axId val="227451264"/>
        <c:scaling>
          <c:orientation val="minMax"/>
        </c:scaling>
        <c:delete val="0"/>
        <c:axPos val="l"/>
        <c:numFmt formatCode="0%" sourceLinked="1"/>
        <c:majorTickMark val="out"/>
        <c:minorTickMark val="none"/>
        <c:tickLblPos val="nextTo"/>
        <c:crossAx val="225766016"/>
        <c:crosses val="autoZero"/>
        <c:crossBetween val="between"/>
      </c:valAx>
    </c:plotArea>
    <c:legend>
      <c:legendPos val="r"/>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Sheet2!$G$11</c:f>
              <c:strCache>
                <c:ptCount val="1"/>
                <c:pt idx="0">
                  <c:v>NPL Ratio (%)</c:v>
                </c:pt>
              </c:strCache>
            </c:strRef>
          </c:tx>
          <c:marker>
            <c:symbol val="none"/>
          </c:marker>
          <c:cat>
            <c:numRef>
              <c:f>Sheet2!$H$10:$L$10</c:f>
              <c:numCache>
                <c:formatCode>General</c:formatCode>
                <c:ptCount val="5"/>
                <c:pt idx="0">
                  <c:v>2023</c:v>
                </c:pt>
                <c:pt idx="1">
                  <c:v>2022</c:v>
                </c:pt>
                <c:pt idx="2">
                  <c:v>2021</c:v>
                </c:pt>
                <c:pt idx="3">
                  <c:v>2020</c:v>
                </c:pt>
                <c:pt idx="4">
                  <c:v>2019</c:v>
                </c:pt>
              </c:numCache>
            </c:numRef>
          </c:cat>
          <c:val>
            <c:numRef>
              <c:f>Sheet2!$H$11:$L$11</c:f>
              <c:numCache>
                <c:formatCode>0.00%</c:formatCode>
                <c:ptCount val="5"/>
                <c:pt idx="0">
                  <c:v>3.2000000000000001E-2</c:v>
                </c:pt>
                <c:pt idx="1">
                  <c:v>3.7999999999999999E-2</c:v>
                </c:pt>
                <c:pt idx="2">
                  <c:v>4.9000000000000002E-2</c:v>
                </c:pt>
                <c:pt idx="3">
                  <c:v>5.0999999999999997E-2</c:v>
                </c:pt>
                <c:pt idx="4">
                  <c:v>4.8000000000000001E-2</c:v>
                </c:pt>
              </c:numCache>
            </c:numRef>
          </c:val>
          <c:smooth val="0"/>
          <c:extLst>
            <c:ext xmlns:c16="http://schemas.microsoft.com/office/drawing/2014/chart" uri="{C3380CC4-5D6E-409C-BE32-E72D297353CC}">
              <c16:uniqueId val="{00000000-F30E-4CA4-8C9A-AA327FB6AF0B}"/>
            </c:ext>
          </c:extLst>
        </c:ser>
        <c:dLbls>
          <c:showLegendKey val="0"/>
          <c:showVal val="0"/>
          <c:showCatName val="0"/>
          <c:showSerName val="0"/>
          <c:showPercent val="0"/>
          <c:showBubbleSize val="0"/>
        </c:dLbls>
        <c:smooth val="0"/>
        <c:axId val="296693760"/>
        <c:axId val="296695296"/>
      </c:lineChart>
      <c:catAx>
        <c:axId val="296693760"/>
        <c:scaling>
          <c:orientation val="minMax"/>
        </c:scaling>
        <c:delete val="0"/>
        <c:axPos val="b"/>
        <c:numFmt formatCode="General" sourceLinked="1"/>
        <c:majorTickMark val="out"/>
        <c:minorTickMark val="none"/>
        <c:tickLblPos val="nextTo"/>
        <c:crossAx val="296695296"/>
        <c:crosses val="autoZero"/>
        <c:auto val="1"/>
        <c:lblAlgn val="ctr"/>
        <c:lblOffset val="100"/>
        <c:noMultiLvlLbl val="0"/>
      </c:catAx>
      <c:valAx>
        <c:axId val="296695296"/>
        <c:scaling>
          <c:orientation val="minMax"/>
        </c:scaling>
        <c:delete val="0"/>
        <c:axPos val="l"/>
        <c:numFmt formatCode="0.00%" sourceLinked="1"/>
        <c:majorTickMark val="out"/>
        <c:minorTickMark val="none"/>
        <c:tickLblPos val="nextTo"/>
        <c:crossAx val="296693760"/>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Sheet3!$F$12</c:f>
              <c:strCache>
                <c:ptCount val="1"/>
                <c:pt idx="0">
                  <c:v>Liquid Assets/Total Assets</c:v>
                </c:pt>
              </c:strCache>
            </c:strRef>
          </c:tx>
          <c:marker>
            <c:symbol val="none"/>
          </c:marker>
          <c:cat>
            <c:numRef>
              <c:f>Sheet3!$G$11:$K$11</c:f>
              <c:numCache>
                <c:formatCode>General</c:formatCode>
                <c:ptCount val="5"/>
                <c:pt idx="0">
                  <c:v>2023</c:v>
                </c:pt>
                <c:pt idx="1">
                  <c:v>2022</c:v>
                </c:pt>
                <c:pt idx="2">
                  <c:v>2021</c:v>
                </c:pt>
                <c:pt idx="3">
                  <c:v>2020</c:v>
                </c:pt>
                <c:pt idx="4">
                  <c:v>2019</c:v>
                </c:pt>
              </c:numCache>
            </c:numRef>
          </c:cat>
          <c:val>
            <c:numRef>
              <c:f>Sheet3!$G$12:$K$12</c:f>
              <c:numCache>
                <c:formatCode>0.00%</c:formatCode>
                <c:ptCount val="5"/>
                <c:pt idx="0">
                  <c:v>0.23100000000000001</c:v>
                </c:pt>
                <c:pt idx="1">
                  <c:v>0.22900000000000001</c:v>
                </c:pt>
                <c:pt idx="2">
                  <c:v>0.224</c:v>
                </c:pt>
                <c:pt idx="3">
                  <c:v>0.221</c:v>
                </c:pt>
                <c:pt idx="4">
                  <c:v>0.21199999999999999</c:v>
                </c:pt>
              </c:numCache>
            </c:numRef>
          </c:val>
          <c:smooth val="0"/>
          <c:extLst>
            <c:ext xmlns:c16="http://schemas.microsoft.com/office/drawing/2014/chart" uri="{C3380CC4-5D6E-409C-BE32-E72D297353CC}">
              <c16:uniqueId val="{00000000-345A-4B52-A7FB-6433A567BC6E}"/>
            </c:ext>
          </c:extLst>
        </c:ser>
        <c:dLbls>
          <c:showLegendKey val="0"/>
          <c:showVal val="0"/>
          <c:showCatName val="0"/>
          <c:showSerName val="0"/>
          <c:showPercent val="0"/>
          <c:showBubbleSize val="0"/>
        </c:dLbls>
        <c:smooth val="0"/>
        <c:axId val="304301952"/>
        <c:axId val="304303488"/>
      </c:lineChart>
      <c:catAx>
        <c:axId val="304301952"/>
        <c:scaling>
          <c:orientation val="minMax"/>
        </c:scaling>
        <c:delete val="0"/>
        <c:axPos val="b"/>
        <c:numFmt formatCode="General" sourceLinked="1"/>
        <c:majorTickMark val="out"/>
        <c:minorTickMark val="none"/>
        <c:tickLblPos val="nextTo"/>
        <c:crossAx val="304303488"/>
        <c:crosses val="autoZero"/>
        <c:auto val="1"/>
        <c:lblAlgn val="ctr"/>
        <c:lblOffset val="100"/>
        <c:noMultiLvlLbl val="0"/>
      </c:catAx>
      <c:valAx>
        <c:axId val="304303488"/>
        <c:scaling>
          <c:orientation val="minMax"/>
        </c:scaling>
        <c:delete val="0"/>
        <c:axPos val="l"/>
        <c:numFmt formatCode="0.00%" sourceLinked="1"/>
        <c:majorTickMark val="out"/>
        <c:minorTickMark val="none"/>
        <c:tickLblPos val="nextTo"/>
        <c:crossAx val="304301952"/>
        <c:crosses val="autoZero"/>
        <c:crossBetween val="between"/>
      </c:valAx>
      <c:spPr>
        <a:noFill/>
        <a:ln w="25400">
          <a:noFill/>
        </a:ln>
      </c:spPr>
    </c:plotArea>
    <c:legend>
      <c:legendPos val="r"/>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Sheet4!$G$12</c:f>
              <c:strCache>
                <c:ptCount val="1"/>
                <c:pt idx="0">
                  <c:v>Loan-to-Deposit Ratio (LDR)</c:v>
                </c:pt>
              </c:strCache>
            </c:strRef>
          </c:tx>
          <c:marker>
            <c:symbol val="none"/>
          </c:marker>
          <c:cat>
            <c:numRef>
              <c:f>Sheet4!$H$11:$L$11</c:f>
              <c:numCache>
                <c:formatCode>General</c:formatCode>
                <c:ptCount val="5"/>
                <c:pt idx="0">
                  <c:v>2023</c:v>
                </c:pt>
                <c:pt idx="1">
                  <c:v>2022</c:v>
                </c:pt>
                <c:pt idx="2">
                  <c:v>2021</c:v>
                </c:pt>
                <c:pt idx="3">
                  <c:v>2020</c:v>
                </c:pt>
                <c:pt idx="4">
                  <c:v>2019</c:v>
                </c:pt>
              </c:numCache>
            </c:numRef>
          </c:cat>
          <c:val>
            <c:numRef>
              <c:f>Sheet4!$H$12:$L$12</c:f>
              <c:numCache>
                <c:formatCode>0.00%</c:formatCode>
                <c:ptCount val="5"/>
                <c:pt idx="0">
                  <c:v>0.82599999999999996</c:v>
                </c:pt>
                <c:pt idx="1">
                  <c:v>0.83299999999999996</c:v>
                </c:pt>
                <c:pt idx="2">
                  <c:v>0.81599999999999995</c:v>
                </c:pt>
                <c:pt idx="3">
                  <c:v>0.8</c:v>
                </c:pt>
                <c:pt idx="4">
                  <c:v>0.79900000000000004</c:v>
                </c:pt>
              </c:numCache>
            </c:numRef>
          </c:val>
          <c:smooth val="0"/>
          <c:extLst>
            <c:ext xmlns:c16="http://schemas.microsoft.com/office/drawing/2014/chart" uri="{C3380CC4-5D6E-409C-BE32-E72D297353CC}">
              <c16:uniqueId val="{00000000-DEF3-4EE6-A155-B1079257012D}"/>
            </c:ext>
          </c:extLst>
        </c:ser>
        <c:dLbls>
          <c:showLegendKey val="0"/>
          <c:showVal val="0"/>
          <c:showCatName val="0"/>
          <c:showSerName val="0"/>
          <c:showPercent val="0"/>
          <c:showBubbleSize val="0"/>
        </c:dLbls>
        <c:smooth val="0"/>
        <c:axId val="262725632"/>
        <c:axId val="262727168"/>
      </c:lineChart>
      <c:catAx>
        <c:axId val="262725632"/>
        <c:scaling>
          <c:orientation val="minMax"/>
        </c:scaling>
        <c:delete val="0"/>
        <c:axPos val="b"/>
        <c:numFmt formatCode="General" sourceLinked="1"/>
        <c:majorTickMark val="out"/>
        <c:minorTickMark val="none"/>
        <c:tickLblPos val="nextTo"/>
        <c:crossAx val="262727168"/>
        <c:crosses val="autoZero"/>
        <c:auto val="1"/>
        <c:lblAlgn val="ctr"/>
        <c:lblOffset val="100"/>
        <c:noMultiLvlLbl val="0"/>
      </c:catAx>
      <c:valAx>
        <c:axId val="262727168"/>
        <c:scaling>
          <c:orientation val="minMax"/>
        </c:scaling>
        <c:delete val="0"/>
        <c:axPos val="l"/>
        <c:numFmt formatCode="0.00%" sourceLinked="1"/>
        <c:majorTickMark val="out"/>
        <c:minorTickMark val="none"/>
        <c:tickLblPos val="nextTo"/>
        <c:crossAx val="262725632"/>
        <c:crosses val="autoZero"/>
        <c:crossBetween val="between"/>
      </c:valAx>
    </c:plotArea>
    <c:legend>
      <c:legendPos val="r"/>
      <c:overlay val="0"/>
    </c:legend>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Sheet5!$G$16</c:f>
              <c:strCache>
                <c:ptCount val="1"/>
                <c:pt idx="0">
                  <c:v>Duration‑Gap (% of equity)</c:v>
                </c:pt>
              </c:strCache>
            </c:strRef>
          </c:tx>
          <c:marker>
            <c:symbol val="none"/>
          </c:marker>
          <c:cat>
            <c:numRef>
              <c:f>Sheet5!$H$15:$L$15</c:f>
              <c:numCache>
                <c:formatCode>General</c:formatCode>
                <c:ptCount val="5"/>
                <c:pt idx="0">
                  <c:v>2019</c:v>
                </c:pt>
                <c:pt idx="1">
                  <c:v>2020</c:v>
                </c:pt>
                <c:pt idx="2">
                  <c:v>2021</c:v>
                </c:pt>
                <c:pt idx="3">
                  <c:v>2022</c:v>
                </c:pt>
                <c:pt idx="4">
                  <c:v>2023</c:v>
                </c:pt>
              </c:numCache>
            </c:numRef>
          </c:cat>
          <c:val>
            <c:numRef>
              <c:f>Sheet5!$H$16:$L$16</c:f>
              <c:numCache>
                <c:formatCode>0.00%</c:formatCode>
                <c:ptCount val="5"/>
                <c:pt idx="0">
                  <c:v>4.2000000000000003E-2</c:v>
                </c:pt>
                <c:pt idx="1">
                  <c:v>3.7999999999999999E-2</c:v>
                </c:pt>
                <c:pt idx="2">
                  <c:v>0.03</c:v>
                </c:pt>
                <c:pt idx="3">
                  <c:v>2.5000000000000001E-2</c:v>
                </c:pt>
                <c:pt idx="4">
                  <c:v>2.3E-2</c:v>
                </c:pt>
              </c:numCache>
            </c:numRef>
          </c:val>
          <c:smooth val="0"/>
          <c:extLst>
            <c:ext xmlns:c16="http://schemas.microsoft.com/office/drawing/2014/chart" uri="{C3380CC4-5D6E-409C-BE32-E72D297353CC}">
              <c16:uniqueId val="{00000000-40B3-4EBC-8E76-D680D6DBBC49}"/>
            </c:ext>
          </c:extLst>
        </c:ser>
        <c:dLbls>
          <c:showLegendKey val="0"/>
          <c:showVal val="0"/>
          <c:showCatName val="0"/>
          <c:showSerName val="0"/>
          <c:showPercent val="0"/>
          <c:showBubbleSize val="0"/>
        </c:dLbls>
        <c:smooth val="0"/>
        <c:axId val="296961920"/>
        <c:axId val="296963456"/>
      </c:lineChart>
      <c:catAx>
        <c:axId val="296961920"/>
        <c:scaling>
          <c:orientation val="minMax"/>
        </c:scaling>
        <c:delete val="0"/>
        <c:axPos val="b"/>
        <c:numFmt formatCode="General" sourceLinked="1"/>
        <c:majorTickMark val="out"/>
        <c:minorTickMark val="none"/>
        <c:tickLblPos val="nextTo"/>
        <c:crossAx val="296963456"/>
        <c:crosses val="autoZero"/>
        <c:auto val="1"/>
        <c:lblAlgn val="ctr"/>
        <c:lblOffset val="100"/>
        <c:noMultiLvlLbl val="0"/>
      </c:catAx>
      <c:valAx>
        <c:axId val="296963456"/>
        <c:scaling>
          <c:orientation val="minMax"/>
        </c:scaling>
        <c:delete val="0"/>
        <c:axPos val="l"/>
        <c:numFmt formatCode="0.00%" sourceLinked="1"/>
        <c:majorTickMark val="out"/>
        <c:minorTickMark val="none"/>
        <c:tickLblPos val="nextTo"/>
        <c:crossAx val="296961920"/>
        <c:crosses val="autoZero"/>
        <c:crossBetween val="between"/>
      </c:valAx>
    </c:plotArea>
    <c:legend>
      <c:legendPos val="r"/>
      <c:overlay val="0"/>
    </c:legend>
    <c:plotVisOnly val="1"/>
    <c:dispBlanksAs val="gap"/>
    <c:showDLblsOverMax val="0"/>
  </c:chart>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lineChart>
        <c:grouping val="standard"/>
        <c:varyColors val="0"/>
        <c:ser>
          <c:idx val="0"/>
          <c:order val="0"/>
          <c:tx>
            <c:strRef>
              <c:f>Sheet6!$F$11</c:f>
              <c:strCache>
                <c:ptCount val="1"/>
                <c:pt idx="0">
                  <c:v>Yield (%)</c:v>
                </c:pt>
              </c:strCache>
            </c:strRef>
          </c:tx>
          <c:marker>
            <c:symbol val="none"/>
          </c:marker>
          <c:cat>
            <c:numRef>
              <c:f>Sheet6!$G$10:$K$10</c:f>
              <c:numCache>
                <c:formatCode>General</c:formatCode>
                <c:ptCount val="5"/>
                <c:pt idx="0">
                  <c:v>2019</c:v>
                </c:pt>
                <c:pt idx="1">
                  <c:v>2020</c:v>
                </c:pt>
                <c:pt idx="2">
                  <c:v>2021</c:v>
                </c:pt>
                <c:pt idx="3">
                  <c:v>2022</c:v>
                </c:pt>
                <c:pt idx="4">
                  <c:v>2023</c:v>
                </c:pt>
              </c:numCache>
            </c:numRef>
          </c:cat>
          <c:val>
            <c:numRef>
              <c:f>Sheet6!$G$11:$K$11</c:f>
              <c:numCache>
                <c:formatCode>0.00%</c:formatCode>
                <c:ptCount val="5"/>
                <c:pt idx="0">
                  <c:v>7.1999999999999995E-2</c:v>
                </c:pt>
                <c:pt idx="1">
                  <c:v>6.8000000000000005E-2</c:v>
                </c:pt>
                <c:pt idx="2">
                  <c:v>7.0000000000000007E-2</c:v>
                </c:pt>
                <c:pt idx="3">
                  <c:v>6.5000000000000002E-2</c:v>
                </c:pt>
                <c:pt idx="4">
                  <c:v>7.2999999999999995E-2</c:v>
                </c:pt>
              </c:numCache>
            </c:numRef>
          </c:val>
          <c:smooth val="0"/>
          <c:extLst>
            <c:ext xmlns:c16="http://schemas.microsoft.com/office/drawing/2014/chart" uri="{C3380CC4-5D6E-409C-BE32-E72D297353CC}">
              <c16:uniqueId val="{00000000-DF1A-49BE-BF9B-358A011CF842}"/>
            </c:ext>
          </c:extLst>
        </c:ser>
        <c:dLbls>
          <c:showLegendKey val="0"/>
          <c:showVal val="0"/>
          <c:showCatName val="0"/>
          <c:showSerName val="0"/>
          <c:showPercent val="0"/>
          <c:showBubbleSize val="0"/>
        </c:dLbls>
        <c:smooth val="0"/>
        <c:axId val="304312320"/>
        <c:axId val="304313856"/>
      </c:lineChart>
      <c:catAx>
        <c:axId val="304312320"/>
        <c:scaling>
          <c:orientation val="minMax"/>
        </c:scaling>
        <c:delete val="0"/>
        <c:axPos val="b"/>
        <c:numFmt formatCode="General" sourceLinked="1"/>
        <c:majorTickMark val="out"/>
        <c:minorTickMark val="none"/>
        <c:tickLblPos val="nextTo"/>
        <c:crossAx val="304313856"/>
        <c:crosses val="autoZero"/>
        <c:auto val="1"/>
        <c:lblAlgn val="ctr"/>
        <c:lblOffset val="100"/>
        <c:noMultiLvlLbl val="0"/>
      </c:catAx>
      <c:valAx>
        <c:axId val="304313856"/>
        <c:scaling>
          <c:orientation val="minMax"/>
        </c:scaling>
        <c:delete val="0"/>
        <c:axPos val="l"/>
        <c:numFmt formatCode="0.00%" sourceLinked="1"/>
        <c:majorTickMark val="out"/>
        <c:minorTickMark val="none"/>
        <c:tickLblPos val="nextTo"/>
        <c:crossAx val="304312320"/>
        <c:crosses val="autoZero"/>
        <c:crossBetween val="between"/>
      </c:valAx>
    </c:plotArea>
    <c:legend>
      <c:legendPos val="r"/>
      <c:overlay val="0"/>
    </c:legend>
    <c:plotVisOnly val="1"/>
    <c:dispBlanksAs val="gap"/>
    <c:showDLblsOverMax val="0"/>
  </c:chart>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Sheet7!$H$11</c:f>
              <c:strCache>
                <c:ptCount val="1"/>
                <c:pt idx="0">
                  <c:v>CAR (%)</c:v>
                </c:pt>
              </c:strCache>
            </c:strRef>
          </c:tx>
          <c:invertIfNegative val="0"/>
          <c:cat>
            <c:numRef>
              <c:f>Sheet7!$I$10:$M$10</c:f>
              <c:numCache>
                <c:formatCode>General</c:formatCode>
                <c:ptCount val="5"/>
                <c:pt idx="0">
                  <c:v>2023</c:v>
                </c:pt>
                <c:pt idx="1">
                  <c:v>2022</c:v>
                </c:pt>
                <c:pt idx="2">
                  <c:v>2021</c:v>
                </c:pt>
                <c:pt idx="3">
                  <c:v>2020</c:v>
                </c:pt>
                <c:pt idx="4">
                  <c:v>2019</c:v>
                </c:pt>
              </c:numCache>
            </c:numRef>
          </c:cat>
          <c:val>
            <c:numRef>
              <c:f>Sheet7!$I$11:$M$11</c:f>
              <c:numCache>
                <c:formatCode>0.00%</c:formatCode>
                <c:ptCount val="5"/>
                <c:pt idx="0">
                  <c:v>0.13200000000000001</c:v>
                </c:pt>
                <c:pt idx="1">
                  <c:v>0.127</c:v>
                </c:pt>
                <c:pt idx="2">
                  <c:v>0.121</c:v>
                </c:pt>
                <c:pt idx="3">
                  <c:v>0.115</c:v>
                </c:pt>
                <c:pt idx="4">
                  <c:v>0.11799999999999999</c:v>
                </c:pt>
              </c:numCache>
            </c:numRef>
          </c:val>
          <c:extLst>
            <c:ext xmlns:c16="http://schemas.microsoft.com/office/drawing/2014/chart" uri="{C3380CC4-5D6E-409C-BE32-E72D297353CC}">
              <c16:uniqueId val="{00000000-BD08-4632-92EB-6586E0815CEF}"/>
            </c:ext>
          </c:extLst>
        </c:ser>
        <c:dLbls>
          <c:showLegendKey val="0"/>
          <c:showVal val="0"/>
          <c:showCatName val="0"/>
          <c:showSerName val="0"/>
          <c:showPercent val="0"/>
          <c:showBubbleSize val="0"/>
        </c:dLbls>
        <c:gapWidth val="150"/>
        <c:shape val="box"/>
        <c:axId val="304572672"/>
        <c:axId val="304885760"/>
        <c:axId val="0"/>
      </c:bar3DChart>
      <c:catAx>
        <c:axId val="304572672"/>
        <c:scaling>
          <c:orientation val="minMax"/>
        </c:scaling>
        <c:delete val="0"/>
        <c:axPos val="b"/>
        <c:numFmt formatCode="General" sourceLinked="1"/>
        <c:majorTickMark val="out"/>
        <c:minorTickMark val="none"/>
        <c:tickLblPos val="nextTo"/>
        <c:crossAx val="304885760"/>
        <c:crosses val="autoZero"/>
        <c:auto val="1"/>
        <c:lblAlgn val="ctr"/>
        <c:lblOffset val="100"/>
        <c:noMultiLvlLbl val="0"/>
      </c:catAx>
      <c:valAx>
        <c:axId val="304885760"/>
        <c:scaling>
          <c:orientation val="minMax"/>
        </c:scaling>
        <c:delete val="0"/>
        <c:axPos val="l"/>
        <c:numFmt formatCode="0.00%" sourceLinked="1"/>
        <c:majorTickMark val="out"/>
        <c:minorTickMark val="none"/>
        <c:tickLblPos val="nextTo"/>
        <c:crossAx val="304572672"/>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C892C-C52B-4138-85B3-0B13C05F2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66</Pages>
  <Words>12900</Words>
  <Characters>73530</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Muhammad Enamul Haque</cp:lastModifiedBy>
  <cp:revision>4</cp:revision>
  <cp:lastPrinted>2025-11-25T01:46:00Z</cp:lastPrinted>
  <dcterms:created xsi:type="dcterms:W3CDTF">2025-11-25T01:45:00Z</dcterms:created>
  <dcterms:modified xsi:type="dcterms:W3CDTF">2025-12-03T07:21:00Z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1033-12.2.0.20323</vt:lpwstr>
  </property>
  <property fmtid="{D5CDD505-2E9C-101B-9397-08002B2CF9AE}" pid="3" name="ICV">
    <vt:lpwstr>187AF9CAA9D747EAB078E5933A11656A_12</vt:lpwstr>
  </property>
</Properties>
</file>