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A8" w:rsidRPr="0091374D" w:rsidRDefault="005539A8" w:rsidP="005539A8">
      <w:pPr>
        <w:pStyle w:val="Heading1"/>
        <w:jc w:val="center"/>
        <w:rPr>
          <w:rFonts w:ascii="Times New Roman" w:hAnsi="Times New Roman" w:cs="Times New Roman"/>
          <w:color w:val="auto"/>
          <w:sz w:val="28"/>
          <w:szCs w:val="28"/>
        </w:rPr>
      </w:pPr>
      <w:bookmarkStart w:id="0" w:name="_Toc532912591"/>
      <w:bookmarkStart w:id="1" w:name="_Hlk496216781"/>
      <w:r w:rsidRPr="0091374D">
        <w:rPr>
          <w:rFonts w:ascii="Times New Roman" w:hAnsi="Times New Roman" w:cs="Times New Roman"/>
          <w:color w:val="auto"/>
          <w:sz w:val="28"/>
          <w:szCs w:val="28"/>
        </w:rPr>
        <w:t>Corporate Social Responsibility Reporting of Islamic Banks in Bangladesh</w:t>
      </w:r>
      <w:bookmarkEnd w:id="0"/>
    </w:p>
    <w:p w:rsidR="005539A8" w:rsidRPr="0091374D" w:rsidRDefault="005539A8" w:rsidP="005539A8">
      <w:pPr>
        <w:autoSpaceDE w:val="0"/>
        <w:autoSpaceDN w:val="0"/>
        <w:adjustRightInd w:val="0"/>
        <w:spacing w:before="100" w:beforeAutospacing="1" w:after="100" w:afterAutospacing="1" w:line="240" w:lineRule="auto"/>
        <w:contextualSpacing/>
        <w:jc w:val="both"/>
        <w:rPr>
          <w:rFonts w:ascii="Times New Roman" w:hAnsi="Times New Roman" w:cs="Times New Roman"/>
          <w:b/>
          <w:sz w:val="24"/>
          <w:szCs w:val="24"/>
        </w:rPr>
      </w:pPr>
    </w:p>
    <w:p w:rsidR="005539A8" w:rsidRPr="0091374D" w:rsidRDefault="005539A8" w:rsidP="005539A8">
      <w:pPr>
        <w:autoSpaceDE w:val="0"/>
        <w:autoSpaceDN w:val="0"/>
        <w:adjustRightInd w:val="0"/>
        <w:spacing w:before="100" w:beforeAutospacing="1" w:after="100" w:afterAutospacing="1" w:line="240" w:lineRule="auto"/>
        <w:contextualSpacing/>
        <w:jc w:val="both"/>
        <w:rPr>
          <w:rFonts w:ascii="Times New Roman" w:hAnsi="Times New Roman" w:cs="Times New Roman"/>
          <w:b/>
          <w:sz w:val="24"/>
          <w:szCs w:val="24"/>
        </w:rPr>
      </w:pPr>
    </w:p>
    <w:p w:rsidR="005539A8" w:rsidRPr="0091374D" w:rsidRDefault="005539A8" w:rsidP="005539A8">
      <w:pPr>
        <w:autoSpaceDE w:val="0"/>
        <w:autoSpaceDN w:val="0"/>
        <w:adjustRightInd w:val="0"/>
        <w:spacing w:after="0" w:line="360" w:lineRule="auto"/>
        <w:contextualSpacing/>
        <w:jc w:val="both"/>
        <w:rPr>
          <w:rFonts w:ascii="Times New Roman" w:hAnsi="Times New Roman" w:cs="Times New Roman"/>
          <w:sz w:val="24"/>
          <w:szCs w:val="24"/>
        </w:rPr>
        <w:sectPr w:rsidR="005539A8" w:rsidRPr="0091374D" w:rsidSect="00CE1AFC">
          <w:pgSz w:w="11907" w:h="16839" w:code="9"/>
          <w:pgMar w:top="1440" w:right="1440" w:bottom="1440" w:left="1440" w:header="720" w:footer="720" w:gutter="0"/>
          <w:cols w:space="720"/>
          <w:titlePg/>
          <w:docGrid w:linePitch="360"/>
        </w:sectPr>
      </w:pPr>
    </w:p>
    <w:p w:rsidR="005539A8" w:rsidRPr="0091374D" w:rsidRDefault="005539A8" w:rsidP="005539A8">
      <w:pPr>
        <w:pStyle w:val="Heading2"/>
        <w:ind w:left="0" w:firstLine="0"/>
        <w:rPr>
          <w:rFonts w:ascii="Times New Roman" w:hAnsi="Times New Roman" w:cs="Times New Roman"/>
          <w:b w:val="0"/>
          <w:i w:val="0"/>
          <w:sz w:val="24"/>
          <w:szCs w:val="24"/>
        </w:rPr>
      </w:pPr>
      <w:bookmarkStart w:id="2" w:name="_Toc532912592"/>
      <w:proofErr w:type="spellStart"/>
      <w:r w:rsidRPr="0091374D">
        <w:rPr>
          <w:rFonts w:ascii="Times New Roman" w:hAnsi="Times New Roman" w:cs="Times New Roman"/>
          <w:b w:val="0"/>
          <w:i w:val="0"/>
          <w:sz w:val="24"/>
          <w:szCs w:val="24"/>
        </w:rPr>
        <w:lastRenderedPageBreak/>
        <w:t>Tasnin</w:t>
      </w:r>
      <w:proofErr w:type="spellEnd"/>
      <w:r w:rsidRPr="0091374D">
        <w:rPr>
          <w:rFonts w:ascii="Times New Roman" w:hAnsi="Times New Roman" w:cs="Times New Roman"/>
          <w:b w:val="0"/>
          <w:i w:val="0"/>
          <w:sz w:val="24"/>
          <w:szCs w:val="24"/>
        </w:rPr>
        <w:t xml:space="preserve"> Jahan</w:t>
      </w:r>
      <w:bookmarkEnd w:id="2"/>
    </w:p>
    <w:p w:rsidR="005539A8" w:rsidRPr="0091374D" w:rsidRDefault="005539A8" w:rsidP="005539A8">
      <w:pPr>
        <w:autoSpaceDE w:val="0"/>
        <w:autoSpaceDN w:val="0"/>
        <w:adjustRightInd w:val="0"/>
        <w:spacing w:after="0" w:line="360" w:lineRule="auto"/>
        <w:contextualSpacing/>
        <w:jc w:val="both"/>
        <w:rPr>
          <w:rFonts w:ascii="Times New Roman" w:hAnsi="Times New Roman" w:cs="Times New Roman"/>
          <w:sz w:val="24"/>
          <w:szCs w:val="24"/>
        </w:rPr>
      </w:pPr>
      <w:r w:rsidRPr="0091374D">
        <w:rPr>
          <w:rFonts w:ascii="Times New Roman" w:hAnsi="Times New Roman" w:cs="Times New Roman"/>
          <w:sz w:val="24"/>
          <w:szCs w:val="24"/>
        </w:rPr>
        <w:t>United International University</w:t>
      </w:r>
    </w:p>
    <w:p w:rsidR="005539A8" w:rsidRPr="0091374D" w:rsidRDefault="005539A8" w:rsidP="005539A8">
      <w:pPr>
        <w:autoSpaceDE w:val="0"/>
        <w:autoSpaceDN w:val="0"/>
        <w:adjustRightInd w:val="0"/>
        <w:spacing w:after="0" w:line="360" w:lineRule="auto"/>
        <w:contextualSpacing/>
        <w:jc w:val="both"/>
        <w:rPr>
          <w:rFonts w:ascii="Times New Roman" w:hAnsi="Times New Roman" w:cs="Times New Roman"/>
          <w:sz w:val="24"/>
          <w:szCs w:val="24"/>
        </w:rPr>
      </w:pPr>
    </w:p>
    <w:p w:rsidR="005539A8" w:rsidRPr="0091374D" w:rsidRDefault="005539A8" w:rsidP="005539A8">
      <w:pPr>
        <w:autoSpaceDE w:val="0"/>
        <w:autoSpaceDN w:val="0"/>
        <w:adjustRightInd w:val="0"/>
        <w:spacing w:after="0" w:line="360" w:lineRule="auto"/>
        <w:contextualSpacing/>
        <w:jc w:val="both"/>
        <w:rPr>
          <w:rFonts w:ascii="Times New Roman" w:hAnsi="Times New Roman" w:cs="Times New Roman"/>
          <w:sz w:val="24"/>
          <w:szCs w:val="24"/>
        </w:rPr>
      </w:pPr>
      <w:r w:rsidRPr="0091374D">
        <w:rPr>
          <w:rFonts w:ascii="Times New Roman" w:hAnsi="Times New Roman" w:cs="Times New Roman"/>
          <w:sz w:val="24"/>
          <w:szCs w:val="24"/>
        </w:rPr>
        <w:lastRenderedPageBreak/>
        <w:t xml:space="preserve">Supervisor: </w:t>
      </w:r>
      <w:proofErr w:type="spellStart"/>
      <w:r w:rsidRPr="0091374D">
        <w:rPr>
          <w:rFonts w:ascii="Times New Roman" w:hAnsi="Times New Roman" w:cs="Times New Roman"/>
          <w:sz w:val="24"/>
          <w:szCs w:val="24"/>
        </w:rPr>
        <w:t>Mofjul</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Hoq</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Masum</w:t>
      </w:r>
      <w:proofErr w:type="spellEnd"/>
    </w:p>
    <w:p w:rsidR="005539A8" w:rsidRPr="0091374D" w:rsidRDefault="005539A8" w:rsidP="005539A8">
      <w:pPr>
        <w:autoSpaceDE w:val="0"/>
        <w:autoSpaceDN w:val="0"/>
        <w:adjustRightInd w:val="0"/>
        <w:spacing w:after="0" w:line="360" w:lineRule="auto"/>
        <w:contextualSpacing/>
        <w:jc w:val="both"/>
        <w:rPr>
          <w:rFonts w:ascii="Times New Roman" w:hAnsi="Times New Roman" w:cs="Times New Roman"/>
          <w:sz w:val="24"/>
          <w:szCs w:val="24"/>
        </w:rPr>
      </w:pPr>
      <w:r w:rsidRPr="0091374D">
        <w:rPr>
          <w:rFonts w:ascii="Times New Roman" w:hAnsi="Times New Roman" w:cs="Times New Roman"/>
          <w:sz w:val="24"/>
          <w:szCs w:val="24"/>
        </w:rPr>
        <w:t>Assistant Professor</w:t>
      </w:r>
    </w:p>
    <w:p w:rsidR="005539A8" w:rsidRDefault="005539A8" w:rsidP="005539A8">
      <w:pPr>
        <w:autoSpaceDE w:val="0"/>
        <w:autoSpaceDN w:val="0"/>
        <w:adjustRightInd w:val="0"/>
        <w:spacing w:after="0" w:line="360" w:lineRule="auto"/>
        <w:contextualSpacing/>
        <w:jc w:val="both"/>
        <w:rPr>
          <w:rFonts w:ascii="Times New Roman" w:hAnsi="Times New Roman" w:cs="Times New Roman"/>
          <w:sz w:val="24"/>
          <w:szCs w:val="24"/>
        </w:rPr>
      </w:pPr>
      <w:r w:rsidRPr="0091374D">
        <w:rPr>
          <w:rFonts w:ascii="Times New Roman" w:hAnsi="Times New Roman" w:cs="Times New Roman"/>
          <w:sz w:val="24"/>
          <w:szCs w:val="24"/>
        </w:rPr>
        <w:t>United International University</w:t>
      </w:r>
    </w:p>
    <w:p w:rsidR="00BE35E9" w:rsidRDefault="00BE35E9" w:rsidP="005539A8">
      <w:pPr>
        <w:autoSpaceDE w:val="0"/>
        <w:autoSpaceDN w:val="0"/>
        <w:adjustRightInd w:val="0"/>
        <w:spacing w:after="0" w:line="360" w:lineRule="auto"/>
        <w:contextualSpacing/>
        <w:jc w:val="both"/>
        <w:rPr>
          <w:rFonts w:ascii="Times New Roman" w:hAnsi="Times New Roman" w:cs="Times New Roman"/>
          <w:sz w:val="24"/>
          <w:szCs w:val="24"/>
        </w:rPr>
        <w:sectPr w:rsidR="00BE35E9" w:rsidSect="00CE1AFC">
          <w:type w:val="continuous"/>
          <w:pgSz w:w="11907" w:h="16839" w:code="9"/>
          <w:pgMar w:top="1440" w:right="1440" w:bottom="1440" w:left="1440" w:header="720" w:footer="720" w:gutter="0"/>
          <w:cols w:num="2" w:space="720"/>
          <w:titlePg/>
          <w:docGrid w:linePitch="360"/>
        </w:sectPr>
      </w:pPr>
    </w:p>
    <w:p w:rsidR="00BE35E9" w:rsidRPr="0091374D" w:rsidRDefault="00BE35E9" w:rsidP="005539A8">
      <w:pPr>
        <w:autoSpaceDE w:val="0"/>
        <w:autoSpaceDN w:val="0"/>
        <w:adjustRightInd w:val="0"/>
        <w:spacing w:after="0" w:line="360" w:lineRule="auto"/>
        <w:contextualSpacing/>
        <w:jc w:val="both"/>
        <w:rPr>
          <w:rFonts w:ascii="Times New Roman" w:hAnsi="Times New Roman" w:cs="Times New Roman"/>
          <w:sz w:val="24"/>
          <w:szCs w:val="24"/>
        </w:rPr>
      </w:pPr>
    </w:p>
    <w:p w:rsidR="005539A8" w:rsidRPr="0091374D" w:rsidRDefault="005539A8" w:rsidP="005539A8">
      <w:pPr>
        <w:autoSpaceDE w:val="0"/>
        <w:autoSpaceDN w:val="0"/>
        <w:adjustRightInd w:val="0"/>
        <w:spacing w:before="100" w:beforeAutospacing="1" w:after="0" w:line="240" w:lineRule="auto"/>
        <w:contextualSpacing/>
        <w:jc w:val="both"/>
        <w:rPr>
          <w:rFonts w:ascii="Times New Roman" w:hAnsi="Times New Roman" w:cs="Times New Roman"/>
          <w:b/>
          <w:sz w:val="24"/>
          <w:szCs w:val="24"/>
        </w:rPr>
        <w:sectPr w:rsidR="005539A8" w:rsidRPr="0091374D" w:rsidSect="00BE35E9">
          <w:type w:val="continuous"/>
          <w:pgSz w:w="11907" w:h="16839" w:code="9"/>
          <w:pgMar w:top="1440" w:right="1440" w:bottom="1440" w:left="1440" w:header="720" w:footer="720" w:gutter="0"/>
          <w:cols w:space="720"/>
          <w:titlePg/>
          <w:docGrid w:linePitch="360"/>
        </w:sectPr>
      </w:pPr>
    </w:p>
    <w:p w:rsidR="00BE35E9" w:rsidRDefault="00BE35E9" w:rsidP="005539A8">
      <w:pPr>
        <w:autoSpaceDE w:val="0"/>
        <w:autoSpaceDN w:val="0"/>
        <w:adjustRightInd w:val="0"/>
        <w:spacing w:before="100" w:beforeAutospacing="1" w:after="0" w:line="240" w:lineRule="auto"/>
        <w:contextualSpacing/>
        <w:jc w:val="both"/>
        <w:rPr>
          <w:rFonts w:ascii="Times New Roman" w:hAnsi="Times New Roman" w:cs="Times New Roman"/>
          <w:b/>
          <w:sz w:val="24"/>
          <w:szCs w:val="24"/>
        </w:rPr>
        <w:sectPr w:rsidR="00BE35E9" w:rsidSect="00CE1AFC">
          <w:footerReference w:type="default" r:id="rId8"/>
          <w:footerReference w:type="first" r:id="rId9"/>
          <w:type w:val="continuous"/>
          <w:pgSz w:w="11907" w:h="16839" w:code="9"/>
          <w:pgMar w:top="1440" w:right="1440" w:bottom="1440" w:left="1440" w:header="720" w:footer="720" w:gutter="0"/>
          <w:cols w:space="720"/>
          <w:titlePg/>
          <w:docGrid w:linePitch="360"/>
        </w:sectPr>
      </w:pPr>
    </w:p>
    <w:p w:rsidR="005539A8" w:rsidRPr="0091374D" w:rsidRDefault="005539A8" w:rsidP="005539A8">
      <w:pPr>
        <w:autoSpaceDE w:val="0"/>
        <w:autoSpaceDN w:val="0"/>
        <w:adjustRightInd w:val="0"/>
        <w:spacing w:before="100" w:beforeAutospacing="1" w:after="0" w:line="240" w:lineRule="auto"/>
        <w:contextualSpacing/>
        <w:jc w:val="center"/>
        <w:rPr>
          <w:rFonts w:ascii="Times New Roman" w:hAnsi="Times New Roman" w:cs="Times New Roman"/>
          <w:b/>
          <w:i/>
          <w:sz w:val="26"/>
          <w:szCs w:val="26"/>
        </w:rPr>
      </w:pPr>
      <w:r w:rsidRPr="0091374D">
        <w:rPr>
          <w:rFonts w:ascii="Times New Roman" w:hAnsi="Times New Roman" w:cs="Times New Roman"/>
          <w:b/>
          <w:i/>
          <w:sz w:val="26"/>
          <w:szCs w:val="26"/>
        </w:rPr>
        <w:lastRenderedPageBreak/>
        <w:t>Abstract</w:t>
      </w:r>
    </w:p>
    <w:p w:rsidR="005539A8" w:rsidRPr="0091374D" w:rsidRDefault="005539A8" w:rsidP="005539A8">
      <w:pPr>
        <w:autoSpaceDE w:val="0"/>
        <w:autoSpaceDN w:val="0"/>
        <w:adjustRightInd w:val="0"/>
        <w:spacing w:before="100" w:beforeAutospacing="1" w:after="0" w:line="240" w:lineRule="auto"/>
        <w:contextualSpacing/>
        <w:jc w:val="center"/>
        <w:rPr>
          <w:rFonts w:ascii="Times New Roman" w:hAnsi="Times New Roman" w:cs="Times New Roman"/>
          <w:b/>
          <w:i/>
          <w:sz w:val="26"/>
          <w:szCs w:val="26"/>
        </w:rPr>
      </w:pPr>
    </w:p>
    <w:p w:rsidR="005539A8" w:rsidRPr="0091374D" w:rsidRDefault="005539A8" w:rsidP="005539A8">
      <w:pPr>
        <w:autoSpaceDE w:val="0"/>
        <w:autoSpaceDN w:val="0"/>
        <w:adjustRightInd w:val="0"/>
        <w:spacing w:after="0" w:line="360" w:lineRule="auto"/>
        <w:ind w:left="720"/>
        <w:contextualSpacing/>
        <w:jc w:val="both"/>
        <w:rPr>
          <w:rFonts w:ascii="Times New Roman" w:hAnsi="Times New Roman" w:cs="Times New Roman"/>
          <w:i/>
          <w:sz w:val="20"/>
          <w:szCs w:val="20"/>
        </w:rPr>
      </w:pPr>
      <w:r w:rsidRPr="0091374D">
        <w:rPr>
          <w:rFonts w:ascii="Times New Roman" w:hAnsi="Times New Roman" w:cs="Times New Roman"/>
          <w:i/>
          <w:sz w:val="20"/>
          <w:szCs w:val="20"/>
        </w:rPr>
        <w:t>Purpose: the study is aimed at finding out the CSR disclosure practice of the Islamic banks</w:t>
      </w:r>
      <w:r>
        <w:rPr>
          <w:rFonts w:ascii="Times New Roman" w:hAnsi="Times New Roman" w:cs="Times New Roman"/>
          <w:i/>
          <w:sz w:val="20"/>
          <w:szCs w:val="20"/>
        </w:rPr>
        <w:t xml:space="preserve"> </w:t>
      </w:r>
      <w:r w:rsidRPr="0091374D">
        <w:rPr>
          <w:rFonts w:ascii="Times New Roman" w:hAnsi="Times New Roman" w:cs="Times New Roman"/>
          <w:i/>
          <w:sz w:val="20"/>
          <w:szCs w:val="20"/>
        </w:rPr>
        <w:t>(IB) in Bangladesh</w:t>
      </w:r>
    </w:p>
    <w:p w:rsidR="005539A8" w:rsidRPr="0091374D" w:rsidRDefault="005539A8" w:rsidP="005539A8">
      <w:pPr>
        <w:autoSpaceDE w:val="0"/>
        <w:autoSpaceDN w:val="0"/>
        <w:adjustRightInd w:val="0"/>
        <w:spacing w:after="100" w:afterAutospacing="1" w:line="360" w:lineRule="auto"/>
        <w:ind w:left="720"/>
        <w:contextualSpacing/>
        <w:jc w:val="both"/>
        <w:rPr>
          <w:rFonts w:ascii="Times New Roman" w:hAnsi="Times New Roman" w:cs="Times New Roman"/>
          <w:i/>
          <w:sz w:val="20"/>
          <w:szCs w:val="20"/>
        </w:rPr>
      </w:pPr>
      <w:r w:rsidRPr="0091374D">
        <w:rPr>
          <w:rFonts w:ascii="Times New Roman" w:hAnsi="Times New Roman" w:cs="Times New Roman"/>
          <w:i/>
          <w:sz w:val="20"/>
          <w:szCs w:val="20"/>
        </w:rPr>
        <w:t xml:space="preserve">Research Methodology: The study entails a content analysis of 6 full-fledged IBs in Bangladesh for the year 2015, investigating their CSR compliance level as per the CSR dimensions as has been followed by </w:t>
      </w:r>
      <w:proofErr w:type="spellStart"/>
      <w:r w:rsidRPr="0091374D">
        <w:rPr>
          <w:rFonts w:ascii="Times New Roman" w:hAnsi="Times New Roman" w:cs="Times New Roman"/>
          <w:i/>
          <w:sz w:val="20"/>
          <w:szCs w:val="20"/>
        </w:rPr>
        <w:t>Daus</w:t>
      </w:r>
      <w:proofErr w:type="spellEnd"/>
      <w:r w:rsidRPr="0091374D">
        <w:rPr>
          <w:rFonts w:ascii="Times New Roman" w:hAnsi="Times New Roman" w:cs="Times New Roman"/>
          <w:i/>
          <w:sz w:val="20"/>
          <w:szCs w:val="20"/>
        </w:rPr>
        <w:t xml:space="preserve"> et al. (2014) in the study ‘Social responsibility reporting of Islamic Banks: evidence from Indonesia”. An equally weighted index is used for scoring the CSR disclosures.</w:t>
      </w:r>
    </w:p>
    <w:p w:rsidR="005539A8" w:rsidRPr="0091374D" w:rsidRDefault="005539A8" w:rsidP="005539A8">
      <w:pPr>
        <w:autoSpaceDE w:val="0"/>
        <w:autoSpaceDN w:val="0"/>
        <w:adjustRightInd w:val="0"/>
        <w:spacing w:after="100" w:afterAutospacing="1" w:line="360" w:lineRule="auto"/>
        <w:ind w:left="720"/>
        <w:contextualSpacing/>
        <w:jc w:val="both"/>
        <w:rPr>
          <w:rFonts w:ascii="Times New Roman" w:hAnsi="Times New Roman" w:cs="Times New Roman"/>
          <w:i/>
          <w:sz w:val="20"/>
          <w:szCs w:val="20"/>
        </w:rPr>
      </w:pPr>
      <w:r w:rsidRPr="0091374D">
        <w:rPr>
          <w:rFonts w:ascii="Times New Roman" w:hAnsi="Times New Roman" w:cs="Times New Roman"/>
          <w:i/>
          <w:sz w:val="20"/>
          <w:szCs w:val="20"/>
        </w:rPr>
        <w:t xml:space="preserve">Findings: The results revealed that the Islamic Banks disclosed most about their ‘Corporate Vision’ and ‘Top Management’ respectively, while least about their ‘Products, Service and Fair dealings with supply chain ‘related activities. The banks varied remarkably in disclosing about their CSR activities towards their employees and the environment, with a range of 60% and 63% respectively. The banks’ </w:t>
      </w:r>
      <w:proofErr w:type="spellStart"/>
      <w:r w:rsidRPr="0091374D">
        <w:rPr>
          <w:rFonts w:ascii="Times New Roman" w:hAnsi="Times New Roman" w:cs="Times New Roman"/>
          <w:i/>
          <w:sz w:val="20"/>
          <w:szCs w:val="20"/>
        </w:rPr>
        <w:t>shariya</w:t>
      </w:r>
      <w:proofErr w:type="spellEnd"/>
      <w:r w:rsidRPr="0091374D">
        <w:rPr>
          <w:rFonts w:ascii="Times New Roman" w:hAnsi="Times New Roman" w:cs="Times New Roman"/>
          <w:i/>
          <w:sz w:val="20"/>
          <w:szCs w:val="20"/>
        </w:rPr>
        <w:t xml:space="preserve"> compliancy in business transactions is found to be 61% on average.</w:t>
      </w:r>
    </w:p>
    <w:p w:rsidR="005539A8" w:rsidRPr="0091374D" w:rsidRDefault="005539A8" w:rsidP="005539A8">
      <w:pPr>
        <w:autoSpaceDE w:val="0"/>
        <w:autoSpaceDN w:val="0"/>
        <w:adjustRightInd w:val="0"/>
        <w:spacing w:after="100" w:afterAutospacing="1" w:line="360" w:lineRule="auto"/>
        <w:ind w:left="720"/>
        <w:contextualSpacing/>
        <w:jc w:val="both"/>
        <w:rPr>
          <w:rFonts w:ascii="Times New Roman" w:hAnsi="Times New Roman" w:cs="Times New Roman"/>
          <w:i/>
          <w:sz w:val="20"/>
          <w:szCs w:val="20"/>
        </w:rPr>
      </w:pPr>
      <w:r w:rsidRPr="0091374D">
        <w:rPr>
          <w:rFonts w:ascii="Times New Roman" w:hAnsi="Times New Roman" w:cs="Times New Roman"/>
          <w:i/>
          <w:sz w:val="20"/>
          <w:szCs w:val="20"/>
        </w:rPr>
        <w:t>Research limitation: The scope of the result lies within the realm of the disclosures made in annual reports only. Moreover, the CSR disclosure coding overwhelmingly has been done by the researcher only.</w:t>
      </w:r>
    </w:p>
    <w:p w:rsidR="005539A8" w:rsidRPr="0091374D" w:rsidRDefault="005539A8" w:rsidP="005539A8">
      <w:pPr>
        <w:autoSpaceDE w:val="0"/>
        <w:autoSpaceDN w:val="0"/>
        <w:adjustRightInd w:val="0"/>
        <w:spacing w:after="100" w:afterAutospacing="1" w:line="360" w:lineRule="auto"/>
        <w:ind w:left="720"/>
        <w:contextualSpacing/>
        <w:jc w:val="both"/>
        <w:rPr>
          <w:rFonts w:ascii="Times New Roman" w:hAnsi="Times New Roman" w:cs="Times New Roman"/>
          <w:i/>
          <w:sz w:val="20"/>
          <w:szCs w:val="20"/>
        </w:rPr>
      </w:pPr>
      <w:r w:rsidRPr="0091374D">
        <w:rPr>
          <w:rFonts w:ascii="Times New Roman" w:hAnsi="Times New Roman" w:cs="Times New Roman"/>
          <w:i/>
          <w:sz w:val="20"/>
          <w:szCs w:val="20"/>
        </w:rPr>
        <w:t xml:space="preserve">Contribution/practical implication: Creating awareness amongst the Islamic banks (IB) and their stakeholders about any discrepancy between the ethical claims of the IBs and their communicated CSR </w:t>
      </w:r>
      <w:proofErr w:type="gramStart"/>
      <w:r w:rsidRPr="0091374D">
        <w:rPr>
          <w:rFonts w:ascii="Times New Roman" w:hAnsi="Times New Roman" w:cs="Times New Roman"/>
          <w:i/>
          <w:sz w:val="20"/>
          <w:szCs w:val="20"/>
        </w:rPr>
        <w:t>activities,</w:t>
      </w:r>
      <w:proofErr w:type="gramEnd"/>
      <w:r w:rsidRPr="0091374D">
        <w:rPr>
          <w:rFonts w:ascii="Times New Roman" w:hAnsi="Times New Roman" w:cs="Times New Roman"/>
          <w:i/>
          <w:sz w:val="20"/>
          <w:szCs w:val="20"/>
        </w:rPr>
        <w:t xml:space="preserve"> can lead to a scope of a positive change in the social roles of the banks in future.</w:t>
      </w:r>
    </w:p>
    <w:p w:rsidR="005539A8" w:rsidRPr="0091374D" w:rsidRDefault="005539A8" w:rsidP="005539A8">
      <w:pPr>
        <w:autoSpaceDE w:val="0"/>
        <w:autoSpaceDN w:val="0"/>
        <w:adjustRightInd w:val="0"/>
        <w:spacing w:after="100" w:afterAutospacing="1" w:line="360" w:lineRule="auto"/>
        <w:ind w:left="720"/>
        <w:contextualSpacing/>
        <w:jc w:val="both"/>
        <w:rPr>
          <w:rFonts w:ascii="Times New Roman" w:hAnsi="Times New Roman" w:cs="Times New Roman"/>
          <w:i/>
          <w:sz w:val="20"/>
          <w:szCs w:val="20"/>
        </w:rPr>
      </w:pPr>
      <w:r w:rsidRPr="0091374D">
        <w:rPr>
          <w:rFonts w:ascii="Times New Roman" w:hAnsi="Times New Roman" w:cs="Times New Roman"/>
          <w:i/>
          <w:sz w:val="20"/>
          <w:szCs w:val="20"/>
        </w:rPr>
        <w:t>Further research: a time series analysis may be carried out on the IBs of Bangladesh to gauge a better picture of the CSR practice of IBs in Bangladesh, using data from more sources.</w:t>
      </w:r>
    </w:p>
    <w:p w:rsidR="005539A8" w:rsidRPr="0091374D" w:rsidRDefault="005539A8" w:rsidP="005539A8">
      <w:pPr>
        <w:jc w:val="both"/>
        <w:rPr>
          <w:rFonts w:ascii="Times New Roman" w:hAnsi="Times New Roman" w:cs="Times New Roman"/>
        </w:rPr>
      </w:pPr>
    </w:p>
    <w:p w:rsidR="005539A8" w:rsidRPr="0091374D" w:rsidRDefault="005539A8" w:rsidP="005539A8">
      <w:pPr>
        <w:pBdr>
          <w:bottom w:val="single" w:sz="4" w:space="1" w:color="auto"/>
        </w:pBdr>
        <w:jc w:val="both"/>
        <w:rPr>
          <w:rFonts w:ascii="Times New Roman" w:hAnsi="Times New Roman" w:cs="Times New Roman"/>
          <w:sz w:val="24"/>
          <w:szCs w:val="24"/>
        </w:rPr>
      </w:pPr>
      <w:r w:rsidRPr="0091374D">
        <w:rPr>
          <w:rFonts w:ascii="Times New Roman" w:hAnsi="Times New Roman" w:cs="Times New Roman"/>
          <w:sz w:val="24"/>
          <w:szCs w:val="24"/>
        </w:rPr>
        <w:t>Keywords: Corporate social responsibility, Islamic Banks, Bangladesh</w:t>
      </w:r>
    </w:p>
    <w:p w:rsidR="005539A8" w:rsidRPr="0091374D" w:rsidRDefault="005539A8" w:rsidP="005539A8">
      <w:pPr>
        <w:pStyle w:val="ListParagraph"/>
        <w:numPr>
          <w:ilvl w:val="0"/>
          <w:numId w:val="7"/>
        </w:numPr>
        <w:spacing w:line="240" w:lineRule="auto"/>
        <w:jc w:val="both"/>
        <w:rPr>
          <w:rFonts w:ascii="Times New Roman" w:hAnsi="Times New Roman" w:cs="Times New Roman"/>
          <w:b/>
          <w:sz w:val="24"/>
          <w:szCs w:val="24"/>
        </w:rPr>
      </w:pPr>
      <w:r w:rsidRPr="0091374D">
        <w:rPr>
          <w:rFonts w:ascii="Times New Roman" w:hAnsi="Times New Roman" w:cs="Times New Roman"/>
          <w:b/>
          <w:sz w:val="24"/>
          <w:szCs w:val="24"/>
        </w:rPr>
        <w:t>Introduction</w:t>
      </w:r>
      <w:bookmarkStart w:id="3" w:name="_Hlk495355277"/>
      <w:r w:rsidRPr="0091374D">
        <w:rPr>
          <w:rFonts w:ascii="Times New Roman" w:hAnsi="Times New Roman" w:cs="Times New Roman"/>
          <w:b/>
          <w:sz w:val="24"/>
          <w:szCs w:val="24"/>
        </w:rPr>
        <w:t>:</w:t>
      </w:r>
    </w:p>
    <w:p w:rsidR="005539A8" w:rsidRPr="0091374D" w:rsidRDefault="005539A8" w:rsidP="005539A8">
      <w:pPr>
        <w:spacing w:after="0" w:line="360" w:lineRule="auto"/>
        <w:jc w:val="both"/>
        <w:rPr>
          <w:rFonts w:ascii="Times New Roman" w:hAnsi="Times New Roman" w:cs="Times New Roman"/>
          <w:color w:val="FF0000"/>
          <w:sz w:val="24"/>
          <w:szCs w:val="24"/>
        </w:rPr>
      </w:pPr>
      <w:r w:rsidRPr="0091374D">
        <w:rPr>
          <w:rFonts w:ascii="Times New Roman" w:hAnsi="Times New Roman" w:cs="Times New Roman"/>
          <w:sz w:val="24"/>
          <w:szCs w:val="24"/>
        </w:rPr>
        <w:t xml:space="preserve">Although coined first in 1953 (Bowen, 1953, as cited by </w:t>
      </w:r>
      <w:proofErr w:type="spellStart"/>
      <w:r w:rsidRPr="0091374D">
        <w:rPr>
          <w:rFonts w:ascii="Times New Roman" w:hAnsi="Times New Roman" w:cs="Times New Roman"/>
          <w:sz w:val="24"/>
          <w:szCs w:val="24"/>
        </w:rPr>
        <w:t>Darus</w:t>
      </w:r>
      <w:proofErr w:type="spellEnd"/>
      <w:r w:rsidRPr="0091374D">
        <w:rPr>
          <w:rFonts w:ascii="Times New Roman" w:hAnsi="Times New Roman" w:cs="Times New Roman"/>
          <w:sz w:val="24"/>
          <w:szCs w:val="24"/>
        </w:rPr>
        <w:t xml:space="preserve"> et al.,2014), the concept of corporate social responsibility is increasingly gaining attention as proven by a growing number of academic literatures on it </w:t>
      </w:r>
      <w:bookmarkEnd w:id="3"/>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"10.1177/0007650305278086", "author" : [ { "dropping-particle" : "De", "family" : "Bakker", "given" : "Frank G A", "non-dropping-particle" : "", "parse-names" : false, "suffix" : "" }, { "dropping-particle" : "", "family" : "Groenewegen", "given" : "Peter", "non-dropping-particle" : "", "parse-names" : false, "suffix" : "" }, { "dropping-particle" : "Den", "family" : "Hond", "given" : "Frank", "non-dropping-particle" : "", "parse-names" : false, "suffix" : "" } ], "id" : "ITEM-1", "issued" : { "date-parts" : [ [ "2005" ] ] }, "title" : "Business &amp; Society", "type" : "article-journal" }, "uris" : [ "http://www.mendeley.com/documents/?uuid=db0cba2d-747b-4924-a3ef-58622ec10467" ] } ], "mendeley" : { "formattedCitation" : "(Bakker, Groenewegen, &amp; Hond, 2005)", "plainTextFormattedCitation" : "(Bakker, Groenewegen, &amp; Hond, 2005)", "previouslyFormattedCitation" : "(Bakker, Groenewegen, &amp; Hond, 2005)"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(Bakker, Groenewegen, &amp; Hond, 2005)</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 According to European Commission, 2011 (cited by </w:t>
      </w:r>
      <w:proofErr w:type="spellStart"/>
      <w:r w:rsidRPr="0091374D">
        <w:rPr>
          <w:rFonts w:ascii="Times New Roman" w:hAnsi="Times New Roman" w:cs="Times New Roman"/>
          <w:sz w:val="24"/>
          <w:szCs w:val="24"/>
        </w:rPr>
        <w:t>Darus</w:t>
      </w:r>
      <w:proofErr w:type="spellEnd"/>
      <w:r w:rsidRPr="0091374D">
        <w:rPr>
          <w:rFonts w:ascii="Times New Roman" w:hAnsi="Times New Roman" w:cs="Times New Roman"/>
          <w:sz w:val="24"/>
          <w:szCs w:val="24"/>
        </w:rPr>
        <w:t xml:space="preserve"> et al.,2014,p. 358) the concept of CSR may be defined as “a concept whereby companies integrate social and environmental concerns in their business operations and in their interaction with the stakeholders on a voluntary </w:t>
      </w:r>
      <w:proofErr w:type="spellStart"/>
      <w:r w:rsidRPr="0091374D">
        <w:rPr>
          <w:rFonts w:ascii="Times New Roman" w:hAnsi="Times New Roman" w:cs="Times New Roman"/>
          <w:sz w:val="24"/>
          <w:szCs w:val="24"/>
        </w:rPr>
        <w:t>basis”.Although</w:t>
      </w:r>
      <w:proofErr w:type="spellEnd"/>
      <w:r w:rsidRPr="0091374D">
        <w:rPr>
          <w:rFonts w:ascii="Times New Roman" w:hAnsi="Times New Roman" w:cs="Times New Roman"/>
          <w:sz w:val="24"/>
          <w:szCs w:val="24"/>
        </w:rPr>
        <w:t xml:space="preserve"> there may be many motivations behind a corporation’s social responsibility activities, including the establishment of a positive corporate image (</w:t>
      </w:r>
      <w:r w:rsidRPr="0091374D">
        <w:rPr>
          <w:rFonts w:ascii="Times New Roman" w:hAnsi="Times New Roman" w:cs="Times New Roman"/>
          <w:color w:val="222222"/>
          <w:sz w:val="24"/>
          <w:szCs w:val="24"/>
          <w:shd w:val="clear" w:color="auto" w:fill="FFFFFF"/>
        </w:rPr>
        <w:t xml:space="preserve">Khan, </w:t>
      </w:r>
      <w:proofErr w:type="spellStart"/>
      <w:r w:rsidRPr="0091374D">
        <w:rPr>
          <w:rFonts w:ascii="Times New Roman" w:hAnsi="Times New Roman" w:cs="Times New Roman"/>
          <w:color w:val="222222"/>
          <w:sz w:val="24"/>
          <w:szCs w:val="24"/>
          <w:shd w:val="clear" w:color="auto" w:fill="FFFFFF"/>
        </w:rPr>
        <w:t>Halabi</w:t>
      </w:r>
      <w:proofErr w:type="spellEnd"/>
      <w:r w:rsidRPr="0091374D">
        <w:rPr>
          <w:rFonts w:ascii="Times New Roman" w:hAnsi="Times New Roman" w:cs="Times New Roman"/>
          <w:color w:val="222222"/>
          <w:sz w:val="24"/>
          <w:szCs w:val="24"/>
          <w:shd w:val="clear" w:color="auto" w:fill="FFFFFF"/>
        </w:rPr>
        <w:t>, &amp; Samy,2009)</w:t>
      </w:r>
      <w:r w:rsidRPr="0091374D">
        <w:rPr>
          <w:rFonts w:ascii="Times New Roman" w:hAnsi="Times New Roman" w:cs="Times New Roman"/>
          <w:sz w:val="24"/>
          <w:szCs w:val="24"/>
        </w:rPr>
        <w:t xml:space="preserve">to ensure long term sustainable growth and thus reaping long term economic benefits </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"author" : [ { "dropping-particle" : "", "family" : "Berkeley", "given" : "U C", "non-dropping-particle" : "", "parse-names" : false, "suffix" : "" } ], "id" : "ITEM-1", "issued" : { "date-parts" : [ [ "2004" ] ] }, "title" : "Haas School of Business", "type" : "article-journal" }, "uris" : [ "http://www.mendeley.com/documents/?uuid=6c26a9c7-b7ad-484d-83d9-946acb82d60a" ] } ], "mendeley" : { "formattedCitation" : "(Berkeley, 2004)"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w:t>
      </w:r>
      <w:r w:rsidRPr="0091374D">
        <w:rPr>
          <w:rFonts w:ascii="Times New Roman" w:hAnsi="Times New Roman" w:cs="Times New Roman"/>
          <w:color w:val="222222"/>
          <w:sz w:val="24"/>
          <w:szCs w:val="24"/>
          <w:shd w:val="clear" w:color="auto" w:fill="FFFFFF"/>
        </w:rPr>
        <w:t xml:space="preserve"> Tsoutsoura, 2004)</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but probably the strongest, and most enduring motivation behind CSR activities would be the moral conscience that arises from an entity’s belief system. Like many other religions, Islam is deeply rooted in its ethical teachings which must logically be reflected in the operations of an Islamic organization, such as Islamic Banks.</w:t>
      </w:r>
    </w:p>
    <w:p w:rsidR="005539A8" w:rsidRPr="0091374D" w:rsidRDefault="005539A8" w:rsidP="005539A8">
      <w:pPr>
        <w:spacing w:after="0" w:line="360" w:lineRule="auto"/>
        <w:jc w:val="both"/>
        <w:rPr>
          <w:rFonts w:ascii="Times New Roman" w:hAnsi="Times New Roman" w:cs="Times New Roman"/>
          <w:color w:val="FF0000"/>
          <w:sz w:val="24"/>
          <w:szCs w:val="24"/>
        </w:rPr>
      </w:pPr>
    </w:p>
    <w:p w:rsidR="005539A8" w:rsidRPr="0091374D" w:rsidRDefault="005539A8" w:rsidP="005539A8">
      <w:pPr>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Ever since the revival of the Islamic banking system in 1975</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"10.15640/jibf.v3n1a2", "author" : [ { "dropping-particle" : "", "family" : "Alharbi", "given" : "Ahmad", "non-dropping-particle" : "", "parse-names" : false, "suffix" : "" } ], "id" : "ITEM-1", "issue" : "1", "issued" : { "date-parts" : [ [ "2015" ] ] }, "page" : "12-25", "title" : "Development of the Islamic Banking System", "type" : "article-journal", "volume" : "3" }, "uris" : [ "http://www.mendeley.com/documents/?uuid=8ada2f5c-0383-4242-9c21-a43b3ddcb770" ] } ], "mendeley" : { "formattedCitation" : "(Alharbi, 2015)", "plainTextFormattedCitation" : "(Alharbi, 2015)", "previouslyFormattedCitation" : "(Alharbi, 2015)"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(Alharbi, 2015)</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IBs have successfully made its place not only in the Muslim nations but also in many non-Muslim countries like USA, Canada etc.</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"10.1108/03074350810891029", "author" : [ { "dropping-particle" : "", "family" : "Khan", "given" : "M Mansoor", "non-dropping-particle" : "", "parse-names" : false, "suffix" : "" } ], "id" : "ITEM-1", "issue" : "10", "issued" : { "date-parts" : [ [ "2008" ] ] }, "page" : "708-725", "title" : "Islamic banking and finance : on its way to globalization", "type" : "article-journal", "volume" : "34" }, "uris" : [ "http://www.mendeley.com/documents/?uuid=48353302-4bd5-43f9-9843-7be160ea4a5b" ] } ], "mendeley" : { "formattedCitation" : "(M. M. Khan, 2008)", "plainTextFormattedCitation" : "(M. M. Khan, 2008)", "previouslyFormattedCitation" : "(M. M. Khan, 2008)" }, "properties" : { "noteIndex" : 0 }, "schema" : "https://github.com/citation-style-language/schema/raw/master/csl-citation.json" }</w:instrText>
      </w:r>
      <w:r w:rsidRPr="0091374D">
        <w:rPr>
          <w:rFonts w:ascii="Times New Roman" w:hAnsi="Times New Roman" w:cs="Times New Roman"/>
          <w:sz w:val="24"/>
          <w:szCs w:val="24"/>
        </w:rPr>
        <w:fldChar w:fldCharType="separate"/>
      </w:r>
      <w:proofErr w:type="gramStart"/>
      <w:r w:rsidRPr="0091374D">
        <w:rPr>
          <w:rFonts w:ascii="Times New Roman" w:hAnsi="Times New Roman" w:cs="Times New Roman"/>
          <w:noProof/>
          <w:sz w:val="24"/>
          <w:szCs w:val="24"/>
        </w:rPr>
        <w:t>( Khan, 2008)</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w:t>
      </w:r>
      <w:proofErr w:type="gramEnd"/>
      <w:r w:rsidRPr="0091374D">
        <w:rPr>
          <w:rFonts w:ascii="Times New Roman" w:hAnsi="Times New Roman" w:cs="Times New Roman"/>
          <w:sz w:val="24"/>
          <w:szCs w:val="24"/>
        </w:rPr>
        <w:t xml:space="preserve"> Being such a booming industry of banking institutions, IBs are expected to  not only leave a positive trail of their success in the economic development</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"author" : [ { "dropping-particle" : "", "family" : "Mara", "given" : "Universiti Teknologi", "non-dropping-particle" : "", "parse-names" : false, "suffix" : "" }, { "dropping-particle" : "", "family" : "Mara", "given" : "Universiti Teknologi", "non-dropping-particle" : "", "parse-names" : false, "suffix" : "" } ], "id" : "ITEM-1", "issue" : "4", "issued" : { "date-parts" : [ [ "2014" ] ] }, "page" : "356-380", "title" : "Social responsibility reporting of Islamic banks : evidence from Indonesia Faizah Darus * Hasan Fauzi Yadi Purwanto Haslinda Yusoff Azlan Amran Mustaffa Mohamed Zain and Dayang Milianna Abang Naim Mehran Nejati", "type" : "article-journal", "volume" : "9" }, "uris" : [ "http://www.mendeley.com/documents/?uuid=d68f0e60-e6a8-470d-91f9-744463e3ef01" ] } ], "mendeley" : { "formattedCitation" : "(Mara &amp; Mara, 2014)", "plainTextFormattedCitation" : "(Mara &amp; Mara, 2014)", "previouslyFormattedCitation" : "(Mara &amp; Mara, 2014)"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(Darus et al., 2014)</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 but more so in the social development of a country because as  Sharia(Islamic law) compliant institutions, it is not only their moral obligation but a religious duty to strike a balance between their economic gains and social responsibilities. Such an intriguing topic has led this study to explore how well the IBs, in this case from Bangladesh, are performing in fulfilling their social responsibilities. It measures the</w:t>
      </w:r>
      <w:r>
        <w:rPr>
          <w:rFonts w:ascii="Times New Roman" w:hAnsi="Times New Roman" w:cs="Times New Roman"/>
          <w:sz w:val="24"/>
          <w:szCs w:val="24"/>
        </w:rPr>
        <w:t xml:space="preserve"> </w:t>
      </w:r>
      <w:r w:rsidRPr="0091374D">
        <w:rPr>
          <w:rFonts w:ascii="Times New Roman" w:hAnsi="Times New Roman" w:cs="Times New Roman"/>
          <w:sz w:val="24"/>
          <w:szCs w:val="24"/>
        </w:rPr>
        <w:t xml:space="preserve">CSR disclosure level of 6 full-fledged sample IBs through content analysis of their annual reports for the year 2015.It basically aims to create awareness amongst the IBs and its stakeholders on the CSR practices of the banks so that any reported discrepancy between banks’ actual and claimed social roles may be diminished, for a more prosperous society in future. This study is a further contribution to the scarce literature done on this topic from a Bangladeshi context. </w:t>
      </w:r>
    </w:p>
    <w:p w:rsidR="005539A8" w:rsidRPr="0091374D" w:rsidRDefault="005539A8" w:rsidP="005539A8">
      <w:pPr>
        <w:spacing w:after="0" w:line="360" w:lineRule="auto"/>
        <w:jc w:val="both"/>
        <w:rPr>
          <w:rFonts w:ascii="Times New Roman" w:hAnsi="Times New Roman" w:cs="Times New Roman"/>
          <w:color w:val="FF0000"/>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The following sections chronologically include objective, literature review, methodology, finding and analysis, conclusions, practical implications and further research.</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p>
    <w:p w:rsidR="005539A8" w:rsidRPr="0091374D" w:rsidRDefault="005539A8" w:rsidP="005539A8">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Objective:</w:t>
      </w:r>
    </w:p>
    <w:p w:rsidR="005539A8" w:rsidRPr="0091374D" w:rsidRDefault="005539A8" w:rsidP="005539A8">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1374D">
        <w:rPr>
          <w:rFonts w:ascii="Times New Roman" w:hAnsi="Times New Roman" w:cs="Times New Roman"/>
          <w:sz w:val="24"/>
          <w:szCs w:val="24"/>
        </w:rPr>
        <w:t>This study is aimed at exploring the CSR practices of IBs in Bangladesh in order to create awareness amongst the IBs and its stakeholders about any gap between the ethical claims of the IBs and their communicated CSR activities, so that actions may be taken to reduce this gap for a more positive change in the social roles of the banks in future.</w:t>
      </w:r>
    </w:p>
    <w:p w:rsidR="005539A8" w:rsidRPr="0091374D" w:rsidRDefault="005539A8" w:rsidP="005539A8">
      <w:pPr>
        <w:autoSpaceDE w:val="0"/>
        <w:autoSpaceDN w:val="0"/>
        <w:adjustRightInd w:val="0"/>
        <w:spacing w:after="0" w:line="360" w:lineRule="auto"/>
        <w:jc w:val="both"/>
        <w:rPr>
          <w:rFonts w:ascii="Times New Roman" w:hAnsi="Times New Roman" w:cs="Times New Roman"/>
          <w:b/>
          <w:sz w:val="24"/>
          <w:szCs w:val="24"/>
        </w:rPr>
      </w:pPr>
    </w:p>
    <w:p w:rsidR="005539A8" w:rsidRPr="0091374D" w:rsidRDefault="005539A8" w:rsidP="005539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b/>
          <w:sz w:val="24"/>
          <w:szCs w:val="24"/>
        </w:rPr>
        <w:t>Literature Review:</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The concept of Islamic Corporate Social responsibility is founded on the religious principles of </w:t>
      </w:r>
      <w:proofErr w:type="spellStart"/>
      <w:r w:rsidRPr="0091374D">
        <w:rPr>
          <w:rFonts w:ascii="Times New Roman" w:hAnsi="Times New Roman" w:cs="Times New Roman"/>
          <w:sz w:val="24"/>
          <w:szCs w:val="24"/>
        </w:rPr>
        <w:t>vicegerency</w:t>
      </w:r>
      <w:proofErr w:type="spellEnd"/>
      <w:r w:rsidRPr="0091374D">
        <w:rPr>
          <w:rFonts w:ascii="Times New Roman" w:hAnsi="Times New Roman" w:cs="Times New Roman"/>
          <w:sz w:val="24"/>
          <w:szCs w:val="24"/>
        </w:rPr>
        <w:t>(representativeness of mankind</w:t>
      </w:r>
      <w:r>
        <w:rPr>
          <w:rFonts w:ascii="Times New Roman" w:hAnsi="Times New Roman" w:cs="Times New Roman"/>
          <w:sz w:val="24"/>
          <w:szCs w:val="24"/>
        </w:rPr>
        <w:t xml:space="preserve"> </w:t>
      </w:r>
      <w:r w:rsidRPr="0091374D">
        <w:rPr>
          <w:rFonts w:ascii="Times New Roman" w:hAnsi="Times New Roman" w:cs="Times New Roman"/>
          <w:sz w:val="24"/>
          <w:szCs w:val="24"/>
        </w:rPr>
        <w:t>for</w:t>
      </w:r>
      <w:r>
        <w:rPr>
          <w:rFonts w:ascii="Times New Roman" w:hAnsi="Times New Roman" w:cs="Times New Roman"/>
          <w:sz w:val="24"/>
          <w:szCs w:val="24"/>
        </w:rPr>
        <w:t xml:space="preserve"> </w:t>
      </w:r>
      <w:r w:rsidRPr="0091374D">
        <w:rPr>
          <w:rFonts w:ascii="Times New Roman" w:hAnsi="Times New Roman" w:cs="Times New Roman"/>
          <w:sz w:val="24"/>
          <w:szCs w:val="24"/>
        </w:rPr>
        <w:t>the entrustments of Allah), Divine Accountability of one’s actions and the principle of enjoining good and forbidding evil</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"author" : [ { "dropping-particle" : "", "family" : "Farook", "given" : "Sayd", "non-dropping-particle" : "", "parse-names" : false, "suffix" : "" } ], "id" : "ITEM-1", "issue" : "1", "issued" : { "date-parts" : [ [ "2007" ] ] }, "title" : "ON CORPORATE SOCIAL RESPONSIBILITY OF", "type" : "article-journal", "volume" : "15" }, "uris" : [ "http://www.mendeley.com/documents/?uuid=4784d13d-75b3-4811-a925-50a8abef89c0" ] } ], "mendeley" : { "formattedCitation" : "(Farook, 2007)", "plainTextFormattedCitation" : "(Farook, 2007)", "previouslyFormattedCitation" : "(Farook, 2007)"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(Farook, 2007)</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 Rooted in such religious values, Islamic </w:t>
      </w:r>
      <w:proofErr w:type="gramStart"/>
      <w:r w:rsidRPr="0091374D">
        <w:rPr>
          <w:rFonts w:ascii="Times New Roman" w:hAnsi="Times New Roman" w:cs="Times New Roman"/>
          <w:sz w:val="24"/>
          <w:szCs w:val="24"/>
        </w:rPr>
        <w:t>Banks(</w:t>
      </w:r>
      <w:proofErr w:type="gramEnd"/>
      <w:r w:rsidRPr="0091374D">
        <w:rPr>
          <w:rFonts w:ascii="Times New Roman" w:hAnsi="Times New Roman" w:cs="Times New Roman"/>
          <w:sz w:val="24"/>
          <w:szCs w:val="24"/>
        </w:rPr>
        <w:t>IB) are expected to be the epitome of socially responsible institutions. However, studies depict quite a different scenario. Similar studies carried out,</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"10.1007/s10551-006-9272-5", "author" : [ { "dropping-particle" : "", "family" : "Haniffa", "given" : "Roszaini", "non-dropping-particle" : "", "parse-names" : false, "suffix" : "" }, { "dropping-particle" : "", "family" : "Hudaib", "given" : "Mohammad", "non-dropping-particle" : "", "parse-names" : false, "suffix" : "" } ], "id" : "ITEM-1", "issued" : { "date-parts" : [ [ "2007" ] ] }, "page" : "97-116", "title" : "Exploring the Ethical Identity of Islamic Banks via Communication in Annual Reports Roszaini Haniffa", "type" : "article-journal" }, "uris" : [ "http://www.mendeley.com/documents/?uuid=f6a0b743-c164-4af2-b19a-89d8186d2a1b" ] } ], "mendeley" : { "formattedCitation" : "(Haniffa &amp; Hudaib, 2007)", "manualFormatting" : "(Haniffa &amp; Hudaib, 2007;Kamla,2013, Hassan Hararap)", "plainTextFormattedCitation" : "(Haniffa &amp; Hudaib, 2007)", "previouslyFormattedCitation" : "(Haniffa &amp; Hudaib, 2007)"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 xml:space="preserve">( Haniffa &amp; Hudaib, 2007; Hassan &amp;Harahap,2010; </w:t>
      </w:r>
      <w:r w:rsidRPr="0091374D">
        <w:rPr>
          <w:rFonts w:ascii="Times New Roman" w:hAnsi="Times New Roman" w:cs="Times New Roman"/>
          <w:noProof/>
          <w:sz w:val="24"/>
          <w:szCs w:val="24"/>
        </w:rPr>
        <w:lastRenderedPageBreak/>
        <w:t>Kamla, 2013)</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all find a disparity between communicated and ideal ethical identity of studied IBs. </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CSR disclosure levels of IBs are also found to vary between different dimensions both  within and between different banks</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"10.1108/17590811211265902", "ISBN" : "1759081121126", "author" : [ { "dropping-particle" : "", "family" : "Vinnicombe", "given" : "Thea", "non-dropping-particle" : "", "parse-names" : false, "suffix" : "" }, { "dropping-particle" : "", "family" : "Vinnicombe", "given" : "Thea", "non-dropping-particle" : "", "parse-names" : false, "suffix" : "" } ], "id" : "ITEM-1", "issued" : { "date-parts" : [ [ "2013" ] ] }, "title" : "A study of compliance with AAOIFI accounting standards by Islamic banks in Bahrain", "type" : "article-journal" }, "uris" : [ "http://www.mendeley.com/documents/?uuid=5da756fc-ef15-4b8f-ad65-ad38c739332f" ] } ], "mendeley" : { "formattedCitation" : "(Vinnicombe &amp; Vinnicombe, 2013)", "manualFormatting" : "( Vinnicombe, T. (2012), Samina (2012)", "plainTextFormattedCitation" : "(Vinnicombe &amp; Vinnicombe, 2013)", "previouslyFormattedCitation" : "(Vinnicombe &amp; Vinnicombe, 2013)"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 Samina, 2012; Vinnicombe, 2012)</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.Studies</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"10.1016/j.jebo.2014.03.001", "ISSN" : "0167-2681", "author" : [ { "dropping-particle" : "", "family" : "Farag", "given" : "Hisham", "non-dropping-particle" : "", "parse-names" : false, "suffix" : "" }, { "dropping-particle" : "", "family" : "Mallin", "given" : "Christine", "non-dropping-particle" : "", "parse-names" : false, "suffix" : "" }, { "dropping-particle" : "", "family" : "Ow-yong", "given" : "Kean", "non-dropping-particle" : "", "parse-names" : false, "suffix" : "" } ], "container-title" : "Journal of Economic Behavior and Organization", "id" : "ITEM-1", "issued" : { "date-parts" : [ [ "2014" ] ] }, "publisher" : "Elsevier B.V.", "title" : "Ac ce p us cr t", "type" : "article-journal" }, "uris" : [ "http://www.mendeley.com/documents/?uuid=99017e99-0822-40c6-b18c-22764d043aec" ] } ], "mendeley" : { "formattedCitation" : "(Farag, Mallin, &amp; Ow-yong, 2014)", "manualFormatting" : "(Farag, Mallin, &amp; Ow-yong, 2014; Mara &amp; Mara 2014)", "plainTextFormattedCitation" : "(Farag, Mallin, &amp; Ow-yong, 2014)", "previouslyFormattedCitation" : "(Farag, Mallin, &amp; Ow-yong, 2014)"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(Darus et al., 2014; Farag, Mallin, &amp; Ow-yong, 2014)</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 show that IBs often disclose more about their corporate vision ,mission, board of directors and management than do they about the environmental dimension. Among the seven sample banks studied, </w:t>
      </w:r>
      <w:proofErr w:type="spellStart"/>
      <w:r w:rsidRPr="0091374D">
        <w:rPr>
          <w:rFonts w:ascii="Times New Roman" w:hAnsi="Times New Roman" w:cs="Times New Roman"/>
          <w:sz w:val="24"/>
          <w:szCs w:val="24"/>
        </w:rPr>
        <w:t>Haniffa</w:t>
      </w:r>
      <w:proofErr w:type="spellEnd"/>
      <w:r>
        <w:rPr>
          <w:rFonts w:ascii="Times New Roman" w:hAnsi="Times New Roman" w:cs="Times New Roman"/>
          <w:sz w:val="24"/>
          <w:szCs w:val="24"/>
        </w:rPr>
        <w:t xml:space="preserve"> </w:t>
      </w:r>
      <w:r w:rsidRPr="0091374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Hudaib</w:t>
      </w:r>
      <w:proofErr w:type="spellEnd"/>
      <w:r>
        <w:rPr>
          <w:rFonts w:ascii="Times New Roman" w:hAnsi="Times New Roman" w:cs="Times New Roman"/>
          <w:sz w:val="24"/>
          <w:szCs w:val="24"/>
        </w:rPr>
        <w:t xml:space="preserve"> </w:t>
      </w:r>
      <w:r w:rsidRPr="0091374D">
        <w:rPr>
          <w:rFonts w:ascii="Times New Roman" w:hAnsi="Times New Roman" w:cs="Times New Roman"/>
          <w:sz w:val="24"/>
          <w:szCs w:val="24"/>
        </w:rPr>
        <w:t xml:space="preserve">(2007) finds the least disclosure levels in ‘commitment to society’ dimension. Surprisingly! It is found that most banks which are less concerned about their responsibility towards the society or environment, actually claim to be Sharia compliant(Haniffa&amp;Hudaib,2007; </w:t>
      </w:r>
      <w:proofErr w:type="spellStart"/>
      <w:r w:rsidRPr="0091374D">
        <w:rPr>
          <w:rFonts w:ascii="Times New Roman" w:hAnsi="Times New Roman" w:cs="Times New Roman"/>
          <w:sz w:val="24"/>
          <w:szCs w:val="24"/>
        </w:rPr>
        <w:t>Kamla</w:t>
      </w:r>
      <w:proofErr w:type="spellEnd"/>
      <w:r w:rsidRPr="0091374D">
        <w:rPr>
          <w:rFonts w:ascii="Times New Roman" w:hAnsi="Times New Roman" w:cs="Times New Roman"/>
          <w:sz w:val="24"/>
          <w:szCs w:val="24"/>
        </w:rPr>
        <w:t xml:space="preserve">, 2013; </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"DOI" : "10.1111/j.1468-4497.2006.00200.x", "author" : [ { "dropping-particle" : "", "family" : "Maali", "given" : "Bassam", "non-dropping-particle" : "", "parse-names" : false, "suffix" : "" }, { "dropping-particle" : "", "family" : "Casson", "given" : "Peter", "non-dropping-particle" : "", "parse-names" : false, "suffix" : "" }, { "dropping-particle" : "", "family" : "Napier", "given" : "Christopher", "non-dropping-particle" : "", "parse-names" : false, "suffix" : "" } ], "id" : "ITEM-1", "issue" : "2", "issued" : { "date-parts" : [ [ "2006" ] ] }, "title" : "Social Reporting by Islamic Banks", "type" : "article-journal", "volume" : "42" }, "uris" : [ "http://www.mendeley.com/documents/?uuid=39a9ca48-3f14-47ed-806c-ba49779cf072" ] } ], "mendeley" : { "formattedCitation" : "(Maali, Casson, &amp; Napier, 2006)", "manualFormatting" : "Maali, Casson, &amp; Napier, 2006)", "plainTextFormattedCitation" : "(Maali, Casson, &amp; Napier, 2006)", "previouslyFormattedCitation" : "(Maali, Casson, &amp; Napier, 2006)"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Maali et al., 2006; Samina, 2012)</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.This could mean that the IBs are more concerned with their outwardly corporate images than they</w:t>
      </w:r>
      <w:r>
        <w:rPr>
          <w:rFonts w:ascii="Times New Roman" w:hAnsi="Times New Roman" w:cs="Times New Roman"/>
          <w:sz w:val="24"/>
          <w:szCs w:val="24"/>
        </w:rPr>
        <w:t xml:space="preserve"> </w:t>
      </w:r>
      <w:r w:rsidRPr="0091374D">
        <w:rPr>
          <w:rFonts w:ascii="Times New Roman" w:hAnsi="Times New Roman" w:cs="Times New Roman"/>
          <w:sz w:val="24"/>
          <w:szCs w:val="24"/>
        </w:rPr>
        <w:t>are about their social responsibilities. Such discrepancy in disclosure levels may arise due to a lack of proper regulations or other external pressure from stakeholders.</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The first step for any revolution or reform</w:t>
      </w:r>
      <w:r>
        <w:rPr>
          <w:rFonts w:ascii="Times New Roman" w:hAnsi="Times New Roman" w:cs="Times New Roman"/>
          <w:sz w:val="24"/>
          <w:szCs w:val="24"/>
        </w:rPr>
        <w:t xml:space="preserve"> </w:t>
      </w:r>
      <w:r w:rsidRPr="0091374D">
        <w:rPr>
          <w:rFonts w:ascii="Times New Roman" w:hAnsi="Times New Roman" w:cs="Times New Roman"/>
          <w:sz w:val="24"/>
          <w:szCs w:val="24"/>
        </w:rPr>
        <w:t>is the awareness of the existence of the problem in the first place.  Stakeholder’s knowledge about the CSR disclosure practices of IBs are still globally scant and in that regard Bangladesh stands tall. In Bangladesh, only 2 studies were carried out in this area so far. A27 yearlong longitudinal study(</w:t>
      </w:r>
      <w:proofErr w:type="spellStart"/>
      <w:r w:rsidRPr="0091374D">
        <w:rPr>
          <w:rFonts w:ascii="Times New Roman" w:hAnsi="Times New Roman" w:cs="Times New Roman"/>
          <w:color w:val="000000"/>
          <w:sz w:val="24"/>
          <w:szCs w:val="24"/>
          <w:shd w:val="clear" w:color="auto" w:fill="FFFFFF"/>
        </w:rPr>
        <w:t>Belal</w:t>
      </w:r>
      <w:proofErr w:type="spellEnd"/>
      <w:r w:rsidRPr="0091374D">
        <w:rPr>
          <w:rFonts w:ascii="Times New Roman" w:hAnsi="Times New Roman" w:cs="Times New Roman"/>
          <w:color w:val="000000"/>
          <w:sz w:val="24"/>
          <w:szCs w:val="24"/>
          <w:shd w:val="clear" w:color="auto" w:fill="FFFFFF"/>
        </w:rPr>
        <w:t xml:space="preserve">, </w:t>
      </w:r>
      <w:proofErr w:type="spellStart"/>
      <w:r w:rsidRPr="0091374D">
        <w:rPr>
          <w:rFonts w:ascii="Times New Roman" w:hAnsi="Times New Roman" w:cs="Times New Roman"/>
          <w:color w:val="000000"/>
          <w:sz w:val="24"/>
          <w:szCs w:val="24"/>
          <w:shd w:val="clear" w:color="auto" w:fill="FFFFFF"/>
        </w:rPr>
        <w:t>Abdelsalam</w:t>
      </w:r>
      <w:proofErr w:type="spellEnd"/>
      <w:r w:rsidRPr="0091374D">
        <w:rPr>
          <w:rFonts w:ascii="Times New Roman" w:hAnsi="Times New Roman" w:cs="Times New Roman"/>
          <w:color w:val="000000"/>
          <w:sz w:val="24"/>
          <w:szCs w:val="24"/>
          <w:shd w:val="clear" w:color="auto" w:fill="FFFFFF"/>
        </w:rPr>
        <w:t>, &amp;</w:t>
      </w:r>
      <w:proofErr w:type="spellStart"/>
      <w:r w:rsidRPr="0091374D">
        <w:rPr>
          <w:rFonts w:ascii="Times New Roman" w:hAnsi="Times New Roman" w:cs="Times New Roman"/>
          <w:color w:val="000000"/>
          <w:sz w:val="24"/>
          <w:szCs w:val="24"/>
          <w:shd w:val="clear" w:color="auto" w:fill="FFFFFF"/>
        </w:rPr>
        <w:t>Nizamee</w:t>
      </w:r>
      <w:proofErr w:type="spellEnd"/>
      <w:r w:rsidRPr="0091374D">
        <w:rPr>
          <w:rFonts w:ascii="Times New Roman" w:hAnsi="Times New Roman" w:cs="Times New Roman"/>
          <w:color w:val="000000"/>
          <w:sz w:val="24"/>
          <w:szCs w:val="24"/>
          <w:shd w:val="clear" w:color="auto" w:fill="FFFFFF"/>
        </w:rPr>
        <w:t>, 2011)</w:t>
      </w:r>
      <w:r w:rsidRPr="0091374D">
        <w:rPr>
          <w:rFonts w:ascii="Times New Roman" w:hAnsi="Times New Roman" w:cs="Times New Roman"/>
          <w:sz w:val="24"/>
          <w:szCs w:val="24"/>
        </w:rPr>
        <w:t xml:space="preserve"> done on the CSR disclosure practice of </w:t>
      </w:r>
      <w:proofErr w:type="spellStart"/>
      <w:r w:rsidRPr="0091374D">
        <w:rPr>
          <w:rFonts w:ascii="Times New Roman" w:hAnsi="Times New Roman" w:cs="Times New Roman"/>
          <w:sz w:val="24"/>
          <w:szCs w:val="24"/>
        </w:rPr>
        <w:t>IslamiBank</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BangladeshLtd</w:t>
      </w:r>
      <w:proofErr w:type="spellEnd"/>
      <w:r w:rsidRPr="0091374D">
        <w:rPr>
          <w:rFonts w:ascii="Times New Roman" w:hAnsi="Times New Roman" w:cs="Times New Roman"/>
          <w:sz w:val="24"/>
          <w:szCs w:val="24"/>
        </w:rPr>
        <w:t xml:space="preserve">(IBBL) found some  good news of an increasing trend in its CSR disclosure practices over the years studied and most disclosures were made about community involvement, charity and </w:t>
      </w:r>
      <w:proofErr w:type="spellStart"/>
      <w:r w:rsidRPr="0091374D">
        <w:rPr>
          <w:rFonts w:ascii="Times New Roman" w:hAnsi="Times New Roman" w:cs="Times New Roman"/>
          <w:sz w:val="24"/>
          <w:szCs w:val="24"/>
        </w:rPr>
        <w:t>Shariah</w:t>
      </w:r>
      <w:proofErr w:type="spellEnd"/>
      <w:r w:rsidRPr="0091374D">
        <w:rPr>
          <w:rFonts w:ascii="Times New Roman" w:hAnsi="Times New Roman" w:cs="Times New Roman"/>
          <w:sz w:val="24"/>
          <w:szCs w:val="24"/>
        </w:rPr>
        <w:t xml:space="preserve"> awareness respectively, while least  about complaints. Another study found that one of the underlying reasons behind an IB’s involvement in CSR practice is </w:t>
      </w:r>
      <w:proofErr w:type="spellStart"/>
      <w:r w:rsidRPr="0091374D">
        <w:rPr>
          <w:rFonts w:ascii="Times New Roman" w:hAnsi="Times New Roman" w:cs="Times New Roman"/>
          <w:sz w:val="24"/>
          <w:szCs w:val="24"/>
        </w:rPr>
        <w:t>religion.i.e</w:t>
      </w:r>
      <w:proofErr w:type="spellEnd"/>
      <w:r w:rsidRPr="0091374D">
        <w:rPr>
          <w:rFonts w:ascii="Times New Roman" w:hAnsi="Times New Roman" w:cs="Times New Roman"/>
          <w:sz w:val="24"/>
          <w:szCs w:val="24"/>
        </w:rPr>
        <w:t xml:space="preserve"> Islam, in Bangladesh (</w:t>
      </w:r>
      <w:proofErr w:type="spellStart"/>
      <w:r w:rsidRPr="0091374D">
        <w:rPr>
          <w:rFonts w:ascii="Times New Roman" w:hAnsi="Times New Roman" w:cs="Times New Roman"/>
          <w:color w:val="222222"/>
          <w:sz w:val="24"/>
          <w:szCs w:val="24"/>
          <w:shd w:val="clear" w:color="auto" w:fill="FFFFFF"/>
        </w:rPr>
        <w:t>Sobhani</w:t>
      </w:r>
      <w:proofErr w:type="spellEnd"/>
      <w:r w:rsidRPr="0091374D">
        <w:rPr>
          <w:rFonts w:ascii="Times New Roman" w:hAnsi="Times New Roman" w:cs="Times New Roman"/>
          <w:color w:val="222222"/>
          <w:sz w:val="24"/>
          <w:szCs w:val="24"/>
          <w:shd w:val="clear" w:color="auto" w:fill="FFFFFF"/>
        </w:rPr>
        <w:t xml:space="preserve">, </w:t>
      </w:r>
      <w:proofErr w:type="spellStart"/>
      <w:r w:rsidRPr="0091374D">
        <w:rPr>
          <w:rFonts w:ascii="Times New Roman" w:hAnsi="Times New Roman" w:cs="Times New Roman"/>
          <w:color w:val="222222"/>
          <w:sz w:val="24"/>
          <w:szCs w:val="24"/>
          <w:shd w:val="clear" w:color="auto" w:fill="FFFFFF"/>
        </w:rPr>
        <w:t>Zainuddin</w:t>
      </w:r>
      <w:proofErr w:type="spellEnd"/>
      <w:r w:rsidRPr="0091374D">
        <w:rPr>
          <w:rFonts w:ascii="Times New Roman" w:hAnsi="Times New Roman" w:cs="Times New Roman"/>
          <w:color w:val="222222"/>
          <w:sz w:val="24"/>
          <w:szCs w:val="24"/>
          <w:shd w:val="clear" w:color="auto" w:fill="FFFFFF"/>
        </w:rPr>
        <w:t>, &amp;</w:t>
      </w:r>
      <w:proofErr w:type="spellStart"/>
      <w:r w:rsidRPr="0091374D">
        <w:rPr>
          <w:rFonts w:ascii="Times New Roman" w:hAnsi="Times New Roman" w:cs="Times New Roman"/>
          <w:color w:val="222222"/>
          <w:sz w:val="24"/>
          <w:szCs w:val="24"/>
          <w:shd w:val="clear" w:color="auto" w:fill="FFFFFF"/>
        </w:rPr>
        <w:t>Amran</w:t>
      </w:r>
      <w:proofErr w:type="spellEnd"/>
      <w:r w:rsidRPr="0091374D">
        <w:rPr>
          <w:rFonts w:ascii="Times New Roman" w:hAnsi="Times New Roman" w:cs="Times New Roman"/>
          <w:color w:val="222222"/>
          <w:sz w:val="24"/>
          <w:szCs w:val="24"/>
          <w:shd w:val="clear" w:color="auto" w:fill="FFFFFF"/>
        </w:rPr>
        <w:t>, 2011)</w:t>
      </w:r>
      <w:r w:rsidRPr="0091374D">
        <w:rPr>
          <w:rFonts w:ascii="Times New Roman" w:hAnsi="Times New Roman" w:cs="Times New Roman"/>
          <w:sz w:val="24"/>
          <w:szCs w:val="24"/>
        </w:rPr>
        <w:t xml:space="preserve">.A study by </w:t>
      </w:r>
      <w:proofErr w:type="spellStart"/>
      <w:r w:rsidRPr="0091374D">
        <w:rPr>
          <w:rFonts w:ascii="Times New Roman" w:hAnsi="Times New Roman" w:cs="Times New Roman"/>
          <w:sz w:val="24"/>
          <w:szCs w:val="24"/>
        </w:rPr>
        <w:t>Samina</w:t>
      </w:r>
      <w:proofErr w:type="spellEnd"/>
      <w:r w:rsidRPr="0091374D">
        <w:rPr>
          <w:rFonts w:ascii="Times New Roman" w:hAnsi="Times New Roman" w:cs="Times New Roman"/>
          <w:sz w:val="24"/>
          <w:szCs w:val="24"/>
        </w:rPr>
        <w:t xml:space="preserve"> (2012) revealed an average 0f 81.67%involvement of the sample banks in the CSR disclosure practice. However, there was no mention of the measurement scales (CSR disclosure checklist) based on which such result was found, which makes the findings questionable. Drawing on this research gap and that of the lack of studies done in this area in Bangladesh, this will be the third study aiming to explore the CSR disclosure practices of the IBs in Bangladesh.</w:t>
      </w:r>
    </w:p>
    <w:p w:rsidR="005539A8" w:rsidRDefault="005539A8" w:rsidP="005539A8">
      <w:pPr>
        <w:autoSpaceDE w:val="0"/>
        <w:autoSpaceDN w:val="0"/>
        <w:adjustRightInd w:val="0"/>
        <w:spacing w:after="0" w:line="360" w:lineRule="auto"/>
        <w:jc w:val="both"/>
        <w:rPr>
          <w:rFonts w:ascii="Times New Roman" w:hAnsi="Times New Roman" w:cs="Times New Roman"/>
          <w:sz w:val="24"/>
          <w:szCs w:val="24"/>
        </w:rPr>
      </w:pPr>
    </w:p>
    <w:p w:rsidR="00D12A2F" w:rsidRPr="0091374D" w:rsidRDefault="00D12A2F" w:rsidP="005539A8">
      <w:pPr>
        <w:autoSpaceDE w:val="0"/>
        <w:autoSpaceDN w:val="0"/>
        <w:adjustRightInd w:val="0"/>
        <w:spacing w:after="0" w:line="360" w:lineRule="auto"/>
        <w:jc w:val="both"/>
        <w:rPr>
          <w:rFonts w:ascii="Times New Roman" w:hAnsi="Times New Roman" w:cs="Times New Roman"/>
          <w:sz w:val="24"/>
          <w:szCs w:val="24"/>
        </w:rPr>
      </w:pPr>
    </w:p>
    <w:p w:rsidR="005539A8" w:rsidRPr="0091374D" w:rsidRDefault="005539A8" w:rsidP="005539A8">
      <w:pPr>
        <w:pStyle w:val="ListParagraph"/>
        <w:numPr>
          <w:ilvl w:val="0"/>
          <w:numId w:val="7"/>
        </w:numPr>
        <w:autoSpaceDE w:val="0"/>
        <w:autoSpaceDN w:val="0"/>
        <w:adjustRightInd w:val="0"/>
        <w:spacing w:after="0" w:line="360" w:lineRule="auto"/>
        <w:jc w:val="both"/>
        <w:rPr>
          <w:rFonts w:ascii="Times New Roman" w:hAnsi="Times New Roman" w:cs="Times New Roman"/>
          <w:b/>
          <w:sz w:val="26"/>
          <w:szCs w:val="24"/>
        </w:rPr>
      </w:pPr>
      <w:r w:rsidRPr="0091374D">
        <w:rPr>
          <w:rFonts w:ascii="Times New Roman" w:hAnsi="Times New Roman" w:cs="Times New Roman"/>
          <w:b/>
          <w:sz w:val="26"/>
          <w:szCs w:val="24"/>
        </w:rPr>
        <w:lastRenderedPageBreak/>
        <w:t>Methodology:</w:t>
      </w:r>
    </w:p>
    <w:p w:rsidR="005539A8" w:rsidRPr="0091374D" w:rsidRDefault="005539A8" w:rsidP="005539A8">
      <w:pPr>
        <w:autoSpaceDE w:val="0"/>
        <w:autoSpaceDN w:val="0"/>
        <w:adjustRightInd w:val="0"/>
        <w:spacing w:after="0"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4.1 Sample and Data design</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Although there are total eight full-fledged IBs in Bangladesh but only six of them are used as samples using convenience sampling. The annual reports of the two banks couldn’t be collected. According to a recent report</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"author" : [ { "dropping-particle" : "", "family" : "September", "given" : "July-", "non-dropping-particle" : "", "parse-names" : false, "suffix" : "" }, { "dropping-particle" : "", "family" : "Sarker", "given" : "Abdul Awwal", "non-dropping-particle" : "", "parse-names" : false, "suffix" : "" }, { "dropping-particle" : "", "family" : "Mily", "given" : "Nazmun Nahar", "non-dropping-particle" : "", "parse-names" : false, "suffix" : "" } ], "id" : "ITEM-1", "issued" : { "date-parts" : [ [ "2016" ] ] }, "page" : "1-11", "title" : "Developments of Islamic Banking in Bangladesh Coordinator", "type" : "article-journal" }, "uris" : [ "http://www.mendeley.com/documents/?uuid=c2c6d274-73ab-4378-85f7-8fd22a5d87ba" ] } ], "mendeley" : { "formattedCitation" : "(September, Sarker, &amp; Mily, 2016)", "plainTextFormattedCitation" : "(September, Sarker, &amp; Mily, 2016)", "previouslyFormattedCitation" : "(September, Sarker, &amp; Mily, 2016)"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(Bank, B., 2016)</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the six sample  banks account for more than 80% of the market share, so they should be quite representative of the population. Since 2015 and 2016 are consecutive years so it is assumed that the market share statistics of the IBs in both years should be close. The banks under study are Al </w:t>
      </w:r>
      <w:proofErr w:type="spellStart"/>
      <w:r w:rsidRPr="0091374D">
        <w:rPr>
          <w:rFonts w:ascii="Times New Roman" w:hAnsi="Times New Roman" w:cs="Times New Roman"/>
          <w:sz w:val="24"/>
          <w:szCs w:val="24"/>
        </w:rPr>
        <w:t>Arafah</w:t>
      </w:r>
      <w:proofErr w:type="spellEnd"/>
      <w:r>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Islami</w:t>
      </w:r>
      <w:proofErr w:type="spellEnd"/>
      <w:r w:rsidRPr="0091374D">
        <w:rPr>
          <w:rFonts w:ascii="Times New Roman" w:hAnsi="Times New Roman" w:cs="Times New Roman"/>
          <w:sz w:val="24"/>
          <w:szCs w:val="24"/>
        </w:rPr>
        <w:t xml:space="preserve"> Bank (AIBL), First security </w:t>
      </w:r>
      <w:proofErr w:type="spellStart"/>
      <w:r w:rsidRPr="0091374D">
        <w:rPr>
          <w:rFonts w:ascii="Times New Roman" w:hAnsi="Times New Roman" w:cs="Times New Roman"/>
          <w:sz w:val="24"/>
          <w:szCs w:val="24"/>
        </w:rPr>
        <w:t>Islami</w:t>
      </w:r>
      <w:proofErr w:type="spellEnd"/>
      <w:r w:rsidRPr="0091374D">
        <w:rPr>
          <w:rFonts w:ascii="Times New Roman" w:hAnsi="Times New Roman" w:cs="Times New Roman"/>
          <w:sz w:val="24"/>
          <w:szCs w:val="24"/>
        </w:rPr>
        <w:t xml:space="preserve"> bank (FSIBL), </w:t>
      </w:r>
      <w:proofErr w:type="spellStart"/>
      <w:r w:rsidRPr="0091374D">
        <w:rPr>
          <w:rFonts w:ascii="Times New Roman" w:hAnsi="Times New Roman" w:cs="Times New Roman"/>
          <w:sz w:val="24"/>
          <w:szCs w:val="24"/>
        </w:rPr>
        <w:t>Islami</w:t>
      </w:r>
      <w:proofErr w:type="spellEnd"/>
      <w:r w:rsidRPr="0091374D">
        <w:rPr>
          <w:rFonts w:ascii="Times New Roman" w:hAnsi="Times New Roman" w:cs="Times New Roman"/>
          <w:sz w:val="24"/>
          <w:szCs w:val="24"/>
        </w:rPr>
        <w:t xml:space="preserve"> Bank Bangladesh Limited (IBBL), Social </w:t>
      </w:r>
      <w:proofErr w:type="spellStart"/>
      <w:r w:rsidRPr="0091374D">
        <w:rPr>
          <w:rFonts w:ascii="Times New Roman" w:hAnsi="Times New Roman" w:cs="Times New Roman"/>
          <w:sz w:val="24"/>
          <w:szCs w:val="24"/>
        </w:rPr>
        <w:t>Islami</w:t>
      </w:r>
      <w:proofErr w:type="spellEnd"/>
      <w:r w:rsidRPr="0091374D">
        <w:rPr>
          <w:rFonts w:ascii="Times New Roman" w:hAnsi="Times New Roman" w:cs="Times New Roman"/>
          <w:sz w:val="24"/>
          <w:szCs w:val="24"/>
        </w:rPr>
        <w:t xml:space="preserve"> Bank Limited (SIBL), </w:t>
      </w:r>
      <w:proofErr w:type="spellStart"/>
      <w:r w:rsidRPr="0091374D">
        <w:rPr>
          <w:rFonts w:ascii="Times New Roman" w:hAnsi="Times New Roman" w:cs="Times New Roman"/>
          <w:sz w:val="24"/>
          <w:szCs w:val="24"/>
        </w:rPr>
        <w:t>ShahajalalIslami</w:t>
      </w:r>
      <w:proofErr w:type="spellEnd"/>
      <w:r w:rsidRPr="0091374D">
        <w:rPr>
          <w:rFonts w:ascii="Times New Roman" w:hAnsi="Times New Roman" w:cs="Times New Roman"/>
          <w:sz w:val="24"/>
          <w:szCs w:val="24"/>
        </w:rPr>
        <w:t xml:space="preserve"> Bank Limited (SJIBL), and EXIM bank. Data has been collected from the annual reports of the sample banks for 2015. Annual reports are used as the source of data because it is the single most used avenue where corporations make comprehensive disclosures about their practices so that investors can assess company’s position</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"author" : [ { "dropping-particle" : "", "family" : "Samina", "given" : "Quazi Sagota", "non-dropping-particle" : "", "parse-names" : false, "suffix" : "" } ], "id" : "ITEM-1", "issue" : "6", "issued" : { "date-parts" : [ [ "2012" ] ] }, "page" : "1-13", "title" : "Practice of Corporate Social Responsibility in Islamic Banks of Bangladesh Samina", "type" : "article-journal", "volume" : "2" }, "uris" : [ "http://www.mendeley.com/documents/?uuid=84007d08-0668-489f-b3eb-26b4b52de90b" ] } ], "mendeley" : { "formattedCitation" : "(Samina, 2012)", "plainTextFormattedCitation" : "(Samina, 2012)", "previouslyFormattedCitation" : "(Samina, 2012)"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(Samina, 2012)</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xml:space="preserve">. </w:t>
      </w:r>
    </w:p>
    <w:p w:rsidR="005539A8" w:rsidRPr="0091374D" w:rsidRDefault="005539A8" w:rsidP="005539A8">
      <w:pPr>
        <w:autoSpaceDE w:val="0"/>
        <w:autoSpaceDN w:val="0"/>
        <w:adjustRightInd w:val="0"/>
        <w:spacing w:after="0" w:line="360" w:lineRule="auto"/>
        <w:jc w:val="both"/>
        <w:rPr>
          <w:rFonts w:ascii="Times New Roman" w:hAnsi="Times New Roman" w:cs="Times New Roman"/>
          <w:b/>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b/>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4.2 Research Tools</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The current study employs the research technique of content analysis. Content analysis is a  systematical coding of content of documents based on some specific criteria </w:t>
      </w:r>
      <w:r w:rsidRPr="0091374D">
        <w:rPr>
          <w:rFonts w:ascii="Times New Roman" w:hAnsi="Times New Roman" w:cs="Times New Roman"/>
          <w:sz w:val="24"/>
          <w:szCs w:val="24"/>
        </w:rPr>
        <w:fldChar w:fldCharType="begin" w:fldLock="1"/>
      </w:r>
      <w:r w:rsidRPr="0091374D">
        <w:rPr>
          <w:rFonts w:ascii="Times New Roman" w:hAnsi="Times New Roman" w:cs="Times New Roman"/>
          <w:sz w:val="24"/>
          <w:szCs w:val="24"/>
        </w:rPr>
        <w:instrText>ADDIN CSL_CITATION { "citationItems" : [ { "id" : "ITEM-1", "itemData" : { "author" : [ { "dropping-particle" : "", "family" : "Accounting", "given" : "British", "non-dropping-particle" : "", "parse-names" : false, "suffix" : "" }, { "dropping-particle" : "", "family" : "Business", "given" : "Islamic", "non-dropping-particle" : "", "parse-names" : false, "suffix" : "" } ], "id" : "ITEM-1", "issued" : { "date-parts" : [ [ "2011" ] ] }, "page" : "12-14", "title" : "A Longitudinal Case Study of Social Reporting in Islami Bank Bangladesh Limited A Longitudinal Case Study of Social Reporting in Islami Bank Bangladesh Limited", "type" : "article-journal" }, "uris" : [ "http://www.mendeley.com/documents/?uuid=56a68302-4a2e-47a0-9c69-51590be4833c" ] } ], "mendeley" : { "formattedCitation" : "(Accounting &amp; Business, 2011)", "plainTextFormattedCitation" : "(Accounting &amp; Business, 2011)", "previouslyFormattedCitation" : "(Accounting &amp; Business, 2011)"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(Belal et al.,2011)</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so as to draw insights from the quantitative data . Content analysis is a poplar technique used by many studies (</w:t>
      </w:r>
      <w:proofErr w:type="spellStart"/>
      <w:r w:rsidRPr="0091374D">
        <w:rPr>
          <w:rFonts w:ascii="Times New Roman" w:hAnsi="Times New Roman" w:cs="Times New Roman"/>
          <w:sz w:val="24"/>
          <w:szCs w:val="24"/>
        </w:rPr>
        <w:t>Belal</w:t>
      </w:r>
      <w:proofErr w:type="spellEnd"/>
      <w:r w:rsidRPr="0091374D">
        <w:rPr>
          <w:rFonts w:ascii="Times New Roman" w:hAnsi="Times New Roman" w:cs="Times New Roman"/>
          <w:sz w:val="24"/>
          <w:szCs w:val="24"/>
        </w:rPr>
        <w:t xml:space="preserve"> et al., 2011; </w:t>
      </w:r>
      <w:proofErr w:type="spellStart"/>
      <w:r w:rsidRPr="0091374D">
        <w:rPr>
          <w:rFonts w:ascii="Times New Roman" w:hAnsi="Times New Roman" w:cs="Times New Roman"/>
          <w:sz w:val="24"/>
          <w:szCs w:val="24"/>
        </w:rPr>
        <w:t>Darus</w:t>
      </w:r>
      <w:proofErr w:type="spellEnd"/>
      <w:r w:rsidRPr="0091374D">
        <w:rPr>
          <w:rFonts w:ascii="Times New Roman" w:hAnsi="Times New Roman" w:cs="Times New Roman"/>
          <w:sz w:val="24"/>
          <w:szCs w:val="24"/>
        </w:rPr>
        <w:t xml:space="preserve"> et al.,2014; </w:t>
      </w:r>
      <w:proofErr w:type="spellStart"/>
      <w:r w:rsidRPr="0091374D">
        <w:rPr>
          <w:rFonts w:ascii="Times New Roman" w:hAnsi="Times New Roman" w:cs="Times New Roman"/>
          <w:sz w:val="24"/>
          <w:szCs w:val="24"/>
        </w:rPr>
        <w:t>Haniffa</w:t>
      </w:r>
      <w:proofErr w:type="spellEnd"/>
      <w:r w:rsidRPr="0091374D">
        <w:rPr>
          <w:rFonts w:ascii="Times New Roman" w:hAnsi="Times New Roman" w:cs="Times New Roman"/>
          <w:sz w:val="24"/>
          <w:szCs w:val="24"/>
        </w:rPr>
        <w:t xml:space="preserve">&amp; Hudaib,2007; Hassan &amp; Harahap,2010; </w:t>
      </w:r>
      <w:proofErr w:type="spellStart"/>
      <w:r w:rsidRPr="0091374D">
        <w:rPr>
          <w:rFonts w:ascii="Times New Roman" w:hAnsi="Times New Roman" w:cs="Times New Roman"/>
          <w:sz w:val="24"/>
          <w:szCs w:val="24"/>
        </w:rPr>
        <w:t>Kamla</w:t>
      </w:r>
      <w:proofErr w:type="spellEnd"/>
      <w:r w:rsidRPr="0091374D">
        <w:rPr>
          <w:rFonts w:ascii="Times New Roman" w:hAnsi="Times New Roman" w:cs="Times New Roman"/>
          <w:sz w:val="24"/>
          <w:szCs w:val="24"/>
        </w:rPr>
        <w:t>, 2013) so its validity is confirmed.</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This study codes the CSR disclosures based on dimensions as has been followed by </w:t>
      </w:r>
      <w:proofErr w:type="spellStart"/>
      <w:r w:rsidRPr="0091374D">
        <w:rPr>
          <w:rFonts w:ascii="Times New Roman" w:hAnsi="Times New Roman" w:cs="Times New Roman"/>
          <w:sz w:val="24"/>
          <w:szCs w:val="24"/>
        </w:rPr>
        <w:t>Darus</w:t>
      </w:r>
      <w:proofErr w:type="spellEnd"/>
      <w:r w:rsidRPr="0091374D">
        <w:rPr>
          <w:rFonts w:ascii="Times New Roman" w:hAnsi="Times New Roman" w:cs="Times New Roman"/>
          <w:sz w:val="24"/>
          <w:szCs w:val="24"/>
        </w:rPr>
        <w:t xml:space="preserve"> et al. (2014) in the study ‘Social responsibility reporting of Islamic Banks: evidence from Indonesia”. </w:t>
      </w:r>
      <w:proofErr w:type="spellStart"/>
      <w:r w:rsidRPr="0091374D">
        <w:rPr>
          <w:rFonts w:ascii="Times New Roman" w:hAnsi="Times New Roman" w:cs="Times New Roman"/>
          <w:sz w:val="24"/>
          <w:szCs w:val="24"/>
        </w:rPr>
        <w:t>Darus</w:t>
      </w:r>
      <w:proofErr w:type="spellEnd"/>
      <w:r w:rsidRPr="0091374D">
        <w:rPr>
          <w:rFonts w:ascii="Times New Roman" w:hAnsi="Times New Roman" w:cs="Times New Roman"/>
          <w:sz w:val="24"/>
          <w:szCs w:val="24"/>
        </w:rPr>
        <w:t xml:space="preserve"> et al. (2104) compiled these dimensions based on the studies of </w:t>
      </w:r>
      <w:proofErr w:type="spellStart"/>
      <w:r w:rsidRPr="0091374D">
        <w:rPr>
          <w:rFonts w:ascii="Times New Roman" w:hAnsi="Times New Roman" w:cs="Times New Roman"/>
          <w:sz w:val="24"/>
          <w:szCs w:val="24"/>
        </w:rPr>
        <w:t>Haniffa</w:t>
      </w:r>
      <w:proofErr w:type="spellEnd"/>
      <w:r>
        <w:rPr>
          <w:rFonts w:ascii="Times New Roman" w:hAnsi="Times New Roman" w:cs="Times New Roman"/>
          <w:sz w:val="24"/>
          <w:szCs w:val="24"/>
        </w:rPr>
        <w:t xml:space="preserve"> </w:t>
      </w:r>
      <w:r w:rsidRPr="0091374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Hudaib</w:t>
      </w:r>
      <w:proofErr w:type="spellEnd"/>
      <w:r>
        <w:rPr>
          <w:rFonts w:ascii="Times New Roman" w:hAnsi="Times New Roman" w:cs="Times New Roman"/>
          <w:sz w:val="24"/>
          <w:szCs w:val="24"/>
        </w:rPr>
        <w:t xml:space="preserve"> </w:t>
      </w:r>
      <w:r w:rsidRPr="0091374D">
        <w:rPr>
          <w:rFonts w:ascii="Times New Roman" w:hAnsi="Times New Roman" w:cs="Times New Roman"/>
          <w:sz w:val="24"/>
          <w:szCs w:val="24"/>
        </w:rPr>
        <w:t>(2007), Hassan</w:t>
      </w:r>
      <w:r>
        <w:rPr>
          <w:rFonts w:ascii="Times New Roman" w:hAnsi="Times New Roman" w:cs="Times New Roman"/>
          <w:sz w:val="24"/>
          <w:szCs w:val="24"/>
        </w:rPr>
        <w:t xml:space="preserve"> </w:t>
      </w:r>
      <w:r w:rsidRPr="0091374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Harahap</w:t>
      </w:r>
      <w:proofErr w:type="spellEnd"/>
      <w:r>
        <w:rPr>
          <w:rFonts w:ascii="Times New Roman" w:hAnsi="Times New Roman" w:cs="Times New Roman"/>
          <w:sz w:val="24"/>
          <w:szCs w:val="24"/>
        </w:rPr>
        <w:t xml:space="preserve"> </w:t>
      </w:r>
      <w:r w:rsidRPr="0091374D">
        <w:rPr>
          <w:rFonts w:ascii="Times New Roman" w:hAnsi="Times New Roman" w:cs="Times New Roman"/>
          <w:sz w:val="24"/>
          <w:szCs w:val="24"/>
        </w:rPr>
        <w:t xml:space="preserve">(2010) and AAOIFI standards, so they are deemed to be comprehensive. </w:t>
      </w: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sz w:val="24"/>
          <w:szCs w:val="24"/>
        </w:rPr>
        <w:sectPr w:rsidR="005539A8" w:rsidRPr="0091374D" w:rsidSect="00BE35E9">
          <w:pgSz w:w="11907" w:h="16839" w:code="9"/>
          <w:pgMar w:top="1440" w:right="1440" w:bottom="1440" w:left="1440" w:header="720" w:footer="720" w:gutter="0"/>
          <w:cols w:space="720"/>
          <w:titlePg/>
          <w:docGrid w:linePitch="360"/>
        </w:sectPr>
      </w:pPr>
    </w:p>
    <w:p w:rsidR="005539A8" w:rsidRDefault="005539A8" w:rsidP="00495262">
      <w:pPr>
        <w:autoSpaceDE w:val="0"/>
        <w:autoSpaceDN w:val="0"/>
        <w:adjustRightInd w:val="0"/>
        <w:spacing w:after="0" w:line="240" w:lineRule="auto"/>
        <w:jc w:val="center"/>
        <w:rPr>
          <w:rFonts w:ascii="Times New Roman" w:hAnsi="Times New Roman" w:cs="Times New Roman"/>
          <w:b/>
          <w:sz w:val="24"/>
          <w:szCs w:val="24"/>
        </w:rPr>
      </w:pPr>
      <w:r w:rsidRPr="0091374D">
        <w:rPr>
          <w:rFonts w:ascii="Times New Roman" w:hAnsi="Times New Roman" w:cs="Times New Roman"/>
          <w:b/>
          <w:sz w:val="24"/>
          <w:szCs w:val="24"/>
        </w:rPr>
        <w:lastRenderedPageBreak/>
        <w:t>Table</w:t>
      </w:r>
      <w:r w:rsidR="00D12A2F">
        <w:rPr>
          <w:rFonts w:ascii="Times New Roman" w:hAnsi="Times New Roman" w:cs="Times New Roman"/>
          <w:b/>
          <w:sz w:val="24"/>
          <w:szCs w:val="24"/>
        </w:rPr>
        <w:t xml:space="preserve"> </w:t>
      </w:r>
      <w:r w:rsidRPr="0091374D">
        <w:rPr>
          <w:rFonts w:ascii="Times New Roman" w:hAnsi="Times New Roman" w:cs="Times New Roman"/>
          <w:b/>
          <w:sz w:val="24"/>
          <w:szCs w:val="24"/>
        </w:rPr>
        <w:t>1: Measurement Bases for CSR disclosures</w:t>
      </w:r>
    </w:p>
    <w:p w:rsidR="00495262" w:rsidRPr="0091374D" w:rsidRDefault="00495262" w:rsidP="00495262">
      <w:pPr>
        <w:autoSpaceDE w:val="0"/>
        <w:autoSpaceDN w:val="0"/>
        <w:adjustRightInd w:val="0"/>
        <w:spacing w:after="0" w:line="240" w:lineRule="auto"/>
        <w:jc w:val="center"/>
        <w:rPr>
          <w:rFonts w:ascii="Times New Roman" w:hAnsi="Times New Roman" w:cs="Times New Roman"/>
          <w:b/>
          <w:sz w:val="24"/>
          <w:szCs w:val="24"/>
        </w:rPr>
      </w:pP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5684"/>
        <w:gridCol w:w="802"/>
      </w:tblGrid>
      <w:tr w:rsidR="005539A8" w:rsidRPr="0091374D" w:rsidTr="00495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pct"/>
            <w:tcBorders>
              <w:bottom w:val="none" w:sz="0" w:space="0" w:color="auto"/>
            </w:tcBorders>
          </w:tcPr>
          <w:p w:rsidR="005539A8" w:rsidRPr="0091374D" w:rsidRDefault="005539A8" w:rsidP="00940B83">
            <w:pPr>
              <w:autoSpaceDE w:val="0"/>
              <w:autoSpaceDN w:val="0"/>
              <w:adjustRightInd w:val="0"/>
              <w:rPr>
                <w:rFonts w:ascii="Times New Roman" w:hAnsi="Times New Roman" w:cs="Times New Roman"/>
                <w:i/>
              </w:rPr>
            </w:pPr>
            <w:r w:rsidRPr="0091374D">
              <w:rPr>
                <w:rFonts w:ascii="Times New Roman" w:hAnsi="Times New Roman" w:cs="Times New Roman"/>
                <w:i/>
              </w:rPr>
              <w:t>Dimension</w:t>
            </w:r>
          </w:p>
        </w:tc>
        <w:tc>
          <w:tcPr>
            <w:tcW w:w="3075" w:type="pct"/>
            <w:tcBorders>
              <w:bottom w:val="none" w:sz="0" w:space="0" w:color="auto"/>
            </w:tcBorders>
          </w:tcPr>
          <w:p w:rsidR="005539A8" w:rsidRPr="0091374D" w:rsidRDefault="005539A8" w:rsidP="00940B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1374D">
              <w:rPr>
                <w:rFonts w:ascii="Times New Roman" w:hAnsi="Times New Roman" w:cs="Times New Roman"/>
                <w:i/>
              </w:rPr>
              <w:t>Sub dimension</w:t>
            </w:r>
          </w:p>
        </w:tc>
        <w:tc>
          <w:tcPr>
            <w:tcW w:w="434" w:type="pct"/>
            <w:tcBorders>
              <w:bottom w:val="none" w:sz="0" w:space="0" w:color="auto"/>
            </w:tcBorders>
          </w:tcPr>
          <w:p w:rsidR="005539A8" w:rsidRPr="0091374D" w:rsidRDefault="005539A8" w:rsidP="00940B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91374D">
              <w:rPr>
                <w:rFonts w:ascii="Times New Roman" w:hAnsi="Times New Roman" w:cs="Times New Roman"/>
                <w:i/>
              </w:rPr>
              <w:t>Score</w:t>
            </w:r>
          </w:p>
        </w:tc>
      </w:tr>
      <w:tr w:rsidR="005539A8" w:rsidRPr="0091374D" w:rsidTr="0049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pct"/>
            <w:tcBorders>
              <w:top w:val="none" w:sz="0" w:space="0" w:color="auto"/>
              <w:bottom w:val="none" w:sz="0" w:space="0" w:color="auto"/>
            </w:tcBorders>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Strategy</w:t>
            </w:r>
          </w:p>
        </w:tc>
        <w:tc>
          <w:tcPr>
            <w:tcW w:w="3075" w:type="pct"/>
            <w:tcBorders>
              <w:top w:val="none" w:sz="0" w:space="0" w:color="auto"/>
              <w:bottom w:val="none" w:sz="0" w:space="0" w:color="auto"/>
            </w:tcBorders>
          </w:tcPr>
          <w:p w:rsidR="005539A8" w:rsidRPr="0091374D" w:rsidRDefault="005539A8" w:rsidP="005539A8">
            <w:pPr>
              <w:pStyle w:val="ListParagraph"/>
              <w:numPr>
                <w:ilvl w:val="0"/>
                <w:numId w:val="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Corporate vision</w:t>
            </w:r>
          </w:p>
        </w:tc>
        <w:tc>
          <w:tcPr>
            <w:tcW w:w="434" w:type="pct"/>
            <w:tcBorders>
              <w:top w:val="none" w:sz="0" w:space="0" w:color="auto"/>
              <w:bottom w:val="none" w:sz="0" w:space="0" w:color="auto"/>
            </w:tcBorders>
          </w:tcPr>
          <w:p w:rsidR="005539A8" w:rsidRPr="0091374D" w:rsidRDefault="005539A8" w:rsidP="00940B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4</w:t>
            </w:r>
          </w:p>
        </w:tc>
      </w:tr>
      <w:tr w:rsidR="005539A8" w:rsidRPr="0091374D" w:rsidTr="00495262">
        <w:trPr>
          <w:trHeight w:val="512"/>
        </w:trPr>
        <w:tc>
          <w:tcPr>
            <w:cnfStyle w:val="001000000000" w:firstRow="0" w:lastRow="0" w:firstColumn="1" w:lastColumn="0" w:oddVBand="0" w:evenVBand="0" w:oddHBand="0" w:evenHBand="0" w:firstRowFirstColumn="0" w:firstRowLastColumn="0" w:lastRowFirstColumn="0" w:lastRowLastColumn="0"/>
            <w:tcW w:w="1491" w:type="pct"/>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Governance</w:t>
            </w:r>
          </w:p>
          <w:p w:rsidR="005539A8" w:rsidRPr="0091374D" w:rsidRDefault="005539A8" w:rsidP="00940B83">
            <w:pPr>
              <w:autoSpaceDE w:val="0"/>
              <w:autoSpaceDN w:val="0"/>
              <w:adjustRightInd w:val="0"/>
              <w:rPr>
                <w:rFonts w:ascii="Times New Roman" w:hAnsi="Times New Roman" w:cs="Times New Roman"/>
                <w:i/>
              </w:rPr>
            </w:pPr>
          </w:p>
        </w:tc>
        <w:tc>
          <w:tcPr>
            <w:tcW w:w="3075" w:type="pct"/>
          </w:tcPr>
          <w:p w:rsidR="005539A8" w:rsidRPr="0091374D" w:rsidRDefault="005539A8" w:rsidP="005539A8">
            <w:pPr>
              <w:pStyle w:val="ListParagraph"/>
              <w:numPr>
                <w:ilvl w:val="0"/>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Top management and board of directors</w:t>
            </w:r>
          </w:p>
          <w:p w:rsidR="005539A8" w:rsidRPr="0091374D" w:rsidRDefault="005539A8" w:rsidP="005539A8">
            <w:pPr>
              <w:pStyle w:val="ListParagraph"/>
              <w:numPr>
                <w:ilvl w:val="0"/>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Sharia Compliant</w:t>
            </w:r>
          </w:p>
        </w:tc>
        <w:tc>
          <w:tcPr>
            <w:tcW w:w="434" w:type="pct"/>
          </w:tcPr>
          <w:p w:rsidR="005539A8" w:rsidRPr="0091374D" w:rsidRDefault="005539A8" w:rsidP="00940B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15</w:t>
            </w:r>
          </w:p>
          <w:p w:rsidR="005539A8" w:rsidRPr="0091374D" w:rsidRDefault="005539A8" w:rsidP="00940B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14</w:t>
            </w:r>
          </w:p>
        </w:tc>
      </w:tr>
      <w:tr w:rsidR="005539A8" w:rsidRPr="0091374D" w:rsidTr="0049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pct"/>
            <w:tcBorders>
              <w:top w:val="none" w:sz="0" w:space="0" w:color="auto"/>
              <w:bottom w:val="none" w:sz="0" w:space="0" w:color="auto"/>
            </w:tcBorders>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 xml:space="preserve"> Product</w:t>
            </w:r>
          </w:p>
        </w:tc>
        <w:tc>
          <w:tcPr>
            <w:tcW w:w="3075" w:type="pct"/>
            <w:tcBorders>
              <w:top w:val="none" w:sz="0" w:space="0" w:color="auto"/>
              <w:bottom w:val="none" w:sz="0" w:space="0" w:color="auto"/>
            </w:tcBorders>
          </w:tcPr>
          <w:p w:rsidR="005539A8" w:rsidRPr="0091374D" w:rsidRDefault="005539A8" w:rsidP="005539A8">
            <w:pPr>
              <w:pStyle w:val="ListParagraph"/>
              <w:numPr>
                <w:ilvl w:val="0"/>
                <w:numId w:val="5"/>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Product, services, and fair dealing with supply chain</w:t>
            </w:r>
          </w:p>
        </w:tc>
        <w:tc>
          <w:tcPr>
            <w:tcW w:w="434" w:type="pct"/>
            <w:tcBorders>
              <w:top w:val="none" w:sz="0" w:space="0" w:color="auto"/>
              <w:bottom w:val="none" w:sz="0" w:space="0" w:color="auto"/>
            </w:tcBorders>
          </w:tcPr>
          <w:p w:rsidR="005539A8" w:rsidRPr="0091374D" w:rsidRDefault="005539A8" w:rsidP="00940B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8</w:t>
            </w:r>
          </w:p>
        </w:tc>
      </w:tr>
      <w:tr w:rsidR="005539A8" w:rsidRPr="0091374D" w:rsidTr="00495262">
        <w:tc>
          <w:tcPr>
            <w:cnfStyle w:val="001000000000" w:firstRow="0" w:lastRow="0" w:firstColumn="1" w:lastColumn="0" w:oddVBand="0" w:evenVBand="0" w:oddHBand="0" w:evenHBand="0" w:firstRowFirstColumn="0" w:firstRowLastColumn="0" w:lastRowFirstColumn="0" w:lastRowLastColumn="0"/>
            <w:tcW w:w="1491" w:type="pct"/>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Community development and social goals</w:t>
            </w:r>
          </w:p>
        </w:tc>
        <w:tc>
          <w:tcPr>
            <w:tcW w:w="3075" w:type="pct"/>
          </w:tcPr>
          <w:p w:rsidR="005539A8" w:rsidRPr="0091374D" w:rsidRDefault="005539A8" w:rsidP="005539A8">
            <w:pPr>
              <w:pStyle w:val="ListParagraph"/>
              <w:numPr>
                <w:ilvl w:val="0"/>
                <w:numId w:val="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Strategic social development</w:t>
            </w:r>
          </w:p>
        </w:tc>
        <w:tc>
          <w:tcPr>
            <w:tcW w:w="434" w:type="pct"/>
          </w:tcPr>
          <w:p w:rsidR="005539A8" w:rsidRPr="0091374D" w:rsidRDefault="005539A8" w:rsidP="00940B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13</w:t>
            </w:r>
          </w:p>
        </w:tc>
      </w:tr>
      <w:tr w:rsidR="005539A8" w:rsidRPr="0091374D" w:rsidTr="0049526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491" w:type="pct"/>
            <w:tcBorders>
              <w:top w:val="none" w:sz="0" w:space="0" w:color="auto"/>
              <w:bottom w:val="none" w:sz="0" w:space="0" w:color="auto"/>
            </w:tcBorders>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Employment</w:t>
            </w:r>
          </w:p>
        </w:tc>
        <w:tc>
          <w:tcPr>
            <w:tcW w:w="3075" w:type="pct"/>
            <w:tcBorders>
              <w:top w:val="none" w:sz="0" w:space="0" w:color="auto"/>
              <w:bottom w:val="none" w:sz="0" w:space="0" w:color="auto"/>
            </w:tcBorders>
          </w:tcPr>
          <w:p w:rsidR="005539A8" w:rsidRPr="0091374D" w:rsidRDefault="005539A8" w:rsidP="005539A8">
            <w:pPr>
              <w:pStyle w:val="ListParagraph"/>
              <w:numPr>
                <w:ilvl w:val="0"/>
                <w:numId w:val="2"/>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Employees</w:t>
            </w:r>
          </w:p>
          <w:p w:rsidR="005539A8" w:rsidRPr="0091374D" w:rsidRDefault="005539A8" w:rsidP="005539A8">
            <w:pPr>
              <w:pStyle w:val="ListParagraph"/>
              <w:numPr>
                <w:ilvl w:val="0"/>
                <w:numId w:val="2"/>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Research, Development and training</w:t>
            </w:r>
          </w:p>
        </w:tc>
        <w:tc>
          <w:tcPr>
            <w:tcW w:w="434" w:type="pct"/>
            <w:tcBorders>
              <w:top w:val="none" w:sz="0" w:space="0" w:color="auto"/>
              <w:bottom w:val="none" w:sz="0" w:space="0" w:color="auto"/>
            </w:tcBorders>
          </w:tcPr>
          <w:p w:rsidR="005539A8" w:rsidRPr="0091374D" w:rsidRDefault="005539A8" w:rsidP="00940B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10</w:t>
            </w:r>
          </w:p>
          <w:p w:rsidR="005539A8" w:rsidRPr="0091374D" w:rsidRDefault="005539A8" w:rsidP="00940B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5</w:t>
            </w:r>
          </w:p>
        </w:tc>
      </w:tr>
      <w:tr w:rsidR="005539A8" w:rsidRPr="0091374D" w:rsidTr="00495262">
        <w:tc>
          <w:tcPr>
            <w:cnfStyle w:val="001000000000" w:firstRow="0" w:lastRow="0" w:firstColumn="1" w:lastColumn="0" w:oddVBand="0" w:evenVBand="0" w:oddHBand="0" w:evenHBand="0" w:firstRowFirstColumn="0" w:firstRowLastColumn="0" w:lastRowFirstColumn="0" w:lastRowLastColumn="0"/>
            <w:tcW w:w="1491" w:type="pct"/>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Environment</w:t>
            </w:r>
          </w:p>
        </w:tc>
        <w:tc>
          <w:tcPr>
            <w:tcW w:w="3075" w:type="pct"/>
          </w:tcPr>
          <w:p w:rsidR="005539A8" w:rsidRPr="0091374D" w:rsidRDefault="005539A8" w:rsidP="005539A8">
            <w:pPr>
              <w:pStyle w:val="ListParagraph"/>
              <w:numPr>
                <w:ilvl w:val="0"/>
                <w:numId w:val="3"/>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environment</w:t>
            </w:r>
          </w:p>
        </w:tc>
        <w:tc>
          <w:tcPr>
            <w:tcW w:w="434" w:type="pct"/>
          </w:tcPr>
          <w:p w:rsidR="005539A8" w:rsidRPr="0091374D" w:rsidRDefault="005539A8" w:rsidP="00940B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8</w:t>
            </w:r>
          </w:p>
        </w:tc>
      </w:tr>
      <w:tr w:rsidR="005539A8" w:rsidRPr="0091374D" w:rsidTr="0049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pct"/>
            <w:tcBorders>
              <w:top w:val="none" w:sz="0" w:space="0" w:color="auto"/>
              <w:bottom w:val="none" w:sz="0" w:space="0" w:color="auto"/>
            </w:tcBorders>
          </w:tcPr>
          <w:p w:rsidR="005539A8" w:rsidRPr="0091374D" w:rsidRDefault="005539A8" w:rsidP="00940B83">
            <w:pPr>
              <w:autoSpaceDE w:val="0"/>
              <w:autoSpaceDN w:val="0"/>
              <w:adjustRightInd w:val="0"/>
              <w:rPr>
                <w:rFonts w:ascii="Times New Roman" w:hAnsi="Times New Roman" w:cs="Times New Roman"/>
              </w:rPr>
            </w:pPr>
            <w:r w:rsidRPr="0091374D">
              <w:rPr>
                <w:rFonts w:ascii="Times New Roman" w:hAnsi="Times New Roman" w:cs="Times New Roman"/>
              </w:rPr>
              <w:t>Total score</w:t>
            </w:r>
          </w:p>
        </w:tc>
        <w:tc>
          <w:tcPr>
            <w:tcW w:w="3075" w:type="pct"/>
            <w:tcBorders>
              <w:top w:val="none" w:sz="0" w:space="0" w:color="auto"/>
              <w:bottom w:val="none" w:sz="0" w:space="0" w:color="auto"/>
            </w:tcBorders>
          </w:tcPr>
          <w:p w:rsidR="005539A8" w:rsidRPr="0091374D" w:rsidRDefault="005539A8" w:rsidP="00940B83">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4" w:type="pct"/>
            <w:tcBorders>
              <w:top w:val="none" w:sz="0" w:space="0" w:color="auto"/>
              <w:bottom w:val="none" w:sz="0" w:space="0" w:color="auto"/>
            </w:tcBorders>
          </w:tcPr>
          <w:p w:rsidR="005539A8" w:rsidRPr="0091374D" w:rsidRDefault="005539A8" w:rsidP="00940B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374D">
              <w:rPr>
                <w:rFonts w:ascii="Times New Roman" w:hAnsi="Times New Roman" w:cs="Times New Roman"/>
              </w:rPr>
              <w:t>77</w:t>
            </w:r>
          </w:p>
        </w:tc>
      </w:tr>
    </w:tbl>
    <w:p w:rsidR="005539A8" w:rsidRPr="0091374D" w:rsidRDefault="005539A8" w:rsidP="005539A8">
      <w:pPr>
        <w:rPr>
          <w:rFonts w:ascii="Times New Roman" w:hAnsi="Times New Roman" w:cs="Times New Roman"/>
          <w:sz w:val="24"/>
          <w:szCs w:val="24"/>
        </w:rPr>
      </w:pPr>
    </w:p>
    <w:p w:rsidR="005539A8" w:rsidRPr="0091374D" w:rsidRDefault="005539A8" w:rsidP="005539A8">
      <w:pPr>
        <w:rPr>
          <w:rFonts w:ascii="Times New Roman" w:hAnsi="Times New Roman" w:cs="Times New Roman"/>
        </w:rPr>
      </w:pPr>
      <w:r w:rsidRPr="0091374D">
        <w:rPr>
          <w:rFonts w:ascii="Times New Roman" w:hAnsi="Times New Roman" w:cs="Times New Roman"/>
          <w:sz w:val="24"/>
          <w:szCs w:val="24"/>
        </w:rPr>
        <w:t>The research instrument consists of a total of 77constructs, a detail of which is presented in the appendix. The CSR disclosure is scored using an equally weighted index under the formula.</w:t>
      </w:r>
    </w:p>
    <w:p w:rsidR="005539A8" w:rsidRPr="0091374D" w:rsidRDefault="009C3849" w:rsidP="005539A8">
      <w:pPr>
        <w:autoSpaceDE w:val="0"/>
        <w:autoSpaceDN w:val="0"/>
        <w:adjustRightInd w:val="0"/>
        <w:spacing w:after="0" w:line="360" w:lineRule="auto"/>
        <w:jc w:val="both"/>
        <w:rPr>
          <w:rFonts w:ascii="Times New Roman" w:eastAsiaTheme="minorEastAsia" w:hAnsi="Times New Roman" w:cs="Times New Roman"/>
          <w:i/>
          <w:iCs/>
          <w:sz w:val="32"/>
          <w:szCs w:val="32"/>
        </w:rPr>
      </w:pPr>
      <m:oMathPara>
        <m:oMath>
          <m:nary>
            <m:naryPr>
              <m:chr m:val="∑"/>
              <m:limLoc m:val="undOvr"/>
              <m:ctrlPr>
                <w:rPr>
                  <w:rFonts w:ascii="Cambria Math" w:hAnsi="Cambria Math" w:cs="Times New Roman"/>
                  <w:i/>
                  <w:iCs/>
                  <w:sz w:val="24"/>
                  <w:szCs w:val="24"/>
                </w:rPr>
              </m:ctrlPr>
            </m:naryPr>
            <m:sub>
              <m:r>
                <w:rPr>
                  <w:rFonts w:ascii="Cambria Math" w:hAnsi="Cambria Math" w:cs="Times New Roman"/>
                  <w:sz w:val="24"/>
                  <w:szCs w:val="24"/>
                </w:rPr>
                <m:t>i=1</m:t>
              </m:r>
            </m:sub>
            <m:sup>
              <m:sSub>
                <m:sSubPr>
                  <m:ctrlPr>
                    <w:rPr>
                      <w:rFonts w:ascii="Cambria Math" w:hAnsi="Cambria Math" w:cs="Times New Roman"/>
                      <w:i/>
                      <w:iCs/>
                      <w:sz w:val="24"/>
                      <w:szCs w:val="24"/>
                    </w:rPr>
                  </m:ctrlPr>
                </m:sSubPr>
                <m:e>
                  <m:r>
                    <w:rPr>
                      <w:rFonts w:ascii="Cambria Math" w:hAnsi="Cambria Math" w:cs="Times New Roman"/>
                      <w:sz w:val="24"/>
                      <w:szCs w:val="24"/>
                    </w:rPr>
                    <m:t>m</m:t>
                  </m:r>
                </m:e>
                <m:sub>
                  <m:r>
                    <w:rPr>
                      <w:rFonts w:ascii="Cambria Math" w:hAnsi="Cambria Math" w:cs="Times New Roman"/>
                      <w:sz w:val="24"/>
                      <w:szCs w:val="24"/>
                    </w:rPr>
                    <m:t>j</m:t>
                  </m:r>
                </m:sub>
              </m:sSub>
            </m:sup>
            <m:e>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num>
                <m:den>
                  <m:r>
                    <w:rPr>
                      <w:rFonts w:ascii="Cambria Math" w:hAnsi="Cambria Math" w:cs="Times New Roman"/>
                      <w:sz w:val="24"/>
                      <w:szCs w:val="24"/>
                    </w:rPr>
                    <m:t>N</m:t>
                  </m:r>
                </m:den>
              </m:f>
            </m:e>
          </m:nary>
        </m:oMath>
      </m:oMathPara>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 xml:space="preserve">The index measures the disclosure levels of the </w:t>
      </w:r>
      <w:proofErr w:type="gramStart"/>
      <w:r w:rsidRPr="0091374D">
        <w:rPr>
          <w:rFonts w:ascii="Times New Roman" w:hAnsi="Times New Roman" w:cs="Times New Roman"/>
          <w:iCs/>
          <w:sz w:val="24"/>
          <w:szCs w:val="24"/>
        </w:rPr>
        <w:t>banks.,</w:t>
      </w:r>
      <w:proofErr w:type="gramEnd"/>
      <w:r w:rsidRPr="0091374D">
        <w:rPr>
          <w:rFonts w:ascii="Times New Roman" w:hAnsi="Times New Roman" w:cs="Times New Roman"/>
          <w:iCs/>
          <w:sz w:val="24"/>
          <w:szCs w:val="24"/>
        </w:rPr>
        <w:t xml:space="preserve"> where for a given bank, ‘N’ is the total number of disclosed items and, </w:t>
      </w:r>
      <w:proofErr w:type="spellStart"/>
      <w:r w:rsidRPr="0091374D">
        <w:rPr>
          <w:rFonts w:ascii="Times New Roman" w:hAnsi="Times New Roman" w:cs="Times New Roman"/>
          <w:iCs/>
          <w:sz w:val="24"/>
          <w:szCs w:val="24"/>
        </w:rPr>
        <w:t>dj</w:t>
      </w:r>
      <w:proofErr w:type="spellEnd"/>
      <w:r w:rsidRPr="0091374D">
        <w:rPr>
          <w:rFonts w:ascii="Times New Roman" w:hAnsi="Times New Roman" w:cs="Times New Roman"/>
          <w:iCs/>
          <w:sz w:val="24"/>
          <w:szCs w:val="24"/>
        </w:rPr>
        <w:t xml:space="preserve">=1, if disclosure is made, </w:t>
      </w:r>
      <w:proofErr w:type="spellStart"/>
      <w:r w:rsidRPr="0091374D">
        <w:rPr>
          <w:rFonts w:ascii="Times New Roman" w:hAnsi="Times New Roman" w:cs="Times New Roman"/>
          <w:iCs/>
          <w:sz w:val="24"/>
          <w:szCs w:val="24"/>
        </w:rPr>
        <w:t>dj</w:t>
      </w:r>
      <w:proofErr w:type="spellEnd"/>
      <w:r w:rsidRPr="0091374D">
        <w:rPr>
          <w:rFonts w:ascii="Times New Roman" w:hAnsi="Times New Roman" w:cs="Times New Roman"/>
          <w:iCs/>
          <w:sz w:val="24"/>
          <w:szCs w:val="24"/>
        </w:rPr>
        <w:t>=0, for no disclosure of an item.</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p>
    <w:p w:rsidR="005539A8" w:rsidRPr="0091374D" w:rsidRDefault="005539A8" w:rsidP="005539A8">
      <w:pPr>
        <w:pStyle w:val="ListParagraph"/>
        <w:numPr>
          <w:ilvl w:val="0"/>
          <w:numId w:val="7"/>
        </w:numPr>
        <w:tabs>
          <w:tab w:val="left" w:pos="6715"/>
        </w:tabs>
        <w:autoSpaceDE w:val="0"/>
        <w:autoSpaceDN w:val="0"/>
        <w:adjustRightInd w:val="0"/>
        <w:spacing w:after="0" w:line="360" w:lineRule="auto"/>
        <w:jc w:val="both"/>
        <w:rPr>
          <w:rFonts w:ascii="Times New Roman" w:hAnsi="Times New Roman" w:cs="Times New Roman"/>
          <w:b/>
          <w:iCs/>
          <w:sz w:val="26"/>
          <w:szCs w:val="24"/>
        </w:rPr>
      </w:pPr>
      <w:r w:rsidRPr="0091374D">
        <w:rPr>
          <w:rFonts w:ascii="Times New Roman" w:hAnsi="Times New Roman" w:cs="Times New Roman"/>
          <w:b/>
          <w:iCs/>
          <w:sz w:val="26"/>
          <w:szCs w:val="24"/>
        </w:rPr>
        <w:t>Findings and Analysis:</w:t>
      </w:r>
    </w:p>
    <w:p w:rsidR="005539A8" w:rsidRPr="0091374D" w:rsidRDefault="005539A8" w:rsidP="005539A8">
      <w:pPr>
        <w:autoSpaceDE w:val="0"/>
        <w:autoSpaceDN w:val="0"/>
        <w:adjustRightInd w:val="0"/>
        <w:spacing w:after="0" w:line="360" w:lineRule="auto"/>
        <w:rPr>
          <w:rFonts w:ascii="Times New Roman" w:hAnsi="Times New Roman" w:cs="Times New Roman"/>
          <w:b/>
          <w:iCs/>
          <w:sz w:val="24"/>
          <w:szCs w:val="24"/>
        </w:rPr>
      </w:pPr>
      <w:r w:rsidRPr="0091374D">
        <w:rPr>
          <w:rFonts w:ascii="Times New Roman" w:hAnsi="Times New Roman" w:cs="Times New Roman"/>
          <w:b/>
          <w:iCs/>
          <w:sz w:val="24"/>
          <w:szCs w:val="24"/>
        </w:rPr>
        <w:t>5.1 Summary of the CSR practices of sample IBs</w:t>
      </w:r>
    </w:p>
    <w:p w:rsidR="005539A8" w:rsidRPr="0091374D" w:rsidRDefault="005539A8" w:rsidP="005539A8">
      <w:pPr>
        <w:autoSpaceDE w:val="0"/>
        <w:autoSpaceDN w:val="0"/>
        <w:adjustRightInd w:val="0"/>
        <w:spacing w:after="0" w:line="360" w:lineRule="auto"/>
        <w:rPr>
          <w:rFonts w:ascii="Times New Roman" w:hAnsi="Times New Roman" w:cs="Times New Roman"/>
          <w:sz w:val="23"/>
          <w:szCs w:val="23"/>
        </w:rPr>
      </w:pPr>
      <w:r w:rsidRPr="0091374D">
        <w:rPr>
          <w:rFonts w:ascii="Times New Roman" w:hAnsi="Times New Roman" w:cs="Times New Roman"/>
          <w:iCs/>
          <w:sz w:val="24"/>
          <w:szCs w:val="24"/>
        </w:rPr>
        <w:t>The results in Table 1 reveal the all the banks have CSR index above 50% with an exception to FSIBL(49%).In this regard, IBBL ranks first(75%), followed by SIBL(70%), SJIBL(60%), AIBL(58%) and Exim bank(53%).The results confirm that IBs are performing better in rendering their CSR than other IBs around the world, whose CSR indexes fall below 50% in most cases(</w:t>
      </w:r>
      <w:r w:rsidRPr="0091374D">
        <w:rPr>
          <w:rFonts w:ascii="Times New Roman" w:hAnsi="Times New Roman" w:cs="Times New Roman"/>
          <w:sz w:val="23"/>
          <w:szCs w:val="23"/>
        </w:rPr>
        <w:fldChar w:fldCharType="begin" w:fldLock="1"/>
      </w:r>
      <w:r w:rsidRPr="0091374D">
        <w:rPr>
          <w:rFonts w:ascii="Times New Roman" w:hAnsi="Times New Roman" w:cs="Times New Roman"/>
          <w:sz w:val="23"/>
          <w:szCs w:val="23"/>
        </w:rPr>
        <w:instrText>ADDIN CSL_CITATION { "citationItems" : [ { "id" : "ITEM-1", "itemData" : { "DOI" : "10.1007/s10551-006-9272-5", "author" : [ { "dropping-particle" : "", "family" : "Haniffa", "given" : "Roszaini", "non-dropping-particle" : "", "parse-names" : false, "suffix" : "" }, { "dropping-particle" : "", "family" : "Hudaib", "given" : "Mohammad", "non-dropping-particle" : "", "parse-names" : false, "suffix" : "" } ], "id" : "ITEM-1", "issued" : { "date-parts" : [ [ "2007" ] ] }, "page" : "97-116", "title" : "Exploring the Ethical Identity of Islamic Banks via Communication in Annual Reports Roszaini Haniffa", "type" : "article-journal" }, "uris" : [ "http://www.mendeley.com/documents/?uuid=de1f490d-9d69-4e40-b7fd-24434d2c23c3" ] } ], "mendeley" : { "formattedCitation" : "(Haniffa &amp; Hudaib, 2007)", "plainTextFormattedCitation" : "(Haniffa &amp; Hudaib, 2007)", "previouslyFormattedCitation" : "(Haniffa &amp; Hudaib, 2007)" }, "properties" : { "noteIndex" : 0 }, "schema" : "https://github.com/citation-style-language/schema/raw/master/csl-citation.json" }</w:instrText>
      </w:r>
      <w:r w:rsidRPr="0091374D">
        <w:rPr>
          <w:rFonts w:ascii="Times New Roman" w:hAnsi="Times New Roman" w:cs="Times New Roman"/>
          <w:sz w:val="23"/>
          <w:szCs w:val="23"/>
        </w:rPr>
        <w:fldChar w:fldCharType="separate"/>
      </w:r>
      <w:r w:rsidRPr="0091374D">
        <w:rPr>
          <w:rFonts w:ascii="Times New Roman" w:hAnsi="Times New Roman" w:cs="Times New Roman"/>
          <w:noProof/>
          <w:sz w:val="23"/>
          <w:szCs w:val="23"/>
        </w:rPr>
        <w:t>Haniffa &amp; Hudaib, 2007; Hassan &amp; Harahap, 2010)</w:t>
      </w:r>
      <w:r w:rsidRPr="0091374D">
        <w:rPr>
          <w:rFonts w:ascii="Times New Roman" w:hAnsi="Times New Roman" w:cs="Times New Roman"/>
          <w:sz w:val="23"/>
          <w:szCs w:val="23"/>
        </w:rPr>
        <w:fldChar w:fldCharType="end"/>
      </w:r>
    </w:p>
    <w:p w:rsidR="005539A8" w:rsidRPr="0091374D" w:rsidRDefault="005539A8" w:rsidP="005539A8">
      <w:pPr>
        <w:autoSpaceDE w:val="0"/>
        <w:autoSpaceDN w:val="0"/>
        <w:adjustRightInd w:val="0"/>
        <w:spacing w:after="0" w:line="360" w:lineRule="auto"/>
        <w:rPr>
          <w:rFonts w:ascii="Times New Roman" w:hAnsi="Times New Roman" w:cs="Times New Roman"/>
          <w:iCs/>
          <w:sz w:val="24"/>
          <w:szCs w:val="24"/>
        </w:rPr>
      </w:pPr>
    </w:p>
    <w:p w:rsidR="005539A8" w:rsidRDefault="005539A8" w:rsidP="005539A8">
      <w:pPr>
        <w:autoSpaceDE w:val="0"/>
        <w:autoSpaceDN w:val="0"/>
        <w:adjustRightInd w:val="0"/>
        <w:spacing w:after="0" w:line="360" w:lineRule="auto"/>
        <w:rPr>
          <w:rFonts w:ascii="Times New Roman" w:hAnsi="Times New Roman" w:cs="Times New Roman"/>
          <w:b/>
          <w:iCs/>
          <w:sz w:val="24"/>
          <w:szCs w:val="24"/>
        </w:rPr>
      </w:pPr>
    </w:p>
    <w:p w:rsidR="005539A8" w:rsidRDefault="005539A8" w:rsidP="005539A8">
      <w:pPr>
        <w:autoSpaceDE w:val="0"/>
        <w:autoSpaceDN w:val="0"/>
        <w:adjustRightInd w:val="0"/>
        <w:spacing w:after="0" w:line="360" w:lineRule="auto"/>
        <w:rPr>
          <w:rFonts w:ascii="Times New Roman" w:hAnsi="Times New Roman" w:cs="Times New Roman"/>
          <w:b/>
          <w:iCs/>
          <w:sz w:val="24"/>
          <w:szCs w:val="24"/>
        </w:rPr>
      </w:pPr>
    </w:p>
    <w:p w:rsidR="005539A8" w:rsidRPr="0091374D" w:rsidRDefault="005539A8" w:rsidP="005539A8">
      <w:pPr>
        <w:autoSpaceDE w:val="0"/>
        <w:autoSpaceDN w:val="0"/>
        <w:adjustRightInd w:val="0"/>
        <w:spacing w:after="0" w:line="360" w:lineRule="auto"/>
        <w:rPr>
          <w:rFonts w:ascii="Times New Roman" w:hAnsi="Times New Roman" w:cs="Times New Roman"/>
          <w:b/>
          <w:iCs/>
          <w:sz w:val="24"/>
          <w:szCs w:val="24"/>
        </w:rPr>
      </w:pPr>
    </w:p>
    <w:p w:rsidR="005539A8" w:rsidRDefault="005539A8" w:rsidP="00495262">
      <w:pPr>
        <w:autoSpaceDE w:val="0"/>
        <w:autoSpaceDN w:val="0"/>
        <w:adjustRightInd w:val="0"/>
        <w:spacing w:after="0" w:line="360" w:lineRule="auto"/>
        <w:jc w:val="center"/>
        <w:rPr>
          <w:rFonts w:ascii="Times New Roman" w:hAnsi="Times New Roman" w:cs="Times New Roman"/>
          <w:b/>
          <w:iCs/>
          <w:sz w:val="24"/>
          <w:szCs w:val="24"/>
        </w:rPr>
      </w:pPr>
      <w:r w:rsidRPr="0091374D">
        <w:rPr>
          <w:rFonts w:ascii="Times New Roman" w:hAnsi="Times New Roman" w:cs="Times New Roman"/>
          <w:b/>
          <w:iCs/>
          <w:sz w:val="24"/>
          <w:szCs w:val="24"/>
        </w:rPr>
        <w:lastRenderedPageBreak/>
        <w:t>Table 2: CSR Disclosure score</w:t>
      </w:r>
    </w:p>
    <w:p w:rsidR="00495262" w:rsidRPr="0091374D" w:rsidRDefault="00495262" w:rsidP="00495262">
      <w:pPr>
        <w:autoSpaceDE w:val="0"/>
        <w:autoSpaceDN w:val="0"/>
        <w:adjustRightInd w:val="0"/>
        <w:spacing w:after="0" w:line="360" w:lineRule="auto"/>
        <w:jc w:val="center"/>
        <w:rPr>
          <w:rFonts w:ascii="Times New Roman" w:hAnsi="Times New Roman" w:cs="Times New Roman"/>
          <w:b/>
          <w:iCs/>
          <w:sz w:val="24"/>
          <w:szCs w:val="24"/>
        </w:rPr>
      </w:pP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815"/>
        <w:gridCol w:w="742"/>
        <w:gridCol w:w="852"/>
        <w:gridCol w:w="754"/>
        <w:gridCol w:w="718"/>
        <w:gridCol w:w="828"/>
        <w:gridCol w:w="705"/>
        <w:gridCol w:w="815"/>
      </w:tblGrid>
      <w:tr w:rsidR="005539A8" w:rsidRPr="0091374D" w:rsidTr="00940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pct"/>
            <w:tcBorders>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bookmarkStart w:id="4" w:name="_Hlk496967222"/>
            <w:r w:rsidRPr="0091374D">
              <w:rPr>
                <w:rFonts w:ascii="Times New Roman" w:hAnsi="Times New Roman" w:cs="Times New Roman"/>
                <w:iCs/>
              </w:rPr>
              <w:t>Dimension</w:t>
            </w:r>
          </w:p>
        </w:tc>
        <w:tc>
          <w:tcPr>
            <w:tcW w:w="417"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EXIM</w:t>
            </w:r>
          </w:p>
        </w:tc>
        <w:tc>
          <w:tcPr>
            <w:tcW w:w="384"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IBBL</w:t>
            </w:r>
          </w:p>
        </w:tc>
        <w:tc>
          <w:tcPr>
            <w:tcW w:w="436"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FSIBL</w:t>
            </w:r>
          </w:p>
        </w:tc>
        <w:tc>
          <w:tcPr>
            <w:tcW w:w="390"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AIBL</w:t>
            </w:r>
          </w:p>
        </w:tc>
        <w:tc>
          <w:tcPr>
            <w:tcW w:w="371"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SIBL</w:t>
            </w:r>
          </w:p>
        </w:tc>
        <w:tc>
          <w:tcPr>
            <w:tcW w:w="417"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SJIBL</w:t>
            </w:r>
          </w:p>
        </w:tc>
        <w:tc>
          <w:tcPr>
            <w:tcW w:w="398"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AVG</w:t>
            </w:r>
          </w:p>
        </w:tc>
        <w:tc>
          <w:tcPr>
            <w:tcW w:w="417" w:type="pct"/>
            <w:tcBorders>
              <w:bottom w:val="none" w:sz="0" w:space="0" w:color="auto"/>
            </w:tcBorders>
          </w:tcPr>
          <w:p w:rsidR="005539A8" w:rsidRPr="0091374D" w:rsidRDefault="005539A8" w:rsidP="00940B8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Range</w:t>
            </w:r>
          </w:p>
        </w:tc>
      </w:tr>
      <w:tr w:rsidR="005539A8" w:rsidRPr="0091374D" w:rsidTr="00940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Corporate vision</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84"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c>
          <w:tcPr>
            <w:tcW w:w="436"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90"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c>
          <w:tcPr>
            <w:tcW w:w="3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c>
          <w:tcPr>
            <w:tcW w:w="398"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3.5</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w:t>
            </w:r>
          </w:p>
        </w:tc>
      </w:tr>
      <w:tr w:rsidR="005539A8" w:rsidRPr="0091374D" w:rsidTr="00940B83">
        <w:tc>
          <w:tcPr>
            <w:cnfStyle w:val="001000000000" w:firstRow="0" w:lastRow="0" w:firstColumn="1" w:lastColumn="0" w:oddVBand="0" w:evenVBand="0" w:oddHBand="0" w:evenHBand="0" w:firstRowFirstColumn="0" w:firstRowLastColumn="0" w:lastRowFirstColumn="0" w:lastRowLastColumn="0"/>
            <w:tcW w:w="1771" w:type="pct"/>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Top Management (out of 15)</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11</w:t>
            </w:r>
          </w:p>
        </w:tc>
        <w:tc>
          <w:tcPr>
            <w:tcW w:w="384"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14</w:t>
            </w:r>
          </w:p>
        </w:tc>
        <w:tc>
          <w:tcPr>
            <w:tcW w:w="436"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10</w:t>
            </w:r>
          </w:p>
        </w:tc>
        <w:tc>
          <w:tcPr>
            <w:tcW w:w="390"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10</w:t>
            </w:r>
          </w:p>
        </w:tc>
        <w:tc>
          <w:tcPr>
            <w:tcW w:w="371"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13</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12</w:t>
            </w:r>
          </w:p>
        </w:tc>
        <w:tc>
          <w:tcPr>
            <w:tcW w:w="398"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11.7</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r>
      <w:tr w:rsidR="005539A8" w:rsidRPr="0091374D" w:rsidTr="00940B8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Sharia Compliant (out of 14)</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w:t>
            </w:r>
          </w:p>
        </w:tc>
        <w:tc>
          <w:tcPr>
            <w:tcW w:w="384"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11</w:t>
            </w:r>
          </w:p>
        </w:tc>
        <w:tc>
          <w:tcPr>
            <w:tcW w:w="436"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w:t>
            </w:r>
          </w:p>
        </w:tc>
        <w:tc>
          <w:tcPr>
            <w:tcW w:w="390"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9</w:t>
            </w:r>
          </w:p>
        </w:tc>
        <w:tc>
          <w:tcPr>
            <w:tcW w:w="3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9</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8</w:t>
            </w:r>
          </w:p>
        </w:tc>
        <w:tc>
          <w:tcPr>
            <w:tcW w:w="398"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8.8</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r>
      <w:tr w:rsidR="005539A8" w:rsidRPr="0091374D" w:rsidTr="00940B83">
        <w:tc>
          <w:tcPr>
            <w:cnfStyle w:val="001000000000" w:firstRow="0" w:lastRow="0" w:firstColumn="1" w:lastColumn="0" w:oddVBand="0" w:evenVBand="0" w:oddHBand="0" w:evenHBand="0" w:firstRowFirstColumn="0" w:firstRowLastColumn="0" w:lastRowFirstColumn="0" w:lastRowLastColumn="0"/>
            <w:tcW w:w="1771" w:type="pct"/>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rPr>
              <w:t>Product&amp; fair dealing with supply chain (out of 8)</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384"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436"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0</w:t>
            </w:r>
          </w:p>
        </w:tc>
        <w:tc>
          <w:tcPr>
            <w:tcW w:w="390"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71"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0</w:t>
            </w:r>
          </w:p>
        </w:tc>
        <w:tc>
          <w:tcPr>
            <w:tcW w:w="398"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1.7</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r>
      <w:tr w:rsidR="005539A8" w:rsidRPr="0091374D" w:rsidTr="00940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Strategic social</w:t>
            </w:r>
          </w:p>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Development (Out of 13)</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9</w:t>
            </w:r>
          </w:p>
        </w:tc>
        <w:tc>
          <w:tcPr>
            <w:tcW w:w="384"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10</w:t>
            </w:r>
          </w:p>
        </w:tc>
        <w:tc>
          <w:tcPr>
            <w:tcW w:w="436"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8</w:t>
            </w:r>
          </w:p>
        </w:tc>
        <w:tc>
          <w:tcPr>
            <w:tcW w:w="390"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w:t>
            </w:r>
          </w:p>
        </w:tc>
        <w:tc>
          <w:tcPr>
            <w:tcW w:w="3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9</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9</w:t>
            </w:r>
          </w:p>
        </w:tc>
        <w:tc>
          <w:tcPr>
            <w:tcW w:w="398"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8.7</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r>
      <w:tr w:rsidR="005539A8" w:rsidRPr="0091374D" w:rsidTr="00940B83">
        <w:tc>
          <w:tcPr>
            <w:cnfStyle w:val="001000000000" w:firstRow="0" w:lastRow="0" w:firstColumn="1" w:lastColumn="0" w:oddVBand="0" w:evenVBand="0" w:oddHBand="0" w:evenHBand="0" w:firstRowFirstColumn="0" w:firstRowLastColumn="0" w:lastRowFirstColumn="0" w:lastRowLastColumn="0"/>
            <w:tcW w:w="1771" w:type="pct"/>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Employees (out of 10)</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84"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w:t>
            </w:r>
          </w:p>
        </w:tc>
        <w:tc>
          <w:tcPr>
            <w:tcW w:w="436"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8</w:t>
            </w:r>
          </w:p>
        </w:tc>
        <w:tc>
          <w:tcPr>
            <w:tcW w:w="390"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w:t>
            </w:r>
          </w:p>
        </w:tc>
        <w:tc>
          <w:tcPr>
            <w:tcW w:w="371"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8</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9</w:t>
            </w:r>
          </w:p>
        </w:tc>
        <w:tc>
          <w:tcPr>
            <w:tcW w:w="398"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6.7</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6</w:t>
            </w:r>
          </w:p>
        </w:tc>
      </w:tr>
      <w:tr w:rsidR="005539A8" w:rsidRPr="0091374D" w:rsidTr="00940B8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Research, Development &amp; training (out of 5)</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w:t>
            </w:r>
          </w:p>
        </w:tc>
        <w:tc>
          <w:tcPr>
            <w:tcW w:w="384"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436"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90"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w:t>
            </w:r>
          </w:p>
        </w:tc>
        <w:tc>
          <w:tcPr>
            <w:tcW w:w="398"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r>
      <w:tr w:rsidR="005539A8" w:rsidRPr="0091374D" w:rsidTr="00940B83">
        <w:tc>
          <w:tcPr>
            <w:cnfStyle w:val="001000000000" w:firstRow="0" w:lastRow="0" w:firstColumn="1" w:lastColumn="0" w:oddVBand="0" w:evenVBand="0" w:oddHBand="0" w:evenHBand="0" w:firstRowFirstColumn="0" w:firstRowLastColumn="0" w:lastRowFirstColumn="0" w:lastRowLastColumn="0"/>
            <w:tcW w:w="1771" w:type="pct"/>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Environment (out of 8)</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w:t>
            </w:r>
          </w:p>
        </w:tc>
        <w:tc>
          <w:tcPr>
            <w:tcW w:w="384"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w:t>
            </w:r>
          </w:p>
        </w:tc>
        <w:tc>
          <w:tcPr>
            <w:tcW w:w="436"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390"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c>
          <w:tcPr>
            <w:tcW w:w="371"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98"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4.2</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w:t>
            </w:r>
          </w:p>
        </w:tc>
      </w:tr>
      <w:tr w:rsidR="005539A8" w:rsidRPr="0091374D" w:rsidTr="00940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CSR Index (out of 77)</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41</w:t>
            </w:r>
          </w:p>
        </w:tc>
        <w:tc>
          <w:tcPr>
            <w:tcW w:w="384"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58</w:t>
            </w:r>
          </w:p>
        </w:tc>
        <w:tc>
          <w:tcPr>
            <w:tcW w:w="436"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38</w:t>
            </w:r>
          </w:p>
        </w:tc>
        <w:tc>
          <w:tcPr>
            <w:tcW w:w="390"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45</w:t>
            </w:r>
          </w:p>
        </w:tc>
        <w:tc>
          <w:tcPr>
            <w:tcW w:w="3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50</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46</w:t>
            </w:r>
          </w:p>
        </w:tc>
        <w:tc>
          <w:tcPr>
            <w:tcW w:w="398"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r>
      <w:tr w:rsidR="005539A8" w:rsidRPr="0091374D" w:rsidTr="00940B83">
        <w:trPr>
          <w:trHeight w:val="350"/>
        </w:trPr>
        <w:tc>
          <w:tcPr>
            <w:cnfStyle w:val="001000000000" w:firstRow="0" w:lastRow="0" w:firstColumn="1" w:lastColumn="0" w:oddVBand="0" w:evenVBand="0" w:oddHBand="0" w:evenHBand="0" w:firstRowFirstColumn="0" w:firstRowLastColumn="0" w:lastRowFirstColumn="0" w:lastRowLastColumn="0"/>
            <w:tcW w:w="1771" w:type="pct"/>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Percentage (%)</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53</w:t>
            </w:r>
          </w:p>
        </w:tc>
        <w:tc>
          <w:tcPr>
            <w:tcW w:w="384"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75</w:t>
            </w:r>
          </w:p>
        </w:tc>
        <w:tc>
          <w:tcPr>
            <w:tcW w:w="436"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49</w:t>
            </w:r>
          </w:p>
        </w:tc>
        <w:tc>
          <w:tcPr>
            <w:tcW w:w="390"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58</w:t>
            </w:r>
          </w:p>
        </w:tc>
        <w:tc>
          <w:tcPr>
            <w:tcW w:w="371"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70</w:t>
            </w: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60</w:t>
            </w:r>
          </w:p>
        </w:tc>
        <w:tc>
          <w:tcPr>
            <w:tcW w:w="398"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c>
          <w:tcPr>
            <w:tcW w:w="417" w:type="pct"/>
          </w:tcPr>
          <w:p w:rsidR="005539A8" w:rsidRPr="0091374D" w:rsidRDefault="005539A8" w:rsidP="00940B8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r>
      <w:tr w:rsidR="005539A8" w:rsidRPr="0091374D" w:rsidTr="00940B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rPr>
                <w:rFonts w:ascii="Times New Roman" w:hAnsi="Times New Roman" w:cs="Times New Roman"/>
                <w:iCs/>
              </w:rPr>
            </w:pPr>
            <w:r w:rsidRPr="0091374D">
              <w:rPr>
                <w:rFonts w:ascii="Times New Roman" w:hAnsi="Times New Roman" w:cs="Times New Roman"/>
                <w:iCs/>
              </w:rPr>
              <w:t>Ranks</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5</w:t>
            </w:r>
          </w:p>
        </w:tc>
        <w:tc>
          <w:tcPr>
            <w:tcW w:w="384"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1</w:t>
            </w:r>
          </w:p>
        </w:tc>
        <w:tc>
          <w:tcPr>
            <w:tcW w:w="436"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6</w:t>
            </w:r>
          </w:p>
        </w:tc>
        <w:tc>
          <w:tcPr>
            <w:tcW w:w="390"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4</w:t>
            </w:r>
          </w:p>
        </w:tc>
        <w:tc>
          <w:tcPr>
            <w:tcW w:w="371"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2</w:t>
            </w: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91374D">
              <w:rPr>
                <w:rFonts w:ascii="Times New Roman" w:hAnsi="Times New Roman" w:cs="Times New Roman"/>
                <w:iCs/>
              </w:rPr>
              <w:t>3</w:t>
            </w:r>
          </w:p>
        </w:tc>
        <w:tc>
          <w:tcPr>
            <w:tcW w:w="398"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417" w:type="pct"/>
            <w:tcBorders>
              <w:top w:val="none" w:sz="0" w:space="0" w:color="auto"/>
              <w:bottom w:val="none" w:sz="0" w:space="0" w:color="auto"/>
            </w:tcBorders>
          </w:tcPr>
          <w:p w:rsidR="005539A8" w:rsidRPr="0091374D" w:rsidRDefault="005539A8" w:rsidP="00940B8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r>
      <w:bookmarkEnd w:id="4"/>
    </w:tbl>
    <w:p w:rsidR="005539A8" w:rsidRPr="0091374D" w:rsidRDefault="005539A8" w:rsidP="005539A8">
      <w:pPr>
        <w:autoSpaceDE w:val="0"/>
        <w:autoSpaceDN w:val="0"/>
        <w:adjustRightInd w:val="0"/>
        <w:spacing w:after="0" w:line="360" w:lineRule="auto"/>
        <w:jc w:val="both"/>
        <w:rPr>
          <w:rFonts w:ascii="Times New Roman" w:hAnsi="Times New Roman" w:cs="Times New Roman"/>
          <w:b/>
          <w:iCs/>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b/>
          <w:iCs/>
          <w:sz w:val="24"/>
          <w:szCs w:val="24"/>
        </w:rPr>
      </w:pPr>
      <w:r w:rsidRPr="0091374D">
        <w:rPr>
          <w:rFonts w:ascii="Times New Roman" w:hAnsi="Times New Roman" w:cs="Times New Roman"/>
          <w:b/>
          <w:iCs/>
          <w:sz w:val="24"/>
          <w:szCs w:val="24"/>
        </w:rPr>
        <w:t>5.2 Dimension-wise CSR practices of the IBs</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Figure1. Average disclosure level of the CSR dimensions</w:t>
      </w:r>
    </w:p>
    <w:p w:rsidR="005539A8" w:rsidRPr="0091374D" w:rsidRDefault="005539A8" w:rsidP="005539A8">
      <w:pPr>
        <w:autoSpaceDE w:val="0"/>
        <w:autoSpaceDN w:val="0"/>
        <w:adjustRightInd w:val="0"/>
        <w:spacing w:after="0" w:line="360" w:lineRule="auto"/>
        <w:rPr>
          <w:rFonts w:ascii="Times New Roman" w:hAnsi="Times New Roman" w:cs="Times New Roman"/>
          <w:iCs/>
          <w:sz w:val="24"/>
          <w:szCs w:val="24"/>
        </w:rPr>
      </w:pPr>
      <w:r w:rsidRPr="0091374D">
        <w:rPr>
          <w:rFonts w:ascii="Times New Roman" w:hAnsi="Times New Roman" w:cs="Times New Roman"/>
          <w:noProof/>
        </w:rPr>
        <w:drawing>
          <wp:anchor distT="0" distB="0" distL="114300" distR="114300" simplePos="0" relativeHeight="251660288" behindDoc="0" locked="0" layoutInCell="1" allowOverlap="1" wp14:anchorId="582380CC" wp14:editId="6510FB75">
            <wp:simplePos x="0" y="0"/>
            <wp:positionH relativeFrom="margin">
              <wp:align>left</wp:align>
            </wp:positionH>
            <wp:positionV relativeFrom="paragraph">
              <wp:posOffset>4776</wp:posOffset>
            </wp:positionV>
            <wp:extent cx="5581650" cy="1562100"/>
            <wp:effectExtent l="0" t="0" r="0" b="0"/>
            <wp:wrapSquare wrapText="bothSides"/>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987E5826-473F-4BFA-9893-5D0A962004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539A8" w:rsidRPr="0091374D" w:rsidRDefault="005539A8" w:rsidP="005539A8">
      <w:pPr>
        <w:spacing w:after="0" w:line="360" w:lineRule="auto"/>
        <w:jc w:val="both"/>
        <w:rPr>
          <w:rFonts w:ascii="Times New Roman" w:hAnsi="Times New Roman" w:cs="Times New Roman"/>
          <w:iCs/>
          <w:sz w:val="24"/>
          <w:szCs w:val="24"/>
        </w:rPr>
      </w:pPr>
      <w:r w:rsidRPr="0091374D">
        <w:rPr>
          <w:rFonts w:ascii="Times New Roman" w:hAnsi="Times New Roman" w:cs="Times New Roman"/>
          <w:sz w:val="24"/>
          <w:szCs w:val="24"/>
        </w:rPr>
        <w:t xml:space="preserve">According to figure 1, from an overall perspective, Strategy (88%) and Governance (70%) are the most disclosed dimensions by the IBs. This is </w:t>
      </w:r>
      <w:r w:rsidRPr="0091374D">
        <w:rPr>
          <w:rFonts w:ascii="Times New Roman" w:hAnsi="Times New Roman" w:cs="Times New Roman"/>
          <w:iCs/>
          <w:sz w:val="24"/>
          <w:szCs w:val="24"/>
        </w:rPr>
        <w:t xml:space="preserve">consistent with findings of the studies </w:t>
      </w:r>
      <w:r w:rsidRPr="0091374D">
        <w:rPr>
          <w:rFonts w:ascii="Times New Roman" w:hAnsi="Times New Roman" w:cs="Times New Roman"/>
          <w:sz w:val="24"/>
          <w:szCs w:val="24"/>
        </w:rPr>
        <w:lastRenderedPageBreak/>
        <w:fldChar w:fldCharType="begin" w:fldLock="1"/>
      </w:r>
      <w:r w:rsidRPr="0091374D">
        <w:rPr>
          <w:rFonts w:ascii="Times New Roman" w:hAnsi="Times New Roman" w:cs="Times New Roman"/>
          <w:sz w:val="24"/>
          <w:szCs w:val="24"/>
        </w:rPr>
        <w:instrText>ADDIN CSL_CITATION { "citationItems" : [ { "id" : "ITEM-1", "itemData" : { "DOI" : "10.1016/j.jebo.2014.03.001", "ISSN" : "0167-2681", "author" : [ { "dropping-particle" : "", "family" : "Farag", "given" : "Hisham", "non-dropping-particle" : "", "parse-names" : false, "suffix" : "" }, { "dropping-particle" : "", "family" : "Mallin", "given" : "Christine", "non-dropping-particle" : "", "parse-names" : false, "suffix" : "" }, { "dropping-particle" : "", "family" : "Ow-yong", "given" : "Kean", "non-dropping-particle" : "", "parse-names" : false, "suffix" : "" } ], "container-title" : "Journal of Economic Behavior and Organization", "id" : "ITEM-1", "issued" : { "date-parts" : [ [ "2014" ] ] }, "publisher" : "Elsevier B.V.", "title" : "Ac ce p us cr t", "type" : "article-journal" }, "uris" : [ "http://www.mendeley.com/documents/?uuid=99017e99-0822-40c6-b18c-22764d043aec" ] } ], "mendeley" : { "formattedCitation" : "(Farag et al., 2014)", "manualFormatting" : "by Farag, Mallin, &amp; Ow-yong, 2014; Mara &amp; Mara 2014 ", "plainTextFormattedCitation" : "(Farag et al., 2014)", "previouslyFormattedCitation" : "(Farag et al., 2014)" }, "properties" : { "noteIndex" : 0 }, "schema" : "https://github.com/citation-style-language/schema/raw/master/csl-citation.json"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by Darus et al. (2014); Farag et al.(2014)</w:t>
      </w:r>
      <w:r w:rsidRPr="0091374D">
        <w:rPr>
          <w:rFonts w:ascii="Times New Roman" w:hAnsi="Times New Roman" w:cs="Times New Roman"/>
          <w:sz w:val="24"/>
          <w:szCs w:val="24"/>
        </w:rPr>
        <w:fldChar w:fldCharType="end"/>
      </w:r>
      <w:r w:rsidRPr="0091374D">
        <w:rPr>
          <w:rFonts w:ascii="Times New Roman" w:hAnsi="Times New Roman" w:cs="Times New Roman"/>
          <w:sz w:val="24"/>
          <w:szCs w:val="24"/>
        </w:rPr>
        <w:t>. The third best disclosed dimension is ‘Community Development and Social Goals (67%)’. From such results an insight can be drawn that the IBs are not only claiming to be well governed, but they are trying to back up their claims through their commitment to the community.</w:t>
      </w:r>
    </w:p>
    <w:p w:rsidR="005539A8" w:rsidRPr="0091374D" w:rsidRDefault="005539A8" w:rsidP="005539A8">
      <w:pPr>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The banks are performing average in rendering their responsibilities towards employees (58%) and environment (53%).</w:t>
      </w:r>
      <w:r w:rsidRPr="0091374D">
        <w:rPr>
          <w:rFonts w:ascii="Times New Roman" w:hAnsi="Times New Roman" w:cs="Times New Roman"/>
          <w:sz w:val="24"/>
          <w:szCs w:val="24"/>
        </w:rPr>
        <w:t>However, they are meagerly disclosing about their products (21%).</w:t>
      </w:r>
    </w:p>
    <w:p w:rsidR="005539A8" w:rsidRPr="0091374D" w:rsidRDefault="005539A8" w:rsidP="005539A8">
      <w:pPr>
        <w:spacing w:after="0" w:line="360" w:lineRule="auto"/>
        <w:jc w:val="both"/>
        <w:rPr>
          <w:rFonts w:ascii="Times New Roman" w:hAnsi="Times New Roman" w:cs="Times New Roman"/>
          <w:iCs/>
          <w:sz w:val="24"/>
          <w:szCs w:val="24"/>
        </w:rPr>
      </w:pPr>
    </w:p>
    <w:p w:rsidR="005539A8" w:rsidRPr="0091374D" w:rsidRDefault="005539A8" w:rsidP="005539A8">
      <w:pPr>
        <w:spacing w:after="0" w:line="360" w:lineRule="auto"/>
        <w:jc w:val="both"/>
        <w:rPr>
          <w:rFonts w:ascii="Times New Roman" w:hAnsi="Times New Roman" w:cs="Times New Roman"/>
          <w:b/>
          <w:iCs/>
          <w:sz w:val="24"/>
          <w:szCs w:val="24"/>
        </w:rPr>
      </w:pPr>
      <w:r w:rsidRPr="0091374D">
        <w:rPr>
          <w:rFonts w:ascii="Times New Roman" w:hAnsi="Times New Roman" w:cs="Times New Roman"/>
          <w:b/>
          <w:iCs/>
          <w:sz w:val="24"/>
          <w:szCs w:val="24"/>
        </w:rPr>
        <w:t>5.3 Disclosure practices of individual IBs</w:t>
      </w:r>
    </w:p>
    <w:p w:rsidR="005539A8" w:rsidRPr="0091374D" w:rsidRDefault="005539A8" w:rsidP="005539A8">
      <w:pPr>
        <w:autoSpaceDE w:val="0"/>
        <w:autoSpaceDN w:val="0"/>
        <w:adjustRightInd w:val="0"/>
        <w:spacing w:after="0" w:line="360" w:lineRule="auto"/>
        <w:rPr>
          <w:rFonts w:ascii="Times New Roman" w:hAnsi="Times New Roman" w:cs="Times New Roman"/>
          <w:iCs/>
          <w:sz w:val="24"/>
          <w:szCs w:val="24"/>
        </w:rPr>
      </w:pPr>
      <w:r w:rsidRPr="0091374D">
        <w:rPr>
          <w:rFonts w:ascii="Times New Roman" w:hAnsi="Times New Roman" w:cs="Times New Roman"/>
          <w:noProof/>
        </w:rPr>
        <w:drawing>
          <wp:anchor distT="0" distB="0" distL="114300" distR="114300" simplePos="0" relativeHeight="251659264" behindDoc="0" locked="0" layoutInCell="1" allowOverlap="1" wp14:anchorId="578BA02D" wp14:editId="228CD509">
            <wp:simplePos x="0" y="0"/>
            <wp:positionH relativeFrom="margin">
              <wp:align>right</wp:align>
            </wp:positionH>
            <wp:positionV relativeFrom="paragraph">
              <wp:posOffset>248285</wp:posOffset>
            </wp:positionV>
            <wp:extent cx="6052820" cy="1748790"/>
            <wp:effectExtent l="0" t="0" r="0" b="0"/>
            <wp:wrapSquare wrapText="bothSides"/>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C5FDC22A-B163-4F62-879A-3D68CFA89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roofErr w:type="gramStart"/>
      <w:r w:rsidRPr="0091374D">
        <w:rPr>
          <w:rFonts w:ascii="Times New Roman" w:hAnsi="Times New Roman" w:cs="Times New Roman"/>
          <w:iCs/>
          <w:sz w:val="24"/>
          <w:szCs w:val="24"/>
        </w:rPr>
        <w:t>Figure 2.</w:t>
      </w:r>
      <w:proofErr w:type="gramEnd"/>
      <w:r w:rsidRPr="0091374D">
        <w:rPr>
          <w:rFonts w:ascii="Times New Roman" w:hAnsi="Times New Roman" w:cs="Times New Roman"/>
          <w:iCs/>
          <w:sz w:val="24"/>
          <w:szCs w:val="24"/>
        </w:rPr>
        <w:t xml:space="preserve"> CSR disclosures based on the sub-dimensions</w:t>
      </w:r>
    </w:p>
    <w:p w:rsidR="005539A8" w:rsidRPr="0091374D" w:rsidRDefault="005539A8" w:rsidP="005539A8">
      <w:pPr>
        <w:rPr>
          <w:rFonts w:ascii="Times New Roman" w:hAnsi="Times New Roman" w:cs="Times New Roman"/>
          <w:i/>
          <w:sz w:val="20"/>
          <w:szCs w:val="20"/>
        </w:rPr>
      </w:pPr>
      <w:r w:rsidRPr="0091374D">
        <w:rPr>
          <w:rFonts w:ascii="Times New Roman" w:hAnsi="Times New Roman" w:cs="Times New Roman"/>
          <w:i/>
          <w:sz w:val="20"/>
          <w:szCs w:val="20"/>
        </w:rPr>
        <w:t>Note: The percentages above the bars are the average values</w:t>
      </w:r>
    </w:p>
    <w:p w:rsidR="005539A8" w:rsidRPr="0091374D" w:rsidRDefault="005539A8" w:rsidP="005539A8">
      <w:pPr>
        <w:rPr>
          <w:rFonts w:ascii="Times New Roman" w:hAnsi="Times New Roman" w:cs="Times New Roman"/>
          <w:i/>
          <w:sz w:val="20"/>
          <w:szCs w:val="20"/>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sz w:val="24"/>
          <w:szCs w:val="24"/>
        </w:rPr>
        <w:t>Taking a deeper look from figure2, it is found that IBBL (≈80%) is the most sharia compliant IB in terms of business transactions. It also</w:t>
      </w:r>
      <w:r w:rsidRPr="0091374D">
        <w:rPr>
          <w:rFonts w:ascii="Times New Roman" w:hAnsi="Times New Roman" w:cs="Times New Roman"/>
          <w:iCs/>
          <w:sz w:val="24"/>
          <w:szCs w:val="24"/>
        </w:rPr>
        <w:t xml:space="preserve"> sticks out in its disclosure level in most of the other dimensions, such as Top Management, and Strategic Social Development. Possible explanations for such well performance, based on findings of</w:t>
      </w:r>
      <w:r>
        <w:rPr>
          <w:rFonts w:ascii="Times New Roman" w:hAnsi="Times New Roman" w:cs="Times New Roman"/>
          <w:iCs/>
          <w:sz w:val="24"/>
          <w:szCs w:val="24"/>
        </w:rPr>
        <w:t xml:space="preserve"> </w:t>
      </w:r>
      <w:r w:rsidRPr="0091374D">
        <w:rPr>
          <w:rFonts w:ascii="Times New Roman" w:hAnsi="Times New Roman" w:cs="Times New Roman"/>
          <w:iCs/>
          <w:sz w:val="24"/>
          <w:szCs w:val="24"/>
        </w:rPr>
        <w:fldChar w:fldCharType="begin" w:fldLock="1"/>
      </w:r>
      <w:r w:rsidRPr="0091374D">
        <w:rPr>
          <w:rFonts w:ascii="Times New Roman" w:hAnsi="Times New Roman" w:cs="Times New Roman"/>
          <w:iCs/>
          <w:sz w:val="24"/>
          <w:szCs w:val="24"/>
        </w:rPr>
        <w:instrText>ADDIN CSL_CITATION { "citationItems" : [ { "id" : "ITEM-1", "itemData" : { "DOI" : "10.1108/17590811111170539", "author" : [ { "dropping-particle" : "", "family" : "Farook", "given" : "Sayd", "non-dropping-particle" : "", "parse-names" : false, "suffix" : "" }, { "dropping-particle" : "", "family" : "Lanis", "given" : "Roman", "non-dropping-particle" : "", "parse-names" : false, "suffix" : "" } ], "id" : "ITEM-1", "issued" : { "date-parts" : [ [ "2011" ] ] }, "page" : "114-141", "title" : "Determinants of corporate social responsibility disclosure : the case of Islamic banks", "type" : "article-journal" }, "uris" : [ "http://www.mendeley.com/documents/?uuid=45feea0e-0f4f-42bc-a823-b5976e5f3338" ] } ], "mendeley" : { "formattedCitation" : "(Farook &amp; Lanis, 2011)", "plainTextFormattedCitation" : "(Farook &amp; Lanis, 2011)", "previouslyFormattedCitation" : "(Farook &amp; Lanis, 2011)" }, "properties" : { "noteIndex" : 0 }, "schema" : "https://github.com/citation-style-language/schema/raw/master/csl-citation.json" }</w:instrText>
      </w:r>
      <w:r w:rsidRPr="0091374D">
        <w:rPr>
          <w:rFonts w:ascii="Times New Roman" w:hAnsi="Times New Roman" w:cs="Times New Roman"/>
          <w:iCs/>
          <w:sz w:val="24"/>
          <w:szCs w:val="24"/>
        </w:rPr>
        <w:fldChar w:fldCharType="separate"/>
      </w:r>
      <w:r w:rsidRPr="0091374D">
        <w:rPr>
          <w:rFonts w:ascii="Times New Roman" w:hAnsi="Times New Roman" w:cs="Times New Roman"/>
          <w:iCs/>
          <w:noProof/>
          <w:sz w:val="24"/>
          <w:szCs w:val="24"/>
        </w:rPr>
        <w:t>Farook &amp; Lanis, (2011)</w:t>
      </w:r>
      <w:r w:rsidRPr="0091374D">
        <w:rPr>
          <w:rFonts w:ascii="Times New Roman" w:hAnsi="Times New Roman" w:cs="Times New Roman"/>
          <w:iCs/>
          <w:sz w:val="24"/>
          <w:szCs w:val="24"/>
        </w:rPr>
        <w:fldChar w:fldCharType="end"/>
      </w:r>
      <w:r w:rsidRPr="0091374D">
        <w:rPr>
          <w:rFonts w:ascii="Times New Roman" w:hAnsi="Times New Roman" w:cs="Times New Roman"/>
          <w:iCs/>
          <w:sz w:val="24"/>
          <w:szCs w:val="24"/>
        </w:rPr>
        <w:t>maybe  the strong hold of sharia supervisory committee and more influence from stakeholders as IBBL is the market leader(37.37% of deposits) (Bank, B., 2016)  among IBs in Bangladesh.</w:t>
      </w:r>
      <w:r>
        <w:rPr>
          <w:rFonts w:ascii="Times New Roman" w:hAnsi="Times New Roman" w:cs="Times New Roman"/>
          <w:iCs/>
          <w:sz w:val="24"/>
          <w:szCs w:val="24"/>
        </w:rPr>
        <w:t xml:space="preserve"> </w:t>
      </w:r>
      <w:r w:rsidRPr="0091374D">
        <w:rPr>
          <w:rFonts w:ascii="Times New Roman" w:hAnsi="Times New Roman" w:cs="Times New Roman"/>
          <w:iCs/>
          <w:sz w:val="24"/>
          <w:szCs w:val="24"/>
        </w:rPr>
        <w:t>A longitudinal case study done on IBBL reported about their increasing commitment towards the society which doesn’t conflict the findings of this study as IBBL discloses close to 70% about their social development practices. All the banks also closely contest with IBBL in rendering their responsibilities towards strategic social development, 67% on average. One of the biggest reason for this could be the requirements, (see</w:t>
      </w:r>
      <w:r w:rsidRPr="0091374D">
        <w:rPr>
          <w:rFonts w:ascii="Times New Roman" w:eastAsia="HelveticaNeueLTStd-Lt" w:hAnsi="Times New Roman" w:cs="Times New Roman"/>
          <w:sz w:val="24"/>
          <w:szCs w:val="24"/>
        </w:rPr>
        <w:t xml:space="preserve"> DOS Circular No. 01 dated 1June, as cited by SIBL in annual report, 2015),</w:t>
      </w:r>
      <w:r w:rsidRPr="0091374D">
        <w:rPr>
          <w:rFonts w:ascii="Times New Roman" w:hAnsi="Times New Roman" w:cs="Times New Roman"/>
          <w:iCs/>
          <w:sz w:val="24"/>
          <w:szCs w:val="24"/>
        </w:rPr>
        <w:t xml:space="preserve"> imposed by Bangladesh Bank (BB) (central bank of Bangladesh) for CSR activities.</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lastRenderedPageBreak/>
        <w:t>Surprisingly FSIBL and SIBL are found to make no disclosures in the ‘Product and Fair dealing with supply chain’ dimension. This is very alarming and prompt actions must be taken by not only these two but all the IBs in increasing their disclosures levels about their endeavors in preserving the trust of their clients, regarding the delivery of sharia compliant products, services and their fair dealings with supply chain. The ‘Research, Development and Training’ is yet another less focused dimension, with EXIM bank and SJIBL having least disclosures (20%), while AIBL and FSIBL the most(60%) with a range of 40%.Furthermore, a high variance in the disclosure levels of the dimensions, ‘Environment’ and ‘Employees’, between the sample IBs is noticed. The range of the disclosure levels between the banks for the ‘Employment’</w:t>
      </w:r>
      <w:r>
        <w:rPr>
          <w:rFonts w:ascii="Times New Roman" w:hAnsi="Times New Roman" w:cs="Times New Roman"/>
          <w:iCs/>
          <w:sz w:val="24"/>
          <w:szCs w:val="24"/>
        </w:rPr>
        <w:t xml:space="preserve"> </w:t>
      </w:r>
      <w:r w:rsidRPr="0091374D">
        <w:rPr>
          <w:rFonts w:ascii="Times New Roman" w:hAnsi="Times New Roman" w:cs="Times New Roman"/>
          <w:iCs/>
          <w:sz w:val="24"/>
          <w:szCs w:val="24"/>
        </w:rPr>
        <w:t>dimension is 60%.Although employees are an indispensable stakeholder for a company, but a reported variance in the disclosure level of this dimension may hint a lack of proper governance to ensure employees’ rights. On the other hand, the range in the ‘Environment’</w:t>
      </w:r>
      <w:r>
        <w:rPr>
          <w:rFonts w:ascii="Times New Roman" w:hAnsi="Times New Roman" w:cs="Times New Roman"/>
          <w:iCs/>
          <w:sz w:val="24"/>
          <w:szCs w:val="24"/>
        </w:rPr>
        <w:t xml:space="preserve"> </w:t>
      </w:r>
      <w:r w:rsidRPr="0091374D">
        <w:rPr>
          <w:rFonts w:ascii="Times New Roman" w:hAnsi="Times New Roman" w:cs="Times New Roman"/>
          <w:iCs/>
          <w:sz w:val="24"/>
          <w:szCs w:val="24"/>
        </w:rPr>
        <w:t>dimension is 63%. Despite</w:t>
      </w:r>
      <w:r w:rsidRPr="0091374D">
        <w:rPr>
          <w:rFonts w:ascii="Times New Roman" w:eastAsia="HelveticaNeueLTStd-Lt" w:hAnsi="Times New Roman" w:cs="Times New Roman"/>
          <w:sz w:val="24"/>
          <w:szCs w:val="24"/>
        </w:rPr>
        <w:t xml:space="preserve"> Bangladesh Bank’s(BB),(see BRPD Circular no. 02 dated 27.02.2011as cited by SIBL annual report 2015)guidelines for Green Banking activities</w:t>
      </w:r>
      <w:r w:rsidRPr="0091374D">
        <w:rPr>
          <w:rFonts w:ascii="Times New Roman" w:eastAsia="HelveticaNeueLTStd-Lt" w:hAnsi="Times New Roman" w:cs="Times New Roman"/>
          <w:sz w:val="24"/>
          <w:szCs w:val="24"/>
        </w:rPr>
        <w:fldChar w:fldCharType="begin" w:fldLock="1"/>
      </w:r>
      <w:r w:rsidRPr="0091374D">
        <w:rPr>
          <w:rFonts w:ascii="Times New Roman" w:eastAsia="HelveticaNeueLTStd-Lt" w:hAnsi="Times New Roman" w:cs="Times New Roman"/>
          <w:sz w:val="24"/>
          <w:szCs w:val="24"/>
        </w:rPr>
        <w:instrText>ADDIN CSL_CITATION { "citationItems" : [ { "id" : "ITEM-1", "itemData" : { "author" : [ { "dropping-particle" : "", "family" : "Report", "given" : "Annual", "non-dropping-particle" : "", "parse-names" : false, "suffix" : "" } ], "id" : "ITEM-1", "issued" : { "date-parts" : [ [ "2015" ] ] }, "title" : "Annual Report 2015", "type" : "article-journal" }, "uris" : [ "http://www.mendeley.com/documents/?uuid=9a80a1e0-3ed6-4be7-a6a1-9f0b93fd7f15" ] } ], "mendeley" : { "formattedCitation" : "(Report, 2015)", "plainTextFormattedCitation" : "(Report, 2015)", "previouslyFormattedCitation" : "(Report, 2015)" }, "properties" : { "noteIndex" : 0 }, "schema" : "https://github.com/citation-style-language/schema/raw/master/csl-citation.json" }</w:instrText>
      </w:r>
      <w:r w:rsidRPr="0091374D">
        <w:rPr>
          <w:rFonts w:ascii="Times New Roman" w:eastAsia="HelveticaNeueLTStd-Lt" w:hAnsi="Times New Roman" w:cs="Times New Roman"/>
          <w:sz w:val="24"/>
          <w:szCs w:val="24"/>
        </w:rPr>
        <w:fldChar w:fldCharType="separate"/>
      </w:r>
      <w:r w:rsidRPr="0091374D">
        <w:rPr>
          <w:rFonts w:ascii="Times New Roman" w:eastAsia="HelveticaNeueLTStd-Lt" w:hAnsi="Times New Roman" w:cs="Times New Roman"/>
          <w:noProof/>
          <w:sz w:val="24"/>
          <w:szCs w:val="24"/>
        </w:rPr>
        <w:t>(SIBL Annual Report, 2015)</w:t>
      </w:r>
      <w:r w:rsidRPr="0091374D">
        <w:rPr>
          <w:rFonts w:ascii="Times New Roman" w:eastAsia="HelveticaNeueLTStd-Lt" w:hAnsi="Times New Roman" w:cs="Times New Roman"/>
          <w:sz w:val="24"/>
          <w:szCs w:val="24"/>
        </w:rPr>
        <w:fldChar w:fldCharType="end"/>
      </w:r>
      <w:r w:rsidRPr="0091374D">
        <w:rPr>
          <w:rFonts w:ascii="Times New Roman" w:hAnsi="Times New Roman" w:cs="Times New Roman"/>
          <w:iCs/>
          <w:sz w:val="24"/>
          <w:szCs w:val="24"/>
        </w:rPr>
        <w:t>,most IBs are still lagging behind in the complete adoption of the guidelines.</w:t>
      </w:r>
    </w:p>
    <w:p w:rsidR="005539A8" w:rsidRPr="0091374D" w:rsidRDefault="005539A8" w:rsidP="005539A8">
      <w:pPr>
        <w:autoSpaceDE w:val="0"/>
        <w:autoSpaceDN w:val="0"/>
        <w:adjustRightInd w:val="0"/>
        <w:spacing w:after="0" w:line="360" w:lineRule="auto"/>
        <w:jc w:val="both"/>
        <w:rPr>
          <w:rFonts w:ascii="Times New Roman" w:eastAsia="HelveticaNeueLTStd-Lt" w:hAnsi="Times New Roman" w:cs="Times New Roman"/>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Failure to make 100% disclosures in the ‘Sharia Compliant’ dimension (61% on average) could be a reflection of the IBs’ insincerity towards their religious obligations which should have ideally been a monitor over their actions above and beyond any human-set regulations.</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p>
    <w:p w:rsidR="005539A8" w:rsidRPr="0091374D" w:rsidRDefault="005539A8" w:rsidP="005539A8">
      <w:pPr>
        <w:pStyle w:val="ListParagraph"/>
        <w:numPr>
          <w:ilvl w:val="0"/>
          <w:numId w:val="7"/>
        </w:numPr>
        <w:autoSpaceDE w:val="0"/>
        <w:autoSpaceDN w:val="0"/>
        <w:adjustRightInd w:val="0"/>
        <w:spacing w:after="0" w:line="360" w:lineRule="auto"/>
        <w:jc w:val="both"/>
        <w:rPr>
          <w:rFonts w:ascii="Times New Roman" w:hAnsi="Times New Roman" w:cs="Times New Roman"/>
          <w:b/>
          <w:iCs/>
          <w:sz w:val="26"/>
          <w:szCs w:val="24"/>
        </w:rPr>
      </w:pPr>
      <w:r w:rsidRPr="0091374D">
        <w:rPr>
          <w:rFonts w:ascii="Times New Roman" w:hAnsi="Times New Roman" w:cs="Times New Roman"/>
          <w:b/>
          <w:iCs/>
          <w:sz w:val="26"/>
          <w:szCs w:val="24"/>
        </w:rPr>
        <w:t>Conclusion:</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Most of the investigated IBs of Bangladesh are performing above average in rendering their CSR.</w:t>
      </w:r>
      <w:r>
        <w:rPr>
          <w:rFonts w:ascii="Times New Roman" w:hAnsi="Times New Roman" w:cs="Times New Roman"/>
          <w:iCs/>
          <w:sz w:val="24"/>
          <w:szCs w:val="24"/>
        </w:rPr>
        <w:t xml:space="preserve"> </w:t>
      </w:r>
      <w:r w:rsidRPr="0091374D">
        <w:rPr>
          <w:rFonts w:ascii="Times New Roman" w:hAnsi="Times New Roman" w:cs="Times New Roman"/>
          <w:iCs/>
          <w:sz w:val="24"/>
          <w:szCs w:val="24"/>
        </w:rPr>
        <w:t xml:space="preserve">In this regard, IBBL ranks first(75%), followed by SIBL(70%), SJIBL(60%), AIBL(58%) and Exim bank(53%).The results confirm that IBs are performing better in rendering their CSR activities than many other IBs around the world, whose CSR indexes fall below 50% in most cases, (Hassan &amp;Harahap,2010 ; </w:t>
      </w:r>
      <w:proofErr w:type="spellStart"/>
      <w:r w:rsidRPr="0091374D">
        <w:rPr>
          <w:rFonts w:ascii="Times New Roman" w:hAnsi="Times New Roman" w:cs="Times New Roman"/>
          <w:iCs/>
          <w:sz w:val="24"/>
          <w:szCs w:val="24"/>
        </w:rPr>
        <w:t>Haniffa</w:t>
      </w:r>
      <w:proofErr w:type="spellEnd"/>
      <w:r>
        <w:rPr>
          <w:rFonts w:ascii="Times New Roman" w:hAnsi="Times New Roman" w:cs="Times New Roman"/>
          <w:iCs/>
          <w:sz w:val="24"/>
          <w:szCs w:val="24"/>
        </w:rPr>
        <w:t xml:space="preserve"> </w:t>
      </w:r>
      <w:r w:rsidRPr="0091374D">
        <w:rPr>
          <w:rFonts w:ascii="Times New Roman" w:hAnsi="Times New Roman" w:cs="Times New Roman"/>
          <w:iCs/>
          <w:sz w:val="24"/>
          <w:szCs w:val="24"/>
        </w:rPr>
        <w:t>&amp;</w:t>
      </w:r>
      <w:r>
        <w:rPr>
          <w:rFonts w:ascii="Times New Roman" w:hAnsi="Times New Roman" w:cs="Times New Roman"/>
          <w:iCs/>
          <w:sz w:val="24"/>
          <w:szCs w:val="24"/>
        </w:rPr>
        <w:t xml:space="preserve"> </w:t>
      </w:r>
      <w:proofErr w:type="spellStart"/>
      <w:r w:rsidRPr="0091374D">
        <w:rPr>
          <w:rFonts w:ascii="Times New Roman" w:hAnsi="Times New Roman" w:cs="Times New Roman"/>
          <w:iCs/>
          <w:sz w:val="24"/>
          <w:szCs w:val="24"/>
        </w:rPr>
        <w:t>Hudaib</w:t>
      </w:r>
      <w:proofErr w:type="spellEnd"/>
      <w:r w:rsidRPr="0091374D">
        <w:rPr>
          <w:rFonts w:ascii="Times New Roman" w:hAnsi="Times New Roman" w:cs="Times New Roman"/>
          <w:iCs/>
          <w:sz w:val="24"/>
          <w:szCs w:val="24"/>
        </w:rPr>
        <w:t>, 2007). While ‘Corporate Governance’ and ‘Top Management’ are most disclosed</w:t>
      </w:r>
      <w:r>
        <w:rPr>
          <w:rFonts w:ascii="Times New Roman" w:hAnsi="Times New Roman" w:cs="Times New Roman"/>
          <w:iCs/>
          <w:sz w:val="24"/>
          <w:szCs w:val="24"/>
        </w:rPr>
        <w:t xml:space="preserve"> </w:t>
      </w:r>
      <w:r w:rsidRPr="0091374D">
        <w:rPr>
          <w:rFonts w:ascii="Times New Roman" w:hAnsi="Times New Roman" w:cs="Times New Roman"/>
          <w:iCs/>
          <w:sz w:val="24"/>
          <w:szCs w:val="24"/>
        </w:rPr>
        <w:t>dimensions,</w:t>
      </w:r>
      <w:r>
        <w:rPr>
          <w:rFonts w:ascii="Times New Roman" w:hAnsi="Times New Roman" w:cs="Times New Roman"/>
          <w:iCs/>
          <w:sz w:val="24"/>
          <w:szCs w:val="24"/>
        </w:rPr>
        <w:t xml:space="preserve"> </w:t>
      </w:r>
      <w:r w:rsidRPr="0091374D">
        <w:rPr>
          <w:rFonts w:ascii="Times New Roman" w:hAnsi="Times New Roman" w:cs="Times New Roman"/>
          <w:iCs/>
          <w:sz w:val="24"/>
          <w:szCs w:val="24"/>
        </w:rPr>
        <w:t>but more attention should be drawn on the poorly disclosed ‘Research, Development and Training’ and ‘Products, Services and Fair dealing with supply chain’ dimensions. A variance</w:t>
      </w:r>
      <w:r>
        <w:rPr>
          <w:rFonts w:ascii="Times New Roman" w:hAnsi="Times New Roman" w:cs="Times New Roman"/>
          <w:iCs/>
          <w:sz w:val="24"/>
          <w:szCs w:val="24"/>
        </w:rPr>
        <w:t xml:space="preserve"> </w:t>
      </w:r>
      <w:r w:rsidRPr="0091374D">
        <w:rPr>
          <w:rFonts w:ascii="Times New Roman" w:hAnsi="Times New Roman" w:cs="Times New Roman"/>
          <w:iCs/>
          <w:sz w:val="24"/>
          <w:szCs w:val="24"/>
        </w:rPr>
        <w:t>in the disclosure level of the dimensions ‘Employees and Environment’</w:t>
      </w:r>
      <w:r>
        <w:rPr>
          <w:rFonts w:ascii="Times New Roman" w:hAnsi="Times New Roman" w:cs="Times New Roman"/>
          <w:iCs/>
          <w:sz w:val="24"/>
          <w:szCs w:val="24"/>
        </w:rPr>
        <w:t xml:space="preserve"> </w:t>
      </w:r>
      <w:r w:rsidRPr="0091374D">
        <w:rPr>
          <w:rFonts w:ascii="Times New Roman" w:hAnsi="Times New Roman" w:cs="Times New Roman"/>
          <w:iCs/>
          <w:sz w:val="24"/>
          <w:szCs w:val="24"/>
        </w:rPr>
        <w:t>are recorded amongst the sample banks. The range for the ‘Employees’</w:t>
      </w:r>
      <w:r>
        <w:rPr>
          <w:rFonts w:ascii="Times New Roman" w:hAnsi="Times New Roman" w:cs="Times New Roman"/>
          <w:iCs/>
          <w:sz w:val="24"/>
          <w:szCs w:val="24"/>
        </w:rPr>
        <w:t xml:space="preserve"> </w:t>
      </w:r>
      <w:r w:rsidRPr="0091374D">
        <w:rPr>
          <w:rFonts w:ascii="Times New Roman" w:hAnsi="Times New Roman" w:cs="Times New Roman"/>
          <w:iCs/>
          <w:sz w:val="24"/>
          <w:szCs w:val="24"/>
        </w:rPr>
        <w:t>dimension is 60% and for</w:t>
      </w:r>
      <w:r>
        <w:rPr>
          <w:rFonts w:ascii="Times New Roman" w:hAnsi="Times New Roman" w:cs="Times New Roman"/>
          <w:iCs/>
          <w:sz w:val="24"/>
          <w:szCs w:val="24"/>
        </w:rPr>
        <w:t xml:space="preserve"> </w:t>
      </w:r>
      <w:r w:rsidRPr="0091374D">
        <w:rPr>
          <w:rFonts w:ascii="Times New Roman" w:hAnsi="Times New Roman" w:cs="Times New Roman"/>
          <w:iCs/>
          <w:sz w:val="24"/>
          <w:szCs w:val="24"/>
        </w:rPr>
        <w:t xml:space="preserve">‘Environment’ is 63%.Such variability in disclosure level among IBs may hint of a lack of proper governance </w:t>
      </w:r>
      <w:r w:rsidRPr="0091374D">
        <w:rPr>
          <w:rFonts w:ascii="Times New Roman" w:hAnsi="Times New Roman" w:cs="Times New Roman"/>
          <w:iCs/>
          <w:sz w:val="24"/>
          <w:szCs w:val="24"/>
        </w:rPr>
        <w:lastRenderedPageBreak/>
        <w:t>that calls for more regulations. As Sharia complaint banks, regulations should come secondary to the banks’ own religious duty of being socially responsible to all its stakeholders, however a lack of 100% disclosure in the sharia compliant dimension(average 61%) gives an indication of the banks’ unwholesome sincerity towards their religious obligations.</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p>
    <w:p w:rsidR="005539A8" w:rsidRPr="0091374D" w:rsidRDefault="005539A8" w:rsidP="005539A8">
      <w:pPr>
        <w:pStyle w:val="ListParagraph"/>
        <w:numPr>
          <w:ilvl w:val="0"/>
          <w:numId w:val="7"/>
        </w:numPr>
        <w:autoSpaceDE w:val="0"/>
        <w:autoSpaceDN w:val="0"/>
        <w:adjustRightInd w:val="0"/>
        <w:spacing w:after="0" w:line="360" w:lineRule="auto"/>
        <w:jc w:val="both"/>
        <w:rPr>
          <w:rFonts w:ascii="Times New Roman" w:hAnsi="Times New Roman" w:cs="Times New Roman"/>
          <w:iCs/>
          <w:sz w:val="26"/>
          <w:szCs w:val="24"/>
        </w:rPr>
      </w:pPr>
      <w:r w:rsidRPr="0091374D">
        <w:rPr>
          <w:rFonts w:ascii="Times New Roman" w:hAnsi="Times New Roman" w:cs="Times New Roman"/>
          <w:b/>
          <w:iCs/>
          <w:sz w:val="26"/>
          <w:szCs w:val="24"/>
        </w:rPr>
        <w:t>Practical Implication &amp; Further Research:</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 xml:space="preserve">The awareness aimed to be created by this study amongst the IBs and its stakeholders </w:t>
      </w:r>
      <w:r w:rsidRPr="0091374D">
        <w:rPr>
          <w:rFonts w:ascii="Times New Roman" w:hAnsi="Times New Roman" w:cs="Times New Roman"/>
          <w:sz w:val="24"/>
          <w:szCs w:val="24"/>
        </w:rPr>
        <w:t>about the reported gap between the ethical claims of the IBs and their communicated CSR activities, can lead to a scope of an improvement in the social roles of the banks in future. More regulations/pressure can be put in place both from external parties (such as Bangladesh Bank, depositors etc.) and internal parties (such sharia supervisory board) to reduce this gap.</w:t>
      </w: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iCs/>
          <w:sz w:val="24"/>
          <w:szCs w:val="24"/>
        </w:rPr>
      </w:pPr>
      <w:r w:rsidRPr="0091374D">
        <w:rPr>
          <w:rFonts w:ascii="Times New Roman" w:hAnsi="Times New Roman" w:cs="Times New Roman"/>
          <w:iCs/>
          <w:sz w:val="24"/>
          <w:szCs w:val="24"/>
        </w:rPr>
        <w:t>This study had the scope of analyzing the CSR disclosure level of sample IBs based on a single year’s (2015) annual reports only. Further research can be carried out entailing a longitudinal study using a time series analysis to gauge a better picture of the CSR practice of IBs in Bangladesh</w:t>
      </w:r>
    </w:p>
    <w:p w:rsidR="00495262" w:rsidRDefault="00495262" w:rsidP="005539A8">
      <w:pPr>
        <w:autoSpaceDE w:val="0"/>
        <w:autoSpaceDN w:val="0"/>
        <w:adjustRightInd w:val="0"/>
        <w:spacing w:after="0" w:line="360" w:lineRule="auto"/>
        <w:rPr>
          <w:rFonts w:ascii="Times New Roman" w:hAnsi="Times New Roman" w:cs="Times New Roman"/>
          <w:b/>
          <w:iCs/>
          <w:sz w:val="24"/>
          <w:szCs w:val="24"/>
        </w:rPr>
        <w:sectPr w:rsidR="00495262" w:rsidSect="00CE1AFC">
          <w:pgSz w:w="11907" w:h="16839" w:code="9"/>
          <w:pgMar w:top="1440" w:right="1440" w:bottom="1440" w:left="1440" w:header="720" w:footer="720" w:gutter="0"/>
          <w:cols w:space="720"/>
          <w:titlePg/>
          <w:docGrid w:linePitch="360"/>
        </w:sectPr>
      </w:pPr>
    </w:p>
    <w:p w:rsidR="005539A8" w:rsidRPr="0091374D" w:rsidRDefault="005539A8" w:rsidP="005539A8">
      <w:pPr>
        <w:autoSpaceDE w:val="0"/>
        <w:autoSpaceDN w:val="0"/>
        <w:adjustRightInd w:val="0"/>
        <w:spacing w:after="0" w:line="360" w:lineRule="auto"/>
        <w:jc w:val="center"/>
        <w:rPr>
          <w:rFonts w:ascii="Times New Roman" w:hAnsi="Times New Roman" w:cs="Times New Roman"/>
          <w:b/>
          <w:i/>
          <w:iCs/>
          <w:sz w:val="24"/>
          <w:szCs w:val="24"/>
        </w:rPr>
      </w:pPr>
      <w:bookmarkStart w:id="5" w:name="_GoBack"/>
      <w:bookmarkEnd w:id="5"/>
      <w:r w:rsidRPr="0091374D">
        <w:rPr>
          <w:rFonts w:ascii="Times New Roman" w:hAnsi="Times New Roman" w:cs="Times New Roman"/>
          <w:b/>
          <w:i/>
          <w:iCs/>
          <w:sz w:val="24"/>
          <w:szCs w:val="24"/>
        </w:rPr>
        <w:lastRenderedPageBreak/>
        <w:t>References</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roofErr w:type="spellStart"/>
      <w:r w:rsidRPr="0091374D">
        <w:rPr>
          <w:rFonts w:ascii="Times New Roman" w:hAnsi="Times New Roman" w:cs="Times New Roman"/>
          <w:color w:val="222222"/>
          <w:sz w:val="24"/>
          <w:szCs w:val="24"/>
          <w:shd w:val="clear" w:color="auto" w:fill="FFFFFF"/>
        </w:rPr>
        <w:t>Alharbi</w:t>
      </w:r>
      <w:proofErr w:type="spellEnd"/>
      <w:r w:rsidRPr="0091374D">
        <w:rPr>
          <w:rFonts w:ascii="Times New Roman" w:hAnsi="Times New Roman" w:cs="Times New Roman"/>
          <w:color w:val="222222"/>
          <w:sz w:val="24"/>
          <w:szCs w:val="24"/>
          <w:shd w:val="clear" w:color="auto" w:fill="FFFFFF"/>
        </w:rPr>
        <w:t xml:space="preserve">, A. (2015). </w:t>
      </w:r>
      <w:proofErr w:type="gramStart"/>
      <w:r w:rsidRPr="0091374D">
        <w:rPr>
          <w:rFonts w:ascii="Times New Roman" w:hAnsi="Times New Roman" w:cs="Times New Roman"/>
          <w:color w:val="222222"/>
          <w:sz w:val="24"/>
          <w:szCs w:val="24"/>
          <w:shd w:val="clear" w:color="auto" w:fill="FFFFFF"/>
        </w:rPr>
        <w:t>Development of the Islamic Banking System.</w:t>
      </w:r>
      <w:proofErr w:type="gramEnd"/>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Journal of Islamic Banking and Finance</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3</w:t>
      </w:r>
      <w:r w:rsidRPr="0091374D">
        <w:rPr>
          <w:rFonts w:ascii="Times New Roman" w:hAnsi="Times New Roman" w:cs="Times New Roman"/>
          <w:color w:val="222222"/>
          <w:sz w:val="24"/>
          <w:szCs w:val="24"/>
          <w:shd w:val="clear" w:color="auto" w:fill="FFFFFF"/>
        </w:rPr>
        <w:t>(1), 12-25.doi:</w:t>
      </w:r>
      <w:r w:rsidRPr="0091374D">
        <w:rPr>
          <w:rFonts w:ascii="Times New Roman" w:hAnsi="Times New Roman" w:cs="Times New Roman"/>
          <w:noProof/>
          <w:sz w:val="24"/>
          <w:szCs w:val="24"/>
        </w:rPr>
        <w:t xml:space="preserve"> 10.15640/jibf.v3n1a2</w:t>
      </w:r>
      <w:r w:rsidRPr="0091374D">
        <w:rPr>
          <w:rFonts w:ascii="Times New Roman" w:hAnsi="Times New Roman" w:cs="Times New Roman"/>
          <w:b/>
          <w:iCs/>
          <w:sz w:val="24"/>
          <w:szCs w:val="24"/>
        </w:rPr>
        <w:fldChar w:fldCharType="begin" w:fldLock="1"/>
      </w:r>
      <w:r w:rsidRPr="0091374D">
        <w:rPr>
          <w:rFonts w:ascii="Times New Roman" w:hAnsi="Times New Roman" w:cs="Times New Roman"/>
          <w:b/>
          <w:iCs/>
          <w:sz w:val="24"/>
          <w:szCs w:val="24"/>
        </w:rPr>
        <w:instrText xml:space="preserve">ADDIN Mendeley Bibliography CSL_BIBLIOGRAPHY </w:instrText>
      </w:r>
      <w:r w:rsidRPr="0091374D">
        <w:rPr>
          <w:rFonts w:ascii="Times New Roman" w:hAnsi="Times New Roman" w:cs="Times New Roman"/>
          <w:b/>
          <w:iCs/>
          <w:sz w:val="24"/>
          <w:szCs w:val="24"/>
        </w:rPr>
        <w:fldChar w:fldCharType="separate"/>
      </w:r>
    </w:p>
    <w:p w:rsidR="005539A8" w:rsidRPr="0091374D" w:rsidRDefault="005539A8" w:rsidP="005539A8">
      <w:pPr>
        <w:widowControl w:val="0"/>
        <w:autoSpaceDE w:val="0"/>
        <w:autoSpaceDN w:val="0"/>
        <w:adjustRightInd w:val="0"/>
        <w:spacing w:after="0" w:line="360" w:lineRule="auto"/>
        <w:jc w:val="both"/>
        <w:rPr>
          <w:rFonts w:ascii="Times New Roman" w:hAnsi="Times New Roman" w:cs="Times New Roman"/>
          <w:noProof/>
          <w:sz w:val="24"/>
          <w:szCs w:val="24"/>
        </w:rPr>
      </w:pPr>
      <w:r w:rsidRPr="0091374D">
        <w:rPr>
          <w:rFonts w:ascii="Times New Roman" w:hAnsi="Times New Roman" w:cs="Times New Roman"/>
          <w:noProof/>
          <w:sz w:val="24"/>
          <w:szCs w:val="24"/>
        </w:rPr>
        <w:t>Annual Report 2015. www.siblbd.com. pg99 &amp; 120.</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222222"/>
          <w:sz w:val="24"/>
          <w:szCs w:val="24"/>
          <w:shd w:val="clear" w:color="auto" w:fill="FFFFFF"/>
        </w:rPr>
      </w:pPr>
      <w:bookmarkStart w:id="6" w:name="_Hlk501058042"/>
      <w:r w:rsidRPr="0091374D">
        <w:rPr>
          <w:rFonts w:ascii="Times New Roman" w:hAnsi="Times New Roman" w:cs="Times New Roman"/>
          <w:color w:val="222222"/>
          <w:sz w:val="24"/>
          <w:szCs w:val="24"/>
          <w:shd w:val="clear" w:color="auto" w:fill="FFFFFF"/>
        </w:rPr>
        <w:t>Bangladesh Bank(2016)</w:t>
      </w:r>
      <w:bookmarkEnd w:id="6"/>
      <w:r w:rsidRPr="0091374D">
        <w:rPr>
          <w:rFonts w:ascii="Times New Roman" w:hAnsi="Times New Roman" w:cs="Times New Roman"/>
          <w:color w:val="222222"/>
          <w:sz w:val="24"/>
          <w:szCs w:val="24"/>
          <w:shd w:val="clear" w:color="auto" w:fill="FFFFFF"/>
        </w:rPr>
        <w:t>. Developments of Islamic Banking in Bangladesh, July-Septembar,2016. </w:t>
      </w:r>
      <w:r w:rsidRPr="0091374D">
        <w:rPr>
          <w:rFonts w:ascii="Times New Roman" w:hAnsi="Times New Roman" w:cs="Times New Roman"/>
          <w:i/>
          <w:iCs/>
          <w:color w:val="222222"/>
          <w:sz w:val="24"/>
          <w:szCs w:val="24"/>
          <w:shd w:val="clear" w:color="auto" w:fill="FFFFFF"/>
        </w:rPr>
        <w:t xml:space="preserve">Dhaka,Bangladesh. Retrieved from </w:t>
      </w:r>
      <w:r w:rsidRPr="0091374D">
        <w:rPr>
          <w:rFonts w:ascii="Times New Roman" w:hAnsi="Times New Roman" w:cs="Times New Roman"/>
          <w:iCs/>
          <w:color w:val="222222"/>
          <w:sz w:val="24"/>
          <w:szCs w:val="24"/>
          <w:shd w:val="clear" w:color="auto" w:fill="FFFFFF"/>
        </w:rPr>
        <w:t>http://www.bangladesh-bank. org/pub/quaterly/islamic_banking/jul_sept_2016. pdf</w:t>
      </w:r>
      <w:r w:rsidRPr="0091374D">
        <w:rPr>
          <w:rFonts w:ascii="Times New Roman" w:hAnsi="Times New Roman" w:cs="Times New Roman"/>
          <w:color w:val="222222"/>
          <w:sz w:val="24"/>
          <w:szCs w:val="24"/>
          <w:shd w:val="clear" w:color="auto" w:fill="FFFFFF"/>
        </w:rPr>
        <w:t>.</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000000"/>
          <w:sz w:val="24"/>
          <w:szCs w:val="24"/>
          <w:shd w:val="clear" w:color="auto" w:fill="FFFFFF"/>
        </w:rPr>
      </w:pPr>
      <w:r w:rsidRPr="0091374D">
        <w:rPr>
          <w:rFonts w:ascii="Times New Roman" w:hAnsi="Times New Roman" w:cs="Times New Roman"/>
          <w:color w:val="000000"/>
          <w:sz w:val="24"/>
          <w:szCs w:val="24"/>
          <w:shd w:val="clear" w:color="auto" w:fill="FFFFFF"/>
        </w:rPr>
        <w:t>Belal, A., Abdelsalam, O. H., &amp; Nizamee, S. S. (2011). </w:t>
      </w:r>
      <w:r w:rsidRPr="0091374D">
        <w:rPr>
          <w:rStyle w:val="Emphasis"/>
          <w:rFonts w:ascii="Times New Roman" w:hAnsi="Times New Roman" w:cs="Times New Roman"/>
          <w:color w:val="000000"/>
          <w:sz w:val="24"/>
          <w:szCs w:val="24"/>
          <w:shd w:val="clear" w:color="auto" w:fill="FFFFFF"/>
        </w:rPr>
        <w:t>A longitudinal case study of social reporting in Islami Bank Bangladesh Limited</w:t>
      </w:r>
      <w:r w:rsidRPr="0091374D">
        <w:rPr>
          <w:rFonts w:ascii="Times New Roman" w:hAnsi="Times New Roman" w:cs="Times New Roman"/>
          <w:color w:val="000000"/>
          <w:sz w:val="24"/>
          <w:szCs w:val="24"/>
          <w:shd w:val="clear" w:color="auto" w:fill="FFFFFF"/>
        </w:rPr>
        <w:t>. Paper presented at 47th British Accounting and Finance Association Conference, Birmingham, United Kingdom</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222222"/>
          <w:sz w:val="24"/>
          <w:szCs w:val="24"/>
          <w:shd w:val="clear" w:color="auto" w:fill="FFFFFF"/>
        </w:rPr>
      </w:pPr>
      <w:r w:rsidRPr="0091374D">
        <w:rPr>
          <w:rFonts w:ascii="Times New Roman" w:hAnsi="Times New Roman" w:cs="Times New Roman"/>
          <w:color w:val="222222"/>
          <w:sz w:val="24"/>
          <w:szCs w:val="24"/>
          <w:shd w:val="clear" w:color="auto" w:fill="FFFFFF"/>
        </w:rPr>
        <w:t>Darus, F., Fauzi, H., Purwanto, Y., Yusoff, H., Amran, A., Zain, M. M., ... &amp; Nejati, M. (2014). Social responsibility reporting of Islamic banks: evidence from Indonesia. </w:t>
      </w:r>
      <w:r w:rsidRPr="0091374D">
        <w:rPr>
          <w:rFonts w:ascii="Times New Roman" w:hAnsi="Times New Roman" w:cs="Times New Roman"/>
          <w:i/>
          <w:iCs/>
          <w:color w:val="222222"/>
          <w:sz w:val="24"/>
          <w:szCs w:val="24"/>
          <w:shd w:val="clear" w:color="auto" w:fill="FFFFFF"/>
        </w:rPr>
        <w:t>International Journal of Business Governance and Ethics</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9</w:t>
      </w:r>
      <w:r w:rsidRPr="0091374D">
        <w:rPr>
          <w:rFonts w:ascii="Times New Roman" w:hAnsi="Times New Roman" w:cs="Times New Roman"/>
          <w:color w:val="222222"/>
          <w:sz w:val="24"/>
          <w:szCs w:val="24"/>
          <w:shd w:val="clear" w:color="auto" w:fill="FFFFFF"/>
        </w:rPr>
        <w:t>(4), 356-380.</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222222"/>
          <w:sz w:val="24"/>
          <w:szCs w:val="24"/>
          <w:shd w:val="clear" w:color="auto" w:fill="FFFFFF"/>
        </w:rPr>
      </w:pPr>
      <w:r w:rsidRPr="0091374D">
        <w:rPr>
          <w:rFonts w:ascii="Times New Roman" w:hAnsi="Times New Roman" w:cs="Times New Roman"/>
          <w:color w:val="222222"/>
          <w:sz w:val="24"/>
          <w:szCs w:val="24"/>
          <w:shd w:val="clear" w:color="auto" w:fill="FFFFFF"/>
        </w:rPr>
        <w:t>De Bakker, F. G., Groenewegen, P., &amp; Den Hond, F. (2005). A bibliometric analysis of 30 years of research and theory on corporate social responsibility and corporate social performance. </w:t>
      </w:r>
      <w:r w:rsidRPr="0091374D">
        <w:rPr>
          <w:rFonts w:ascii="Times New Roman" w:hAnsi="Times New Roman" w:cs="Times New Roman"/>
          <w:i/>
          <w:iCs/>
          <w:color w:val="222222"/>
          <w:sz w:val="24"/>
          <w:szCs w:val="24"/>
          <w:shd w:val="clear" w:color="auto" w:fill="FFFFFF"/>
        </w:rPr>
        <w:t>Business &amp; Society</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44</w:t>
      </w:r>
      <w:r w:rsidRPr="0091374D">
        <w:rPr>
          <w:rFonts w:ascii="Times New Roman" w:hAnsi="Times New Roman" w:cs="Times New Roman"/>
          <w:color w:val="222222"/>
          <w:sz w:val="24"/>
          <w:szCs w:val="24"/>
          <w:shd w:val="clear" w:color="auto" w:fill="FFFFFF"/>
        </w:rPr>
        <w:t>(3), 283-317.</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Haniffa, R., &amp; Hudaib, M. (2007). Exploring the ethical identity of Islamic banks via communication in annual reports. </w:t>
      </w:r>
      <w:r w:rsidRPr="0091374D">
        <w:rPr>
          <w:rFonts w:ascii="Times New Roman" w:hAnsi="Times New Roman" w:cs="Times New Roman"/>
          <w:i/>
          <w:iCs/>
          <w:color w:val="222222"/>
          <w:sz w:val="24"/>
          <w:szCs w:val="24"/>
          <w:shd w:val="clear" w:color="auto" w:fill="FFFFFF"/>
        </w:rPr>
        <w:t>Journal of Business Ethics</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76</w:t>
      </w:r>
      <w:r w:rsidRPr="0091374D">
        <w:rPr>
          <w:rFonts w:ascii="Times New Roman" w:hAnsi="Times New Roman" w:cs="Times New Roman"/>
          <w:color w:val="222222"/>
          <w:sz w:val="24"/>
          <w:szCs w:val="24"/>
          <w:shd w:val="clear" w:color="auto" w:fill="FFFFFF"/>
        </w:rPr>
        <w:t>(1), 97-116.</w:t>
      </w:r>
      <w:r w:rsidRPr="0091374D">
        <w:rPr>
          <w:rFonts w:ascii="Times New Roman" w:hAnsi="Times New Roman" w:cs="Times New Roman"/>
          <w:noProof/>
          <w:sz w:val="24"/>
          <w:szCs w:val="24"/>
        </w:rPr>
        <w:t xml:space="preserve"> doi:10.1007/s10551-006-9272-5</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Hassan, A., &amp; Syafri Harahap, S. (2010). Exploring corporate social responsibility disclosure: the case of Islamic banks. </w:t>
      </w:r>
      <w:r w:rsidRPr="0091374D">
        <w:rPr>
          <w:rFonts w:ascii="Times New Roman" w:hAnsi="Times New Roman" w:cs="Times New Roman"/>
          <w:i/>
          <w:iCs/>
          <w:color w:val="222222"/>
          <w:sz w:val="24"/>
          <w:szCs w:val="24"/>
          <w:shd w:val="clear" w:color="auto" w:fill="FFFFFF"/>
        </w:rPr>
        <w:t>International Journal of Islamic and Middle Eastern Finance and Management</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3</w:t>
      </w:r>
      <w:r w:rsidRPr="0091374D">
        <w:rPr>
          <w:rFonts w:ascii="Times New Roman" w:hAnsi="Times New Roman" w:cs="Times New Roman"/>
          <w:color w:val="222222"/>
          <w:sz w:val="24"/>
          <w:szCs w:val="24"/>
          <w:shd w:val="clear" w:color="auto" w:fill="FFFFFF"/>
        </w:rPr>
        <w:t>(3), 203-227.</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noProof/>
          <w:sz w:val="24"/>
          <w:szCs w:val="24"/>
        </w:rPr>
        <w:t xml:space="preserve">Farag, H., Mallin, C., &amp; Ow-yong, K. (2014).'Corporate social responsibility and financial performance in islamic banks' Ac ce p us cr t. </w:t>
      </w:r>
      <w:r w:rsidRPr="0091374D">
        <w:rPr>
          <w:rFonts w:ascii="Times New Roman" w:hAnsi="Times New Roman" w:cs="Times New Roman"/>
          <w:i/>
          <w:iCs/>
          <w:noProof/>
          <w:sz w:val="24"/>
          <w:szCs w:val="24"/>
        </w:rPr>
        <w:t>Journal of Economic Behavior and Organization</w:t>
      </w:r>
      <w:r w:rsidRPr="0091374D">
        <w:rPr>
          <w:rFonts w:ascii="Times New Roman" w:hAnsi="Times New Roman" w:cs="Times New Roman"/>
          <w:noProof/>
          <w:sz w:val="24"/>
          <w:szCs w:val="24"/>
        </w:rPr>
        <w:t>.doi:10.1016/j.jebo.2014.03.001</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noProof/>
          <w:sz w:val="24"/>
          <w:szCs w:val="24"/>
        </w:rPr>
        <w:t>Farook, S. (2007). 'On corporate social responsibility of islamic financial institutions',</w:t>
      </w:r>
      <w:r w:rsidRPr="0091374D">
        <w:rPr>
          <w:rFonts w:ascii="Times New Roman" w:hAnsi="Times New Roman" w:cs="Times New Roman"/>
          <w:i/>
          <w:noProof/>
          <w:sz w:val="24"/>
          <w:szCs w:val="24"/>
        </w:rPr>
        <w:t xml:space="preserve"> IslamicEconomic Studies</w:t>
      </w:r>
      <w:r w:rsidRPr="0091374D">
        <w:rPr>
          <w:rFonts w:ascii="Times New Roman" w:hAnsi="Times New Roman" w:cs="Times New Roman"/>
          <w:noProof/>
          <w:sz w:val="24"/>
          <w:szCs w:val="24"/>
        </w:rPr>
        <w:t xml:space="preserve">, </w:t>
      </w:r>
      <w:r w:rsidRPr="0091374D">
        <w:rPr>
          <w:rFonts w:ascii="Times New Roman" w:hAnsi="Times New Roman" w:cs="Times New Roman"/>
          <w:i/>
          <w:noProof/>
          <w:sz w:val="24"/>
          <w:szCs w:val="24"/>
        </w:rPr>
        <w:t>15(1)</w:t>
      </w:r>
      <w:r w:rsidRPr="0091374D">
        <w:rPr>
          <w:rFonts w:ascii="Times New Roman" w:hAnsi="Times New Roman" w:cs="Times New Roman"/>
          <w:noProof/>
          <w:sz w:val="24"/>
          <w:szCs w:val="24"/>
        </w:rPr>
        <w:t>,31-46.</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noProof/>
          <w:sz w:val="24"/>
          <w:szCs w:val="24"/>
        </w:rPr>
        <w:t xml:space="preserve">Farook, S., Hassan M. K., &amp; Lanis, R. (2011). 'Determinants of corporate social responsibility disclosure : the case of Islamic banks', </w:t>
      </w:r>
      <w:r w:rsidRPr="0091374D">
        <w:rPr>
          <w:rFonts w:ascii="Times New Roman" w:hAnsi="Times New Roman" w:cs="Times New Roman"/>
          <w:i/>
          <w:noProof/>
          <w:sz w:val="24"/>
          <w:szCs w:val="24"/>
        </w:rPr>
        <w:t>Journal OfIslamic Accounting and Business Research</w:t>
      </w:r>
      <w:r w:rsidRPr="0091374D">
        <w:rPr>
          <w:rFonts w:ascii="Times New Roman" w:hAnsi="Times New Roman" w:cs="Times New Roman"/>
          <w:noProof/>
          <w:sz w:val="24"/>
          <w:szCs w:val="24"/>
        </w:rPr>
        <w:t xml:space="preserve">, </w:t>
      </w:r>
      <w:r w:rsidRPr="0091374D">
        <w:rPr>
          <w:rFonts w:ascii="Times New Roman" w:hAnsi="Times New Roman" w:cs="Times New Roman"/>
          <w:i/>
          <w:noProof/>
          <w:sz w:val="24"/>
          <w:szCs w:val="24"/>
        </w:rPr>
        <w:t>2(2)</w:t>
      </w:r>
      <w:r w:rsidRPr="0091374D">
        <w:rPr>
          <w:rFonts w:ascii="Times New Roman" w:hAnsi="Times New Roman" w:cs="Times New Roman"/>
          <w:noProof/>
          <w:sz w:val="24"/>
          <w:szCs w:val="24"/>
        </w:rPr>
        <w:t>,114–141. doi.10.1108/17590811111170539</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Kamla, R., &amp; G. Rammal, H. (2013). Social reporting by Islamic banks: does social justice matter?. </w:t>
      </w:r>
      <w:r w:rsidRPr="0091374D">
        <w:rPr>
          <w:rFonts w:ascii="Times New Roman" w:hAnsi="Times New Roman" w:cs="Times New Roman"/>
          <w:i/>
          <w:iCs/>
          <w:color w:val="222222"/>
          <w:sz w:val="24"/>
          <w:szCs w:val="24"/>
          <w:shd w:val="clear" w:color="auto" w:fill="FFFFFF"/>
        </w:rPr>
        <w:t>Accounting, Auditing &amp; Accountability Journal</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26</w:t>
      </w:r>
      <w:r w:rsidRPr="0091374D">
        <w:rPr>
          <w:rFonts w:ascii="Times New Roman" w:hAnsi="Times New Roman" w:cs="Times New Roman"/>
          <w:color w:val="222222"/>
          <w:sz w:val="24"/>
          <w:szCs w:val="24"/>
          <w:shd w:val="clear" w:color="auto" w:fill="FFFFFF"/>
        </w:rPr>
        <w:t>(6), 911-945.doi:</w:t>
      </w:r>
      <w:r w:rsidRPr="0091374D">
        <w:rPr>
          <w:rFonts w:ascii="Times New Roman" w:hAnsi="Times New Roman" w:cs="Times New Roman"/>
          <w:noProof/>
          <w:sz w:val="24"/>
          <w:szCs w:val="24"/>
        </w:rPr>
        <w:t xml:space="preserve"> 10.1108/AAAJ-03-2013-1268</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 xml:space="preserve">Khan, H. U. Z., Halabi, A. K., &amp; Samy, M. (2009). Corporate social responsibility (CSR) </w:t>
      </w:r>
      <w:r w:rsidRPr="0091374D">
        <w:rPr>
          <w:rFonts w:ascii="Times New Roman" w:hAnsi="Times New Roman" w:cs="Times New Roman"/>
          <w:color w:val="222222"/>
          <w:sz w:val="24"/>
          <w:szCs w:val="24"/>
          <w:shd w:val="clear" w:color="auto" w:fill="FFFFFF"/>
        </w:rPr>
        <w:lastRenderedPageBreak/>
        <w:t>reporting: a study of selected banking companies in Bangladesh. </w:t>
      </w:r>
      <w:r w:rsidRPr="0091374D">
        <w:rPr>
          <w:rFonts w:ascii="Times New Roman" w:hAnsi="Times New Roman" w:cs="Times New Roman"/>
          <w:i/>
          <w:iCs/>
          <w:color w:val="222222"/>
          <w:sz w:val="24"/>
          <w:szCs w:val="24"/>
          <w:shd w:val="clear" w:color="auto" w:fill="FFFFFF"/>
        </w:rPr>
        <w:t>Social responsibility journal</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5</w:t>
      </w:r>
      <w:r w:rsidRPr="0091374D">
        <w:rPr>
          <w:rFonts w:ascii="Times New Roman" w:hAnsi="Times New Roman" w:cs="Times New Roman"/>
          <w:color w:val="222222"/>
          <w:sz w:val="24"/>
          <w:szCs w:val="24"/>
          <w:shd w:val="clear" w:color="auto" w:fill="FFFFFF"/>
        </w:rPr>
        <w:t>(3), 344-357.doi:</w:t>
      </w:r>
      <w:r w:rsidRPr="0091374D">
        <w:rPr>
          <w:rFonts w:ascii="Times New Roman" w:hAnsi="Times New Roman" w:cs="Times New Roman"/>
          <w:noProof/>
          <w:sz w:val="24"/>
          <w:szCs w:val="24"/>
        </w:rPr>
        <w:t xml:space="preserve"> 10.1108/17471110910977276</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Khan, M.M., &amp; Bhatti, M.I., (2008). Islamic banking and finance: on its way to globalization. </w:t>
      </w:r>
      <w:r w:rsidRPr="0091374D">
        <w:rPr>
          <w:rFonts w:ascii="Times New Roman" w:hAnsi="Times New Roman" w:cs="Times New Roman"/>
          <w:i/>
          <w:iCs/>
          <w:color w:val="222222"/>
          <w:sz w:val="24"/>
          <w:szCs w:val="24"/>
          <w:shd w:val="clear" w:color="auto" w:fill="FFFFFF"/>
        </w:rPr>
        <w:t>Managerial Finance</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34</w:t>
      </w:r>
      <w:r w:rsidRPr="0091374D">
        <w:rPr>
          <w:rFonts w:ascii="Times New Roman" w:hAnsi="Times New Roman" w:cs="Times New Roman"/>
          <w:color w:val="222222"/>
          <w:sz w:val="24"/>
          <w:szCs w:val="24"/>
          <w:shd w:val="clear" w:color="auto" w:fill="FFFFFF"/>
        </w:rPr>
        <w:t>(10), 708-725.doi:</w:t>
      </w:r>
      <w:r w:rsidRPr="0091374D">
        <w:rPr>
          <w:rFonts w:ascii="Times New Roman" w:hAnsi="Times New Roman" w:cs="Times New Roman"/>
          <w:noProof/>
          <w:sz w:val="24"/>
          <w:szCs w:val="24"/>
        </w:rPr>
        <w:t xml:space="preserve"> 10.1108/03074350810891029</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222222"/>
          <w:sz w:val="24"/>
          <w:szCs w:val="24"/>
          <w:shd w:val="clear" w:color="auto" w:fill="FFFFFF"/>
        </w:rPr>
      </w:pPr>
      <w:r w:rsidRPr="0091374D">
        <w:rPr>
          <w:rFonts w:ascii="Times New Roman" w:hAnsi="Times New Roman" w:cs="Times New Roman"/>
          <w:color w:val="222222"/>
          <w:sz w:val="24"/>
          <w:szCs w:val="24"/>
          <w:shd w:val="clear" w:color="auto" w:fill="FFFFFF"/>
        </w:rPr>
        <w:t>Samina, Q. S. (2012). Practice of corporate social responsibility in Islamic banks of Bangladesh. </w:t>
      </w:r>
      <w:r w:rsidRPr="0091374D">
        <w:rPr>
          <w:rFonts w:ascii="Times New Roman" w:hAnsi="Times New Roman" w:cs="Times New Roman"/>
          <w:i/>
          <w:iCs/>
          <w:color w:val="222222"/>
          <w:sz w:val="24"/>
          <w:szCs w:val="24"/>
          <w:shd w:val="clear" w:color="auto" w:fill="FFFFFF"/>
        </w:rPr>
        <w:t>World</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2</w:t>
      </w:r>
      <w:r w:rsidRPr="0091374D">
        <w:rPr>
          <w:rFonts w:ascii="Times New Roman" w:hAnsi="Times New Roman" w:cs="Times New Roman"/>
          <w:color w:val="222222"/>
          <w:sz w:val="24"/>
          <w:szCs w:val="24"/>
          <w:shd w:val="clear" w:color="auto" w:fill="FFFFFF"/>
        </w:rPr>
        <w:t>(6), 1-13.</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222222"/>
          <w:sz w:val="24"/>
          <w:szCs w:val="24"/>
          <w:shd w:val="clear" w:color="auto" w:fill="FFFFFF"/>
        </w:rPr>
      </w:pPr>
      <w:r w:rsidRPr="0091374D">
        <w:rPr>
          <w:rFonts w:ascii="Times New Roman" w:hAnsi="Times New Roman" w:cs="Times New Roman"/>
          <w:color w:val="222222"/>
          <w:sz w:val="24"/>
          <w:szCs w:val="24"/>
          <w:shd w:val="clear" w:color="auto" w:fill="FFFFFF"/>
        </w:rPr>
        <w:t>Maali, B., Casson, P., &amp; Napier, C. (2006). Social reporting by Islamic banks. </w:t>
      </w:r>
      <w:r w:rsidRPr="0091374D">
        <w:rPr>
          <w:rFonts w:ascii="Times New Roman" w:hAnsi="Times New Roman" w:cs="Times New Roman"/>
          <w:i/>
          <w:iCs/>
          <w:color w:val="222222"/>
          <w:sz w:val="24"/>
          <w:szCs w:val="24"/>
          <w:shd w:val="clear" w:color="auto" w:fill="FFFFFF"/>
        </w:rPr>
        <w:t>Abacus</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42</w:t>
      </w:r>
      <w:r w:rsidRPr="0091374D">
        <w:rPr>
          <w:rFonts w:ascii="Times New Roman" w:hAnsi="Times New Roman" w:cs="Times New Roman"/>
          <w:color w:val="222222"/>
          <w:sz w:val="24"/>
          <w:szCs w:val="24"/>
          <w:shd w:val="clear" w:color="auto" w:fill="FFFFFF"/>
        </w:rPr>
        <w:t>(2), 266-289.</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Sobhani, F. A., Zainuddin, Y., &amp; Amran, A. (2011). Religion as an emerging institutional factor behind sustainability disclosure practices in Bangladesh: the case of an islamic bank. </w:t>
      </w:r>
      <w:r w:rsidRPr="0091374D">
        <w:rPr>
          <w:rFonts w:ascii="Times New Roman" w:hAnsi="Times New Roman" w:cs="Times New Roman"/>
          <w:i/>
          <w:iCs/>
          <w:color w:val="222222"/>
          <w:sz w:val="24"/>
          <w:szCs w:val="24"/>
          <w:shd w:val="clear" w:color="auto" w:fill="FFFFFF"/>
        </w:rPr>
        <w:t>World Journal of Social Sciences</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1</w:t>
      </w:r>
      <w:r w:rsidRPr="0091374D">
        <w:rPr>
          <w:rFonts w:ascii="Times New Roman" w:hAnsi="Times New Roman" w:cs="Times New Roman"/>
          <w:color w:val="222222"/>
          <w:sz w:val="24"/>
          <w:szCs w:val="24"/>
          <w:shd w:val="clear" w:color="auto" w:fill="FFFFFF"/>
        </w:rPr>
        <w:t>(1), 69-85.</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1374D">
        <w:rPr>
          <w:rFonts w:ascii="Times New Roman" w:hAnsi="Times New Roman" w:cs="Times New Roman"/>
          <w:color w:val="222222"/>
          <w:sz w:val="24"/>
          <w:szCs w:val="24"/>
          <w:shd w:val="clear" w:color="auto" w:fill="FFFFFF"/>
        </w:rPr>
        <w:t>Tsoutsoura, M. (2004). Corporate social responsibility and financial performance. </w:t>
      </w:r>
      <w:r w:rsidRPr="0091374D">
        <w:rPr>
          <w:rFonts w:ascii="Times New Roman" w:hAnsi="Times New Roman" w:cs="Times New Roman"/>
          <w:i/>
          <w:iCs/>
          <w:color w:val="222222"/>
          <w:sz w:val="24"/>
          <w:szCs w:val="24"/>
          <w:shd w:val="clear" w:color="auto" w:fill="FFFFFF"/>
        </w:rPr>
        <w:t>Center for responsible business</w:t>
      </w:r>
      <w:r w:rsidRPr="0091374D">
        <w:rPr>
          <w:rFonts w:ascii="Times New Roman" w:hAnsi="Times New Roman" w:cs="Times New Roman"/>
          <w:color w:val="222222"/>
          <w:sz w:val="24"/>
          <w:szCs w:val="24"/>
          <w:shd w:val="clear" w:color="auto" w:fill="FFFFFF"/>
        </w:rPr>
        <w:t>.</w:t>
      </w:r>
    </w:p>
    <w:p w:rsidR="005539A8" w:rsidRPr="0091374D" w:rsidRDefault="005539A8" w:rsidP="005539A8">
      <w:pPr>
        <w:widowControl w:val="0"/>
        <w:autoSpaceDE w:val="0"/>
        <w:autoSpaceDN w:val="0"/>
        <w:adjustRightInd w:val="0"/>
        <w:spacing w:after="0" w:line="360" w:lineRule="auto"/>
        <w:ind w:left="480" w:hanging="480"/>
        <w:jc w:val="both"/>
        <w:rPr>
          <w:rFonts w:ascii="Times New Roman" w:hAnsi="Times New Roman" w:cs="Times New Roman"/>
          <w:color w:val="222222"/>
          <w:sz w:val="24"/>
          <w:szCs w:val="24"/>
          <w:shd w:val="clear" w:color="auto" w:fill="FFFFFF"/>
        </w:rPr>
      </w:pPr>
      <w:r w:rsidRPr="0091374D">
        <w:rPr>
          <w:rFonts w:ascii="Times New Roman" w:hAnsi="Times New Roman" w:cs="Times New Roman"/>
          <w:color w:val="222222"/>
          <w:sz w:val="24"/>
          <w:szCs w:val="24"/>
          <w:shd w:val="clear" w:color="auto" w:fill="FFFFFF"/>
        </w:rPr>
        <w:t>Vinnicombe, T. (2012). A study of compliance with AAOIFI accounting standards by Islamic banks in Bahrain. </w:t>
      </w:r>
      <w:r w:rsidRPr="0091374D">
        <w:rPr>
          <w:rFonts w:ascii="Times New Roman" w:hAnsi="Times New Roman" w:cs="Times New Roman"/>
          <w:i/>
          <w:iCs/>
          <w:color w:val="222222"/>
          <w:sz w:val="24"/>
          <w:szCs w:val="24"/>
          <w:shd w:val="clear" w:color="auto" w:fill="FFFFFF"/>
        </w:rPr>
        <w:t>Journal of Islamic Accounting and Business Research</w:t>
      </w:r>
      <w:r w:rsidRPr="0091374D">
        <w:rPr>
          <w:rFonts w:ascii="Times New Roman" w:hAnsi="Times New Roman" w:cs="Times New Roman"/>
          <w:color w:val="222222"/>
          <w:sz w:val="24"/>
          <w:szCs w:val="24"/>
          <w:shd w:val="clear" w:color="auto" w:fill="FFFFFF"/>
        </w:rPr>
        <w:t>, </w:t>
      </w:r>
      <w:r w:rsidRPr="0091374D">
        <w:rPr>
          <w:rFonts w:ascii="Times New Roman" w:hAnsi="Times New Roman" w:cs="Times New Roman"/>
          <w:i/>
          <w:iCs/>
          <w:color w:val="222222"/>
          <w:sz w:val="24"/>
          <w:szCs w:val="24"/>
          <w:shd w:val="clear" w:color="auto" w:fill="FFFFFF"/>
        </w:rPr>
        <w:t>3</w:t>
      </w:r>
      <w:r w:rsidRPr="0091374D">
        <w:rPr>
          <w:rFonts w:ascii="Times New Roman" w:hAnsi="Times New Roman" w:cs="Times New Roman"/>
          <w:color w:val="222222"/>
          <w:sz w:val="24"/>
          <w:szCs w:val="24"/>
          <w:shd w:val="clear" w:color="auto" w:fill="FFFFFF"/>
        </w:rPr>
        <w:t>(2), 78-98</w:t>
      </w:r>
    </w:p>
    <w:p w:rsidR="005539A8" w:rsidRPr="0091374D" w:rsidRDefault="005539A8" w:rsidP="005539A8">
      <w:pPr>
        <w:widowControl w:val="0"/>
        <w:autoSpaceDE w:val="0"/>
        <w:autoSpaceDN w:val="0"/>
        <w:adjustRightInd w:val="0"/>
        <w:spacing w:after="0" w:line="360" w:lineRule="auto"/>
        <w:rPr>
          <w:rFonts w:ascii="Times New Roman" w:hAnsi="Times New Roman" w:cs="Times New Roman"/>
          <w:b/>
          <w:noProof/>
          <w:sz w:val="26"/>
          <w:szCs w:val="24"/>
        </w:rPr>
      </w:pPr>
    </w:p>
    <w:p w:rsidR="005539A8" w:rsidRPr="0091374D" w:rsidRDefault="005539A8" w:rsidP="005539A8">
      <w:pPr>
        <w:autoSpaceDE w:val="0"/>
        <w:autoSpaceDN w:val="0"/>
        <w:adjustRightInd w:val="0"/>
        <w:spacing w:after="0" w:line="360" w:lineRule="auto"/>
        <w:jc w:val="both"/>
        <w:rPr>
          <w:rFonts w:ascii="Times New Roman" w:hAnsi="Times New Roman" w:cs="Times New Roman"/>
          <w:b/>
          <w:iCs/>
          <w:sz w:val="24"/>
          <w:szCs w:val="24"/>
        </w:rPr>
        <w:sectPr w:rsidR="005539A8" w:rsidRPr="0091374D" w:rsidSect="00CE1AFC">
          <w:pgSz w:w="11907" w:h="16839" w:code="9"/>
          <w:pgMar w:top="1440" w:right="1440" w:bottom="1440" w:left="1440" w:header="720" w:footer="720" w:gutter="0"/>
          <w:cols w:space="720"/>
          <w:titlePg/>
          <w:docGrid w:linePitch="360"/>
        </w:sectPr>
      </w:pPr>
      <w:r w:rsidRPr="0091374D">
        <w:rPr>
          <w:rFonts w:ascii="Times New Roman" w:hAnsi="Times New Roman" w:cs="Times New Roman"/>
          <w:b/>
          <w:iCs/>
          <w:sz w:val="24"/>
          <w:szCs w:val="24"/>
        </w:rPr>
        <w:fldChar w:fldCharType="end"/>
      </w:r>
    </w:p>
    <w:p w:rsidR="005539A8" w:rsidRPr="0091374D" w:rsidRDefault="005539A8" w:rsidP="005539A8">
      <w:pPr>
        <w:autoSpaceDE w:val="0"/>
        <w:autoSpaceDN w:val="0"/>
        <w:adjustRightInd w:val="0"/>
        <w:spacing w:after="0" w:line="240" w:lineRule="auto"/>
        <w:jc w:val="center"/>
        <w:rPr>
          <w:rFonts w:ascii="Times New Roman" w:hAnsi="Times New Roman" w:cs="Times New Roman"/>
          <w:b/>
          <w:iCs/>
          <w:sz w:val="26"/>
          <w:szCs w:val="26"/>
        </w:rPr>
      </w:pPr>
      <w:r w:rsidRPr="0091374D">
        <w:rPr>
          <w:rFonts w:ascii="Times New Roman" w:hAnsi="Times New Roman" w:cs="Times New Roman"/>
          <w:b/>
          <w:iCs/>
          <w:sz w:val="26"/>
          <w:szCs w:val="26"/>
        </w:rPr>
        <w:lastRenderedPageBreak/>
        <w:t>Appendix</w:t>
      </w:r>
    </w:p>
    <w:p w:rsidR="005539A8" w:rsidRPr="0091374D" w:rsidRDefault="005539A8" w:rsidP="005539A8">
      <w:pPr>
        <w:autoSpaceDE w:val="0"/>
        <w:autoSpaceDN w:val="0"/>
        <w:adjustRightInd w:val="0"/>
        <w:spacing w:after="0" w:line="240" w:lineRule="auto"/>
        <w:jc w:val="center"/>
        <w:rPr>
          <w:rFonts w:ascii="Times New Roman" w:hAnsi="Times New Roman" w:cs="Times New Roman"/>
          <w:b/>
          <w:iCs/>
          <w:sz w:val="26"/>
          <w:szCs w:val="26"/>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Measurement Dimensions Detailed</w:t>
      </w: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Dimension 1: Strategy Corporate vision</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operates within Sharia principles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FOCUS on stakeholders and distribution of profit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Appreciation to shareholders and customers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building long-lasting relationships with customers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Dimension 2: Governance</w:t>
      </w: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Top management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Name of the board of directors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Position of the board members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Academic qualifications of board</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Profile of the board of directors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Remuneration of the board of directors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Shareholding of the board of directors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Various sub-committees which exist and number of meeting held</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Audit committee exists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Multi-directorship exist among board of directors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Name and position of the management team</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Member in the subcommittee of the management team members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Academic qualifications of the management team</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Governance structure of the IB including committees under the highest governance</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Body responsible for specific task, such as setting strategy or organizational oversight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Mechanism for shareholders and employees to provide recommendations or direction</w:t>
      </w:r>
      <w:r>
        <w:rPr>
          <w:rFonts w:ascii="Times New Roman" w:hAnsi="Times New Roman" w:cs="Times New Roman"/>
          <w:sz w:val="24"/>
          <w:szCs w:val="24"/>
        </w:rPr>
        <w:t xml:space="preserve"> </w:t>
      </w:r>
      <w:r w:rsidRPr="0091374D">
        <w:rPr>
          <w:rFonts w:ascii="Times New Roman" w:hAnsi="Times New Roman" w:cs="Times New Roman"/>
          <w:sz w:val="24"/>
          <w:szCs w:val="24"/>
        </w:rPr>
        <w:t>to the highest governance body and annual general body meeting</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risk management practices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
          <w:iCs/>
          <w:sz w:val="24"/>
          <w:szCs w:val="24"/>
        </w:rPr>
      </w:pPr>
      <w:r w:rsidRPr="0091374D">
        <w:rPr>
          <w:rFonts w:ascii="Times New Roman" w:hAnsi="Times New Roman" w:cs="Times New Roman"/>
          <w:b/>
          <w:iCs/>
          <w:sz w:val="24"/>
          <w:szCs w:val="24"/>
        </w:rPr>
        <w:t>Sharia compliant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Name of Sharia Supervisory Board (SSB) members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Qualifications of SSB members</w:t>
      </w:r>
      <w:r w:rsidRPr="0091374D">
        <w:rPr>
          <w:rFonts w:ascii="Times New Roman" w:hAnsi="Times New Roman" w:cs="Times New Roman"/>
          <w:i/>
          <w:iCs/>
          <w:sz w:val="24"/>
          <w:szCs w:val="24"/>
        </w:rPr>
        <w: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Number of SSB members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Remuneration of members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Report sign by all members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Number of meetings held</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Examination of documents based on sample</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No defects in products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Report defects in product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Report of SSB</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Nature of unlawful transactions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Certification of distribution of profits/losses complying with Sharia</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Zakat calculated according to Sharia</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Sharia screening during investment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Dimension 3: Product</w:t>
      </w: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Product, services, and fair dealing with supply chain</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Introduction of SSB-approved new product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Basis of Sharia concept on new products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lastRenderedPageBreak/>
        <w:t>• Glossary/definition of new product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No investment in non-permissible activities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Nature of unlawful transaction</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Fair dealing with those in supply chain</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Promotion of research and development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Market survey and feasibility report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Dimension 4: Community development and social goals</w:t>
      </w: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Strategic social development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funding to organizations that provide benefits to community for social equity</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fostering strong links with the community/public service</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creating job opportunities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Amount spent in community activities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Participation in government-sponsored social activities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Zakat payment – monetary</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Zakat payment – beneficiaries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Qardh</w:t>
      </w:r>
      <w:proofErr w:type="spellEnd"/>
      <w:r w:rsidRPr="0091374D">
        <w:rPr>
          <w:rFonts w:ascii="Times New Roman" w:hAnsi="Times New Roman" w:cs="Times New Roman"/>
          <w:sz w:val="24"/>
          <w:szCs w:val="24"/>
        </w:rPr>
        <w:t>-Hassan – monetary</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Qardh</w:t>
      </w:r>
      <w:proofErr w:type="spellEnd"/>
      <w:r w:rsidRPr="0091374D">
        <w:rPr>
          <w:rFonts w:ascii="Times New Roman" w:hAnsi="Times New Roman" w:cs="Times New Roman"/>
          <w:sz w:val="24"/>
          <w:szCs w:val="24"/>
        </w:rPr>
        <w:t>-Hassan – beneficiaries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Sadaqah</w:t>
      </w:r>
      <w:proofErr w:type="spellEnd"/>
      <w:r w:rsidRPr="0091374D">
        <w:rPr>
          <w:rFonts w:ascii="Times New Roman" w:hAnsi="Times New Roman" w:cs="Times New Roman"/>
          <w:sz w:val="24"/>
          <w:szCs w:val="24"/>
        </w:rPr>
        <w:t xml:space="preserve"> – monetary</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Sadaqah</w:t>
      </w:r>
      <w:proofErr w:type="spellEnd"/>
      <w:r w:rsidRPr="0091374D">
        <w:rPr>
          <w:rFonts w:ascii="Times New Roman" w:hAnsi="Times New Roman" w:cs="Times New Roman"/>
          <w:sz w:val="24"/>
          <w:szCs w:val="24"/>
        </w:rPr>
        <w:t xml:space="preserve"> – beneficiaries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Community cohesion</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Debt policy and amount of debts written off</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Dimension 5: Employment</w:t>
      </w: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Employees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Equal opportunities policy</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xml:space="preserve">• </w:t>
      </w:r>
      <w:r>
        <w:rPr>
          <w:rFonts w:ascii="Times New Roman" w:hAnsi="Times New Roman" w:cs="Times New Roman"/>
          <w:sz w:val="24"/>
          <w:szCs w:val="24"/>
        </w:rPr>
        <w:t>E</w:t>
      </w:r>
      <w:r w:rsidRPr="0091374D">
        <w:rPr>
          <w:rFonts w:ascii="Times New Roman" w:hAnsi="Times New Roman" w:cs="Times New Roman"/>
          <w:sz w:val="24"/>
          <w:szCs w:val="24"/>
        </w:rPr>
        <w:t>mployees’ welfare</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ensuring diversity</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Training: Sharia awareness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Training: professional skill</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Encouraging talent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keeping policy of international labor standard</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Reward for employees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Employees’ appreciation</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focus on safety of staff</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Research, development and training</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Capacity building</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Regular performance and career development report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Strategy formulation and decision-making support to the top management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standardize training curriculum</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Database management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Dimension 6: Environment</w:t>
      </w:r>
    </w:p>
    <w:p w:rsidR="005539A8" w:rsidRPr="0091374D" w:rsidRDefault="005539A8" w:rsidP="005539A8">
      <w:pPr>
        <w:autoSpaceDE w:val="0"/>
        <w:autoSpaceDN w:val="0"/>
        <w:adjustRightInd w:val="0"/>
        <w:spacing w:after="0" w:line="240" w:lineRule="auto"/>
        <w:rPr>
          <w:rFonts w:ascii="Times New Roman" w:hAnsi="Times New Roman" w:cs="Times New Roman"/>
          <w:b/>
          <w:iCs/>
          <w:sz w:val="24"/>
          <w:szCs w:val="24"/>
        </w:rPr>
      </w:pPr>
      <w:r w:rsidRPr="0091374D">
        <w:rPr>
          <w:rFonts w:ascii="Times New Roman" w:hAnsi="Times New Roman" w:cs="Times New Roman"/>
          <w:b/>
          <w:iCs/>
          <w:sz w:val="24"/>
          <w:szCs w:val="24"/>
        </w:rPr>
        <w:t>Environment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Introduction of green product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Glossary/definition of green product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Investment in recycling bin project (recycling for nature) and other sustainable</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Development project</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lastRenderedPageBreak/>
        <w:t>• Amount of donation in environmental awareness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financing in any project which may lead to environmental damage</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Investment in sustainable development projects</w:t>
      </w:r>
    </w:p>
    <w:p w:rsidR="005539A8" w:rsidRPr="0091374D" w:rsidRDefault="005539A8" w:rsidP="005539A8">
      <w:pPr>
        <w:autoSpaceDE w:val="0"/>
        <w:autoSpaceDN w:val="0"/>
        <w:adjustRightInd w:val="0"/>
        <w:spacing w:after="0" w:line="240" w:lineRule="auto"/>
        <w:rPr>
          <w:rFonts w:ascii="Times New Roman" w:hAnsi="Times New Roman" w:cs="Times New Roman"/>
          <w:sz w:val="24"/>
          <w:szCs w:val="24"/>
        </w:rPr>
      </w:pPr>
      <w:r w:rsidRPr="0091374D">
        <w:rPr>
          <w:rFonts w:ascii="Times New Roman" w:hAnsi="Times New Roman" w:cs="Times New Roman"/>
          <w:sz w:val="24"/>
          <w:szCs w:val="24"/>
        </w:rPr>
        <w:t>• Initiatives to mitigate environmental impacts of product and services, and extent of impact mitigation</w:t>
      </w:r>
    </w:p>
    <w:p w:rsidR="005539A8" w:rsidRPr="0091374D" w:rsidRDefault="005539A8" w:rsidP="005539A8">
      <w:pPr>
        <w:autoSpaceDE w:val="0"/>
        <w:autoSpaceDN w:val="0"/>
        <w:adjustRightInd w:val="0"/>
        <w:spacing w:after="0" w:line="360" w:lineRule="auto"/>
        <w:rPr>
          <w:rFonts w:ascii="Times New Roman" w:hAnsi="Times New Roman" w:cs="Times New Roman"/>
          <w:iCs/>
          <w:sz w:val="24"/>
          <w:szCs w:val="24"/>
        </w:rPr>
      </w:pPr>
      <w:r w:rsidRPr="0091374D">
        <w:rPr>
          <w:rFonts w:ascii="Times New Roman" w:hAnsi="Times New Roman" w:cs="Times New Roman"/>
          <w:sz w:val="24"/>
          <w:szCs w:val="24"/>
        </w:rPr>
        <w:t>• focus on risk-based corrective actions</w:t>
      </w:r>
      <w:bookmarkEnd w:id="1"/>
    </w:p>
    <w:p w:rsidR="005E2533" w:rsidRDefault="009C3849"/>
    <w:sectPr w:rsidR="005E2533" w:rsidSect="00CE1A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49" w:rsidRDefault="009C3849">
      <w:pPr>
        <w:spacing w:after="0" w:line="240" w:lineRule="auto"/>
      </w:pPr>
      <w:r>
        <w:separator/>
      </w:r>
    </w:p>
  </w:endnote>
  <w:endnote w:type="continuationSeparator" w:id="0">
    <w:p w:rsidR="009C3849" w:rsidRDefault="009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NeueLTStd-L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6" w:rsidRDefault="009C3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6" w:rsidRDefault="009C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49" w:rsidRDefault="009C3849">
      <w:pPr>
        <w:spacing w:after="0" w:line="240" w:lineRule="auto"/>
      </w:pPr>
      <w:r>
        <w:separator/>
      </w:r>
    </w:p>
  </w:footnote>
  <w:footnote w:type="continuationSeparator" w:id="0">
    <w:p w:rsidR="009C3849" w:rsidRDefault="009C3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0EF"/>
    <w:multiLevelType w:val="hybridMultilevel"/>
    <w:tmpl w:val="24B240BA"/>
    <w:lvl w:ilvl="0" w:tplc="1E5E7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C62EA"/>
    <w:multiLevelType w:val="hybridMultilevel"/>
    <w:tmpl w:val="CFA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E0705"/>
    <w:multiLevelType w:val="hybridMultilevel"/>
    <w:tmpl w:val="E13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C0DB8"/>
    <w:multiLevelType w:val="hybridMultilevel"/>
    <w:tmpl w:val="6DA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826C6"/>
    <w:multiLevelType w:val="hybridMultilevel"/>
    <w:tmpl w:val="4C08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F7A94"/>
    <w:multiLevelType w:val="hybridMultilevel"/>
    <w:tmpl w:val="9FFC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1128E"/>
    <w:multiLevelType w:val="hybridMultilevel"/>
    <w:tmpl w:val="3C58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A8"/>
    <w:rsid w:val="00495262"/>
    <w:rsid w:val="005539A8"/>
    <w:rsid w:val="007C6000"/>
    <w:rsid w:val="009C3849"/>
    <w:rsid w:val="00BE35E9"/>
    <w:rsid w:val="00CE1AFC"/>
    <w:rsid w:val="00CF3198"/>
    <w:rsid w:val="00D12A2F"/>
    <w:rsid w:val="00FE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A8"/>
    <w:pPr>
      <w:spacing w:after="160" w:line="259" w:lineRule="auto"/>
    </w:pPr>
  </w:style>
  <w:style w:type="paragraph" w:styleId="Heading1">
    <w:name w:val="heading 1"/>
    <w:basedOn w:val="Normal"/>
    <w:next w:val="Normal"/>
    <w:link w:val="Heading1Char"/>
    <w:uiPriority w:val="9"/>
    <w:qFormat/>
    <w:rsid w:val="005539A8"/>
    <w:pPr>
      <w:keepNext/>
      <w:keepLines/>
      <w:spacing w:before="240" w:after="0" w:line="276" w:lineRule="auto"/>
      <w:outlineLvl w:val="0"/>
    </w:pPr>
    <w:rPr>
      <w:rFonts w:asciiTheme="majorHAnsi" w:eastAsiaTheme="majorEastAsia" w:hAnsiTheme="majorHAnsi" w:cstheme="majorBidi"/>
      <w:color w:val="365F91" w:themeColor="accent1" w:themeShade="BF"/>
      <w:sz w:val="32"/>
      <w:szCs w:val="40"/>
      <w:lang w:bidi="bn-BD"/>
    </w:rPr>
  </w:style>
  <w:style w:type="paragraph" w:styleId="Heading2">
    <w:name w:val="heading 2"/>
    <w:basedOn w:val="Normal"/>
    <w:next w:val="Normal"/>
    <w:link w:val="Heading2Char"/>
    <w:uiPriority w:val="9"/>
    <w:unhideWhenUsed/>
    <w:qFormat/>
    <w:rsid w:val="005539A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A8"/>
    <w:rPr>
      <w:rFonts w:asciiTheme="majorHAnsi" w:eastAsiaTheme="majorEastAsia" w:hAnsiTheme="majorHAnsi" w:cstheme="majorBidi"/>
      <w:color w:val="365F91" w:themeColor="accent1" w:themeShade="BF"/>
      <w:sz w:val="32"/>
      <w:szCs w:val="40"/>
      <w:lang w:bidi="bn-BD"/>
    </w:rPr>
  </w:style>
  <w:style w:type="character" w:customStyle="1" w:styleId="Heading2Char">
    <w:name w:val="Heading 2 Char"/>
    <w:basedOn w:val="DefaultParagraphFont"/>
    <w:link w:val="Heading2"/>
    <w:uiPriority w:val="9"/>
    <w:rsid w:val="005539A8"/>
    <w:rPr>
      <w:rFonts w:asciiTheme="majorHAnsi" w:eastAsiaTheme="majorEastAsia" w:hAnsiTheme="majorHAnsi" w:cstheme="majorBidi"/>
      <w:b/>
      <w:bCs/>
      <w:i/>
      <w:iCs/>
      <w:sz w:val="28"/>
      <w:szCs w:val="28"/>
    </w:rPr>
  </w:style>
  <w:style w:type="paragraph" w:styleId="Footer">
    <w:name w:val="footer"/>
    <w:basedOn w:val="Normal"/>
    <w:link w:val="FooterChar"/>
    <w:uiPriority w:val="99"/>
    <w:unhideWhenUsed/>
    <w:rsid w:val="0055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A8"/>
  </w:style>
  <w:style w:type="paragraph" w:styleId="ListParagraph">
    <w:name w:val="List Paragraph"/>
    <w:basedOn w:val="Normal"/>
    <w:uiPriority w:val="34"/>
    <w:qFormat/>
    <w:rsid w:val="005539A8"/>
    <w:pPr>
      <w:ind w:left="720"/>
      <w:contextualSpacing/>
    </w:pPr>
  </w:style>
  <w:style w:type="table" w:customStyle="1" w:styleId="PlainTable21">
    <w:name w:val="Plain Table 21"/>
    <w:basedOn w:val="TableNormal"/>
    <w:uiPriority w:val="42"/>
    <w:rsid w:val="005539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5539A8"/>
    <w:rPr>
      <w:i/>
      <w:iCs/>
    </w:rPr>
  </w:style>
  <w:style w:type="paragraph" w:styleId="BalloonText">
    <w:name w:val="Balloon Text"/>
    <w:basedOn w:val="Normal"/>
    <w:link w:val="BalloonTextChar"/>
    <w:uiPriority w:val="99"/>
    <w:semiHidden/>
    <w:unhideWhenUsed/>
    <w:rsid w:val="00553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A8"/>
    <w:pPr>
      <w:spacing w:after="160" w:line="259" w:lineRule="auto"/>
    </w:pPr>
  </w:style>
  <w:style w:type="paragraph" w:styleId="Heading1">
    <w:name w:val="heading 1"/>
    <w:basedOn w:val="Normal"/>
    <w:next w:val="Normal"/>
    <w:link w:val="Heading1Char"/>
    <w:uiPriority w:val="9"/>
    <w:qFormat/>
    <w:rsid w:val="005539A8"/>
    <w:pPr>
      <w:keepNext/>
      <w:keepLines/>
      <w:spacing w:before="240" w:after="0" w:line="276" w:lineRule="auto"/>
      <w:outlineLvl w:val="0"/>
    </w:pPr>
    <w:rPr>
      <w:rFonts w:asciiTheme="majorHAnsi" w:eastAsiaTheme="majorEastAsia" w:hAnsiTheme="majorHAnsi" w:cstheme="majorBidi"/>
      <w:color w:val="365F91" w:themeColor="accent1" w:themeShade="BF"/>
      <w:sz w:val="32"/>
      <w:szCs w:val="40"/>
      <w:lang w:bidi="bn-BD"/>
    </w:rPr>
  </w:style>
  <w:style w:type="paragraph" w:styleId="Heading2">
    <w:name w:val="heading 2"/>
    <w:basedOn w:val="Normal"/>
    <w:next w:val="Normal"/>
    <w:link w:val="Heading2Char"/>
    <w:uiPriority w:val="9"/>
    <w:unhideWhenUsed/>
    <w:qFormat/>
    <w:rsid w:val="005539A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A8"/>
    <w:rPr>
      <w:rFonts w:asciiTheme="majorHAnsi" w:eastAsiaTheme="majorEastAsia" w:hAnsiTheme="majorHAnsi" w:cstheme="majorBidi"/>
      <w:color w:val="365F91" w:themeColor="accent1" w:themeShade="BF"/>
      <w:sz w:val="32"/>
      <w:szCs w:val="40"/>
      <w:lang w:bidi="bn-BD"/>
    </w:rPr>
  </w:style>
  <w:style w:type="character" w:customStyle="1" w:styleId="Heading2Char">
    <w:name w:val="Heading 2 Char"/>
    <w:basedOn w:val="DefaultParagraphFont"/>
    <w:link w:val="Heading2"/>
    <w:uiPriority w:val="9"/>
    <w:rsid w:val="005539A8"/>
    <w:rPr>
      <w:rFonts w:asciiTheme="majorHAnsi" w:eastAsiaTheme="majorEastAsia" w:hAnsiTheme="majorHAnsi" w:cstheme="majorBidi"/>
      <w:b/>
      <w:bCs/>
      <w:i/>
      <w:iCs/>
      <w:sz w:val="28"/>
      <w:szCs w:val="28"/>
    </w:rPr>
  </w:style>
  <w:style w:type="paragraph" w:styleId="Footer">
    <w:name w:val="footer"/>
    <w:basedOn w:val="Normal"/>
    <w:link w:val="FooterChar"/>
    <w:uiPriority w:val="99"/>
    <w:unhideWhenUsed/>
    <w:rsid w:val="0055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A8"/>
  </w:style>
  <w:style w:type="paragraph" w:styleId="ListParagraph">
    <w:name w:val="List Paragraph"/>
    <w:basedOn w:val="Normal"/>
    <w:uiPriority w:val="34"/>
    <w:qFormat/>
    <w:rsid w:val="005539A8"/>
    <w:pPr>
      <w:ind w:left="720"/>
      <w:contextualSpacing/>
    </w:pPr>
  </w:style>
  <w:style w:type="table" w:customStyle="1" w:styleId="PlainTable21">
    <w:name w:val="Plain Table 21"/>
    <w:basedOn w:val="TableNormal"/>
    <w:uiPriority w:val="42"/>
    <w:rsid w:val="005539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5539A8"/>
    <w:rPr>
      <w:i/>
      <w:iCs/>
    </w:rPr>
  </w:style>
  <w:style w:type="paragraph" w:styleId="BalloonText">
    <w:name w:val="Balloon Text"/>
    <w:basedOn w:val="Normal"/>
    <w:link w:val="BalloonTextChar"/>
    <w:uiPriority w:val="99"/>
    <w:semiHidden/>
    <w:unhideWhenUsed/>
    <w:rsid w:val="00553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snin\Documents\symp.coding.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snin\Documents\symp.co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Sheet6!$E$25:$G$31</c:f>
              <c:strCache>
                <c:ptCount val="6"/>
                <c:pt idx="0">
                  <c:v>Strategy</c:v>
                </c:pt>
                <c:pt idx="1">
                  <c:v>Governance</c:v>
                </c:pt>
                <c:pt idx="2">
                  <c:v>Product</c:v>
                </c:pt>
                <c:pt idx="3">
                  <c:v>Community Development &amp; social goals</c:v>
                </c:pt>
                <c:pt idx="4">
                  <c:v>Employment</c:v>
                </c:pt>
                <c:pt idx="5">
                  <c:v>Environment</c:v>
                </c:pt>
              </c:strCache>
            </c:strRef>
          </c:cat>
          <c:val>
            <c:numRef>
              <c:f>Sheet6!$E$25:$E$31</c:f>
              <c:numCache>
                <c:formatCode>General</c:formatCode>
                <c:ptCount val="7"/>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20E3-4C62-929D-47C413037426}"/>
            </c:ext>
          </c:extLst>
        </c:ser>
        <c:ser>
          <c:idx val="1"/>
          <c:order val="1"/>
          <c:spPr>
            <a:solidFill>
              <a:schemeClr val="accent2"/>
            </a:solidFill>
            <a:ln>
              <a:noFill/>
            </a:ln>
            <a:effectLst/>
          </c:spPr>
          <c:invertIfNegative val="0"/>
          <c:cat>
            <c:strRef>
              <c:f>Sheet6!$E$25:$G$31</c:f>
              <c:strCache>
                <c:ptCount val="6"/>
                <c:pt idx="0">
                  <c:v>Strategy</c:v>
                </c:pt>
                <c:pt idx="1">
                  <c:v>Governance</c:v>
                </c:pt>
                <c:pt idx="2">
                  <c:v>Product</c:v>
                </c:pt>
                <c:pt idx="3">
                  <c:v>Community Development &amp; social goals</c:v>
                </c:pt>
                <c:pt idx="4">
                  <c:v>Employment</c:v>
                </c:pt>
                <c:pt idx="5">
                  <c:v>Environment</c:v>
                </c:pt>
              </c:strCache>
            </c:strRef>
          </c:cat>
          <c:val>
            <c:numRef>
              <c:f>Sheet6!$F$25:$F$31</c:f>
              <c:numCache>
                <c:formatCode>General</c:formatCode>
                <c:ptCount val="7"/>
              </c:numCache>
            </c:numRef>
          </c:val>
          <c:extLst xmlns:c16r2="http://schemas.microsoft.com/office/drawing/2015/06/chart">
            <c:ext xmlns:c16="http://schemas.microsoft.com/office/drawing/2014/chart" uri="{C3380CC4-5D6E-409C-BE32-E72D297353CC}">
              <c16:uniqueId val="{00000001-20E3-4C62-929D-47C413037426}"/>
            </c:ext>
          </c:extLst>
        </c:ser>
        <c:ser>
          <c:idx val="2"/>
          <c:order val="2"/>
          <c:spPr>
            <a:solidFill>
              <a:schemeClr val="accent3"/>
            </a:solidFill>
            <a:ln>
              <a:noFill/>
            </a:ln>
            <a:effectLst/>
          </c:spPr>
          <c:invertIfNegative val="0"/>
          <c:cat>
            <c:strRef>
              <c:f>Sheet6!$E$25:$G$31</c:f>
              <c:strCache>
                <c:ptCount val="6"/>
                <c:pt idx="0">
                  <c:v>Strategy</c:v>
                </c:pt>
                <c:pt idx="1">
                  <c:v>Governance</c:v>
                </c:pt>
                <c:pt idx="2">
                  <c:v>Product</c:v>
                </c:pt>
                <c:pt idx="3">
                  <c:v>Community Development &amp; social goals</c:v>
                </c:pt>
                <c:pt idx="4">
                  <c:v>Employment</c:v>
                </c:pt>
                <c:pt idx="5">
                  <c:v>Environment</c:v>
                </c:pt>
              </c:strCache>
            </c:strRef>
          </c:cat>
          <c:val>
            <c:numRef>
              <c:f>Sheet6!$G$25:$G$31</c:f>
              <c:numCache>
                <c:formatCode>General</c:formatCode>
                <c:ptCount val="7"/>
              </c:numCache>
            </c:numRef>
          </c:val>
          <c:extLst xmlns:c16r2="http://schemas.microsoft.com/office/drawing/2015/06/chart">
            <c:ext xmlns:c16="http://schemas.microsoft.com/office/drawing/2014/chart" uri="{C3380CC4-5D6E-409C-BE32-E72D297353CC}">
              <c16:uniqueId val="{00000002-20E3-4C62-929D-47C413037426}"/>
            </c:ext>
          </c:extLst>
        </c:ser>
        <c:ser>
          <c:idx val="3"/>
          <c:order val="3"/>
          <c:spPr>
            <a:solidFill>
              <a:schemeClr val="accent4"/>
            </a:solidFill>
            <a:ln>
              <a:noFill/>
            </a:ln>
            <a:effectLst/>
          </c:spPr>
          <c:invertIfNegative val="0"/>
          <c:cat>
            <c:strRef>
              <c:f>Sheet6!$E$25:$G$31</c:f>
              <c:strCache>
                <c:ptCount val="6"/>
                <c:pt idx="0">
                  <c:v>Strategy</c:v>
                </c:pt>
                <c:pt idx="1">
                  <c:v>Governance</c:v>
                </c:pt>
                <c:pt idx="2">
                  <c:v>Product</c:v>
                </c:pt>
                <c:pt idx="3">
                  <c:v>Community Development &amp; social goals</c:v>
                </c:pt>
                <c:pt idx="4">
                  <c:v>Employment</c:v>
                </c:pt>
                <c:pt idx="5">
                  <c:v>Environment</c:v>
                </c:pt>
              </c:strCache>
            </c:strRef>
          </c:cat>
          <c:val>
            <c:numRef>
              <c:f>Sheet6!$H$25:$H$31</c:f>
              <c:numCache>
                <c:formatCode>General</c:formatCode>
                <c:ptCount val="7"/>
              </c:numCache>
            </c:numRef>
          </c:val>
          <c:extLst xmlns:c16r2="http://schemas.microsoft.com/office/drawing/2015/06/chart">
            <c:ext xmlns:c16="http://schemas.microsoft.com/office/drawing/2014/chart" uri="{C3380CC4-5D6E-409C-BE32-E72D297353CC}">
              <c16:uniqueId val="{00000003-20E3-4C62-929D-47C413037426}"/>
            </c:ext>
          </c:extLst>
        </c:ser>
        <c:ser>
          <c:idx val="4"/>
          <c:order val="4"/>
          <c:spPr>
            <a:solidFill>
              <a:schemeClr val="accent5"/>
            </a:solidFill>
            <a:ln w="57150">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Sheet6!$E$25:$G$31</c:f>
              <c:strCache>
                <c:ptCount val="6"/>
                <c:pt idx="0">
                  <c:v>Strategy</c:v>
                </c:pt>
                <c:pt idx="1">
                  <c:v>Governance</c:v>
                </c:pt>
                <c:pt idx="2">
                  <c:v>Product</c:v>
                </c:pt>
                <c:pt idx="3">
                  <c:v>Community Development &amp; social goals</c:v>
                </c:pt>
                <c:pt idx="4">
                  <c:v>Employment</c:v>
                </c:pt>
                <c:pt idx="5">
                  <c:v>Environment</c:v>
                </c:pt>
              </c:strCache>
            </c:strRef>
          </c:cat>
          <c:val>
            <c:numRef>
              <c:f>Sheet6!$I$25:$I$31</c:f>
              <c:numCache>
                <c:formatCode>0%</c:formatCode>
                <c:ptCount val="7"/>
                <c:pt idx="0">
                  <c:v>0.88000000000000012</c:v>
                </c:pt>
                <c:pt idx="1">
                  <c:v>0.70000000000000018</c:v>
                </c:pt>
                <c:pt idx="2">
                  <c:v>0.21000000000000005</c:v>
                </c:pt>
                <c:pt idx="3">
                  <c:v>0.67000000000000026</c:v>
                </c:pt>
                <c:pt idx="4">
                  <c:v>0.58000000000000007</c:v>
                </c:pt>
                <c:pt idx="5">
                  <c:v>0.53</c:v>
                </c:pt>
              </c:numCache>
            </c:numRef>
          </c:val>
          <c:extLst xmlns:c16r2="http://schemas.microsoft.com/office/drawing/2015/06/chart">
            <c:ext xmlns:c16="http://schemas.microsoft.com/office/drawing/2014/chart" uri="{C3380CC4-5D6E-409C-BE32-E72D297353CC}">
              <c16:uniqueId val="{00000004-20E3-4C62-929D-47C413037426}"/>
            </c:ext>
          </c:extLst>
        </c:ser>
        <c:dLbls>
          <c:showLegendKey val="0"/>
          <c:showVal val="0"/>
          <c:showCatName val="0"/>
          <c:showSerName val="0"/>
          <c:showPercent val="0"/>
          <c:showBubbleSize val="0"/>
        </c:dLbls>
        <c:gapWidth val="182"/>
        <c:axId val="317475456"/>
        <c:axId val="317477248"/>
      </c:barChart>
      <c:catAx>
        <c:axId val="31747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17477248"/>
        <c:crosses val="autoZero"/>
        <c:auto val="1"/>
        <c:lblAlgn val="ctr"/>
        <c:lblOffset val="100"/>
        <c:noMultiLvlLbl val="0"/>
      </c:catAx>
      <c:valAx>
        <c:axId val="317477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3174754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Sheet4!$J$9</c:f>
              <c:strCache>
                <c:ptCount val="1"/>
                <c:pt idx="0">
                  <c:v>EXIM</c:v>
                </c:pt>
              </c:strCache>
            </c:strRef>
          </c:tx>
          <c:spPr>
            <a:solidFill>
              <a:schemeClr val="accent1"/>
            </a:solidFill>
            <a:ln>
              <a:noFill/>
            </a:ln>
            <a:effectLst/>
          </c:spPr>
          <c:invertIfNegative val="0"/>
          <c:cat>
            <c:strRef>
              <c:f>Sheet4!$C$10:$F$18</c:f>
              <c:strCache>
                <c:ptCount val="9"/>
                <c:pt idx="1">
                  <c:v>Corporate vision</c:v>
                </c:pt>
                <c:pt idx="2">
                  <c:v>Top Management</c:v>
                </c:pt>
                <c:pt idx="3">
                  <c:v>Shariah Compliant</c:v>
                </c:pt>
                <c:pt idx="4">
                  <c:v>Product &amp; fair dealing with supply chain</c:v>
                </c:pt>
                <c:pt idx="5">
                  <c:v>Strategic social development</c:v>
                </c:pt>
                <c:pt idx="6">
                  <c:v>Employees</c:v>
                </c:pt>
                <c:pt idx="7">
                  <c:v>Research, development and training</c:v>
                </c:pt>
                <c:pt idx="8">
                  <c:v>Environment</c:v>
                </c:pt>
              </c:strCache>
            </c:strRef>
          </c:cat>
          <c:val>
            <c:numRef>
              <c:f>Sheet4!$J$10:$J$18</c:f>
              <c:numCache>
                <c:formatCode>0%</c:formatCode>
                <c:ptCount val="9"/>
                <c:pt idx="1">
                  <c:v>0.75000000000000022</c:v>
                </c:pt>
                <c:pt idx="2">
                  <c:v>0.7333333333333335</c:v>
                </c:pt>
                <c:pt idx="3">
                  <c:v>0.5</c:v>
                </c:pt>
                <c:pt idx="4">
                  <c:v>0.25</c:v>
                </c:pt>
                <c:pt idx="5">
                  <c:v>0.69230769230769251</c:v>
                </c:pt>
                <c:pt idx="6">
                  <c:v>0.3000000000000001</c:v>
                </c:pt>
                <c:pt idx="7">
                  <c:v>0.2</c:v>
                </c:pt>
                <c:pt idx="8">
                  <c:v>0.62500000000000022</c:v>
                </c:pt>
              </c:numCache>
            </c:numRef>
          </c:val>
          <c:extLst xmlns:c16r2="http://schemas.microsoft.com/office/drawing/2015/06/chart">
            <c:ext xmlns:c16="http://schemas.microsoft.com/office/drawing/2014/chart" uri="{C3380CC4-5D6E-409C-BE32-E72D297353CC}">
              <c16:uniqueId val="{00000000-3B49-4263-B3E1-39EEAD690C9B}"/>
            </c:ext>
          </c:extLst>
        </c:ser>
        <c:ser>
          <c:idx val="1"/>
          <c:order val="1"/>
          <c:tx>
            <c:strRef>
              <c:f>Sheet4!$K$9</c:f>
              <c:strCache>
                <c:ptCount val="1"/>
                <c:pt idx="0">
                  <c:v>IBBL</c:v>
                </c:pt>
              </c:strCache>
            </c:strRef>
          </c:tx>
          <c:spPr>
            <a:solidFill>
              <a:schemeClr val="accent2"/>
            </a:solidFill>
            <a:ln>
              <a:noFill/>
            </a:ln>
            <a:effectLst/>
          </c:spPr>
          <c:invertIfNegative val="0"/>
          <c:cat>
            <c:strRef>
              <c:f>Sheet4!$C$10:$F$18</c:f>
              <c:strCache>
                <c:ptCount val="9"/>
                <c:pt idx="1">
                  <c:v>Corporate vision</c:v>
                </c:pt>
                <c:pt idx="2">
                  <c:v>Top Management</c:v>
                </c:pt>
                <c:pt idx="3">
                  <c:v>Shariah Compliant</c:v>
                </c:pt>
                <c:pt idx="4">
                  <c:v>Product &amp; fair dealing with supply chain</c:v>
                </c:pt>
                <c:pt idx="5">
                  <c:v>Strategic social development</c:v>
                </c:pt>
                <c:pt idx="6">
                  <c:v>Employees</c:v>
                </c:pt>
                <c:pt idx="7">
                  <c:v>Research, development and training</c:v>
                </c:pt>
                <c:pt idx="8">
                  <c:v>Environment</c:v>
                </c:pt>
              </c:strCache>
            </c:strRef>
          </c:cat>
          <c:val>
            <c:numRef>
              <c:f>Sheet4!$K$10:$K$18</c:f>
              <c:numCache>
                <c:formatCode>0%</c:formatCode>
                <c:ptCount val="9"/>
                <c:pt idx="1">
                  <c:v>1</c:v>
                </c:pt>
                <c:pt idx="2">
                  <c:v>0.93333333333333335</c:v>
                </c:pt>
                <c:pt idx="3">
                  <c:v>0.78571428571428559</c:v>
                </c:pt>
                <c:pt idx="4">
                  <c:v>0.37500000000000011</c:v>
                </c:pt>
                <c:pt idx="5">
                  <c:v>0.76923076923076927</c:v>
                </c:pt>
                <c:pt idx="6">
                  <c:v>0.70000000000000018</c:v>
                </c:pt>
                <c:pt idx="7">
                  <c:v>0.4</c:v>
                </c:pt>
                <c:pt idx="8">
                  <c:v>0.87500000000000022</c:v>
                </c:pt>
              </c:numCache>
            </c:numRef>
          </c:val>
          <c:extLst xmlns:c16r2="http://schemas.microsoft.com/office/drawing/2015/06/chart">
            <c:ext xmlns:c16="http://schemas.microsoft.com/office/drawing/2014/chart" uri="{C3380CC4-5D6E-409C-BE32-E72D297353CC}">
              <c16:uniqueId val="{00000001-3B49-4263-B3E1-39EEAD690C9B}"/>
            </c:ext>
          </c:extLst>
        </c:ser>
        <c:ser>
          <c:idx val="2"/>
          <c:order val="2"/>
          <c:tx>
            <c:strRef>
              <c:f>Sheet4!$L$9</c:f>
              <c:strCache>
                <c:ptCount val="1"/>
                <c:pt idx="0">
                  <c:v>FSIBL</c:v>
                </c:pt>
              </c:strCache>
            </c:strRef>
          </c:tx>
          <c:spPr>
            <a:solidFill>
              <a:schemeClr val="accent3"/>
            </a:solidFill>
            <a:ln>
              <a:noFill/>
            </a:ln>
            <a:effectLst/>
          </c:spPr>
          <c:invertIfNegative val="0"/>
          <c:cat>
            <c:strRef>
              <c:f>Sheet4!$C$10:$F$18</c:f>
              <c:strCache>
                <c:ptCount val="9"/>
                <c:pt idx="1">
                  <c:v>Corporate vision</c:v>
                </c:pt>
                <c:pt idx="2">
                  <c:v>Top Management</c:v>
                </c:pt>
                <c:pt idx="3">
                  <c:v>Shariah Compliant</c:v>
                </c:pt>
                <c:pt idx="4">
                  <c:v>Product &amp; fair dealing with supply chain</c:v>
                </c:pt>
                <c:pt idx="5">
                  <c:v>Strategic social development</c:v>
                </c:pt>
                <c:pt idx="6">
                  <c:v>Employees</c:v>
                </c:pt>
                <c:pt idx="7">
                  <c:v>Research, development and training</c:v>
                </c:pt>
                <c:pt idx="8">
                  <c:v>Environment</c:v>
                </c:pt>
              </c:strCache>
            </c:strRef>
          </c:cat>
          <c:val>
            <c:numRef>
              <c:f>Sheet4!$L$10:$L$18</c:f>
              <c:numCache>
                <c:formatCode>0%</c:formatCode>
                <c:ptCount val="9"/>
                <c:pt idx="1">
                  <c:v>0.75000000000000022</c:v>
                </c:pt>
                <c:pt idx="2">
                  <c:v>0.66666666666666663</c:v>
                </c:pt>
                <c:pt idx="3">
                  <c:v>0.5</c:v>
                </c:pt>
                <c:pt idx="4">
                  <c:v>0</c:v>
                </c:pt>
                <c:pt idx="5">
                  <c:v>0.61538461538461564</c:v>
                </c:pt>
                <c:pt idx="6">
                  <c:v>0.8</c:v>
                </c:pt>
                <c:pt idx="7">
                  <c:v>0.6000000000000002</c:v>
                </c:pt>
                <c:pt idx="8">
                  <c:v>0.25</c:v>
                </c:pt>
              </c:numCache>
            </c:numRef>
          </c:val>
          <c:extLst xmlns:c16r2="http://schemas.microsoft.com/office/drawing/2015/06/chart">
            <c:ext xmlns:c16="http://schemas.microsoft.com/office/drawing/2014/chart" uri="{C3380CC4-5D6E-409C-BE32-E72D297353CC}">
              <c16:uniqueId val="{00000002-3B49-4263-B3E1-39EEAD690C9B}"/>
            </c:ext>
          </c:extLst>
        </c:ser>
        <c:ser>
          <c:idx val="3"/>
          <c:order val="3"/>
          <c:tx>
            <c:strRef>
              <c:f>Sheet4!$M$9</c:f>
              <c:strCache>
                <c:ptCount val="1"/>
                <c:pt idx="0">
                  <c:v>AIBL</c:v>
                </c:pt>
              </c:strCache>
            </c:strRef>
          </c:tx>
          <c:spPr>
            <a:solidFill>
              <a:schemeClr val="accent4"/>
            </a:solidFill>
            <a:ln>
              <a:noFill/>
            </a:ln>
            <a:effectLst/>
          </c:spPr>
          <c:invertIfNegative val="0"/>
          <c:cat>
            <c:strRef>
              <c:f>Sheet4!$C$10:$F$18</c:f>
              <c:strCache>
                <c:ptCount val="9"/>
                <c:pt idx="1">
                  <c:v>Corporate vision</c:v>
                </c:pt>
                <c:pt idx="2">
                  <c:v>Top Management</c:v>
                </c:pt>
                <c:pt idx="3">
                  <c:v>Shariah Compliant</c:v>
                </c:pt>
                <c:pt idx="4">
                  <c:v>Product &amp; fair dealing with supply chain</c:v>
                </c:pt>
                <c:pt idx="5">
                  <c:v>Strategic social development</c:v>
                </c:pt>
                <c:pt idx="6">
                  <c:v>Employees</c:v>
                </c:pt>
                <c:pt idx="7">
                  <c:v>Research, development and training</c:v>
                </c:pt>
                <c:pt idx="8">
                  <c:v>Environment</c:v>
                </c:pt>
              </c:strCache>
            </c:strRef>
          </c:cat>
          <c:val>
            <c:numRef>
              <c:f>Sheet4!$M$10:$M$18</c:f>
              <c:numCache>
                <c:formatCode>0%</c:formatCode>
                <c:ptCount val="9"/>
                <c:pt idx="1">
                  <c:v>1</c:v>
                </c:pt>
                <c:pt idx="2">
                  <c:v>0.66666666666666663</c:v>
                </c:pt>
                <c:pt idx="3">
                  <c:v>0.6428571428571429</c:v>
                </c:pt>
                <c:pt idx="4">
                  <c:v>0.37500000000000011</c:v>
                </c:pt>
                <c:pt idx="5">
                  <c:v>0.53846153846153844</c:v>
                </c:pt>
                <c:pt idx="6">
                  <c:v>0.5</c:v>
                </c:pt>
                <c:pt idx="7">
                  <c:v>0.6000000000000002</c:v>
                </c:pt>
                <c:pt idx="8">
                  <c:v>0.5</c:v>
                </c:pt>
              </c:numCache>
            </c:numRef>
          </c:val>
          <c:extLst xmlns:c16r2="http://schemas.microsoft.com/office/drawing/2015/06/chart">
            <c:ext xmlns:c16="http://schemas.microsoft.com/office/drawing/2014/chart" uri="{C3380CC4-5D6E-409C-BE32-E72D297353CC}">
              <c16:uniqueId val="{00000003-3B49-4263-B3E1-39EEAD690C9B}"/>
            </c:ext>
          </c:extLst>
        </c:ser>
        <c:ser>
          <c:idx val="4"/>
          <c:order val="4"/>
          <c:tx>
            <c:strRef>
              <c:f>Sheet4!$N$9</c:f>
              <c:strCache>
                <c:ptCount val="1"/>
                <c:pt idx="0">
                  <c:v>SIBL</c:v>
                </c:pt>
              </c:strCache>
            </c:strRef>
          </c:tx>
          <c:spPr>
            <a:solidFill>
              <a:schemeClr val="accent5"/>
            </a:solidFill>
            <a:ln>
              <a:noFill/>
            </a:ln>
            <a:effectLst/>
          </c:spPr>
          <c:invertIfNegative val="0"/>
          <c:cat>
            <c:strRef>
              <c:f>Sheet4!$C$10:$F$18</c:f>
              <c:strCache>
                <c:ptCount val="9"/>
                <c:pt idx="1">
                  <c:v>Corporate vision</c:v>
                </c:pt>
                <c:pt idx="2">
                  <c:v>Top Management</c:v>
                </c:pt>
                <c:pt idx="3">
                  <c:v>Shariah Compliant</c:v>
                </c:pt>
                <c:pt idx="4">
                  <c:v>Product &amp; fair dealing with supply chain</c:v>
                </c:pt>
                <c:pt idx="5">
                  <c:v>Strategic social development</c:v>
                </c:pt>
                <c:pt idx="6">
                  <c:v>Employees</c:v>
                </c:pt>
                <c:pt idx="7">
                  <c:v>Research, development and training</c:v>
                </c:pt>
                <c:pt idx="8">
                  <c:v>Environment</c:v>
                </c:pt>
              </c:strCache>
            </c:strRef>
          </c:cat>
          <c:val>
            <c:numRef>
              <c:f>Sheet4!$N$10:$N$18</c:f>
              <c:numCache>
                <c:formatCode>0%</c:formatCode>
                <c:ptCount val="9"/>
                <c:pt idx="1">
                  <c:v>0.75000000000000022</c:v>
                </c:pt>
                <c:pt idx="2">
                  <c:v>0.8666666666666667</c:v>
                </c:pt>
                <c:pt idx="3">
                  <c:v>0.6428571428571429</c:v>
                </c:pt>
                <c:pt idx="4">
                  <c:v>0.25</c:v>
                </c:pt>
                <c:pt idx="5">
                  <c:v>0.69230769230769251</c:v>
                </c:pt>
                <c:pt idx="6">
                  <c:v>0.8</c:v>
                </c:pt>
                <c:pt idx="7">
                  <c:v>0.4</c:v>
                </c:pt>
                <c:pt idx="8">
                  <c:v>0.5</c:v>
                </c:pt>
              </c:numCache>
            </c:numRef>
          </c:val>
          <c:extLst xmlns:c16r2="http://schemas.microsoft.com/office/drawing/2015/06/chart">
            <c:ext xmlns:c16="http://schemas.microsoft.com/office/drawing/2014/chart" uri="{C3380CC4-5D6E-409C-BE32-E72D297353CC}">
              <c16:uniqueId val="{00000004-3B49-4263-B3E1-39EEAD690C9B}"/>
            </c:ext>
          </c:extLst>
        </c:ser>
        <c:ser>
          <c:idx val="5"/>
          <c:order val="5"/>
          <c:tx>
            <c:strRef>
              <c:f>Sheet4!$O$9</c:f>
              <c:strCache>
                <c:ptCount val="1"/>
                <c:pt idx="0">
                  <c:v>SJIBL</c:v>
                </c:pt>
              </c:strCache>
            </c:strRef>
          </c:tx>
          <c:spPr>
            <a:solidFill>
              <a:schemeClr val="accent6"/>
            </a:solidFill>
            <a:ln>
              <a:noFill/>
            </a:ln>
            <a:effectLst/>
          </c:spPr>
          <c:invertIfNegative val="0"/>
          <c:cat>
            <c:strRef>
              <c:f>Sheet4!$C$10:$F$18</c:f>
              <c:strCache>
                <c:ptCount val="9"/>
                <c:pt idx="1">
                  <c:v>Corporate vision</c:v>
                </c:pt>
                <c:pt idx="2">
                  <c:v>Top Management</c:v>
                </c:pt>
                <c:pt idx="3">
                  <c:v>Shariah Compliant</c:v>
                </c:pt>
                <c:pt idx="4">
                  <c:v>Product &amp; fair dealing with supply chain</c:v>
                </c:pt>
                <c:pt idx="5">
                  <c:v>Strategic social development</c:v>
                </c:pt>
                <c:pt idx="6">
                  <c:v>Employees</c:v>
                </c:pt>
                <c:pt idx="7">
                  <c:v>Research, development and training</c:v>
                </c:pt>
                <c:pt idx="8">
                  <c:v>Environment</c:v>
                </c:pt>
              </c:strCache>
            </c:strRef>
          </c:cat>
          <c:val>
            <c:numRef>
              <c:f>Sheet4!$O$10:$O$18</c:f>
              <c:numCache>
                <c:formatCode>0%</c:formatCode>
                <c:ptCount val="9"/>
                <c:pt idx="1">
                  <c:v>1</c:v>
                </c:pt>
                <c:pt idx="2">
                  <c:v>0.8</c:v>
                </c:pt>
                <c:pt idx="3">
                  <c:v>0.57142857142857173</c:v>
                </c:pt>
                <c:pt idx="4">
                  <c:v>0</c:v>
                </c:pt>
                <c:pt idx="5">
                  <c:v>0.69230769230769251</c:v>
                </c:pt>
                <c:pt idx="6">
                  <c:v>0.9</c:v>
                </c:pt>
                <c:pt idx="7">
                  <c:v>0.2</c:v>
                </c:pt>
                <c:pt idx="8">
                  <c:v>0.37500000000000011</c:v>
                </c:pt>
              </c:numCache>
            </c:numRef>
          </c:val>
          <c:extLst xmlns:c16r2="http://schemas.microsoft.com/office/drawing/2015/06/chart">
            <c:ext xmlns:c16="http://schemas.microsoft.com/office/drawing/2014/chart" uri="{C3380CC4-5D6E-409C-BE32-E72D297353CC}">
              <c16:uniqueId val="{00000005-3B49-4263-B3E1-39EEAD690C9B}"/>
            </c:ext>
          </c:extLst>
        </c:ser>
        <c:dLbls>
          <c:showLegendKey val="0"/>
          <c:showVal val="0"/>
          <c:showCatName val="0"/>
          <c:showSerName val="0"/>
          <c:showPercent val="0"/>
          <c:showBubbleSize val="0"/>
        </c:dLbls>
        <c:gapWidth val="219"/>
        <c:overlap val="-27"/>
        <c:axId val="317503744"/>
        <c:axId val="317509632"/>
      </c:barChart>
      <c:catAx>
        <c:axId val="31750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8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317509632"/>
        <c:crosses val="autoZero"/>
        <c:auto val="1"/>
        <c:lblAlgn val="ctr"/>
        <c:lblOffset val="100"/>
        <c:noMultiLvlLbl val="0"/>
      </c:catAx>
      <c:valAx>
        <c:axId val="317509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1750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0.19645</cdr:x>
      <cdr:y>0.01587</cdr:y>
    </cdr:from>
    <cdr:to>
      <cdr:x>0.27841</cdr:x>
      <cdr:y>0.12285</cdr:y>
    </cdr:to>
    <cdr:sp macro="" textlink="">
      <cdr:nvSpPr>
        <cdr:cNvPr id="2" name="TextBox 1">
          <a:extLst xmlns:a="http://schemas.openxmlformats.org/drawingml/2006/main">
            <a:ext uri="{FF2B5EF4-FFF2-40B4-BE49-F238E27FC236}">
              <a16:creationId xmlns="" xmlns:a16="http://schemas.microsoft.com/office/drawing/2014/main" id="{44E9F06F-51B6-4E36-AC89-E3BA64105510}"/>
            </a:ext>
          </a:extLst>
        </cdr:cNvPr>
        <cdr:cNvSpPr txBox="1"/>
      </cdr:nvSpPr>
      <cdr:spPr>
        <a:xfrm xmlns:a="http://schemas.openxmlformats.org/drawingml/2006/main">
          <a:off x="1229369" y="28575"/>
          <a:ext cx="512900" cy="1925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en-US" sz="1100"/>
            <a:t>88%</a:t>
          </a:r>
        </a:p>
      </cdr:txBody>
    </cdr:sp>
  </cdr:relSizeAnchor>
  <cdr:relSizeAnchor xmlns:cdr="http://schemas.openxmlformats.org/drawingml/2006/chartDrawing">
    <cdr:from>
      <cdr:x>0.31087</cdr:x>
      <cdr:y>0.03774</cdr:y>
    </cdr:from>
    <cdr:to>
      <cdr:x>0.38407</cdr:x>
      <cdr:y>0.16402</cdr:y>
    </cdr:to>
    <cdr:sp macro="" textlink="">
      <cdr:nvSpPr>
        <cdr:cNvPr id="4" name="TextBox 3">
          <a:extLst xmlns:a="http://schemas.openxmlformats.org/drawingml/2006/main">
            <a:ext uri="{FF2B5EF4-FFF2-40B4-BE49-F238E27FC236}">
              <a16:creationId xmlns="" xmlns:a16="http://schemas.microsoft.com/office/drawing/2014/main" id="{09AAD489-26DB-49B1-99B7-B776EF3CC609}"/>
            </a:ext>
          </a:extLst>
        </cdr:cNvPr>
        <cdr:cNvSpPr txBox="1"/>
      </cdr:nvSpPr>
      <cdr:spPr>
        <a:xfrm xmlns:a="http://schemas.openxmlformats.org/drawingml/2006/main">
          <a:off x="1945427" y="67939"/>
          <a:ext cx="458080" cy="2273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78%</a:t>
          </a:r>
        </a:p>
      </cdr:txBody>
    </cdr:sp>
  </cdr:relSizeAnchor>
  <cdr:relSizeAnchor xmlns:cdr="http://schemas.openxmlformats.org/drawingml/2006/chartDrawing">
    <cdr:from>
      <cdr:x>0.40284</cdr:x>
      <cdr:y>0.10685</cdr:y>
    </cdr:from>
    <cdr:to>
      <cdr:x>0.47605</cdr:x>
      <cdr:y>0.21977</cdr:y>
    </cdr:to>
    <cdr:sp macro="" textlink="">
      <cdr:nvSpPr>
        <cdr:cNvPr id="5" name="TextBox 4">
          <a:extLst xmlns:a="http://schemas.openxmlformats.org/drawingml/2006/main">
            <a:ext uri="{FF2B5EF4-FFF2-40B4-BE49-F238E27FC236}">
              <a16:creationId xmlns="" xmlns:a16="http://schemas.microsoft.com/office/drawing/2014/main" id="{33FBA0E7-B6C6-444E-B7AB-E58C5CF08C72}"/>
            </a:ext>
          </a:extLst>
        </cdr:cNvPr>
        <cdr:cNvSpPr txBox="1"/>
      </cdr:nvSpPr>
      <cdr:spPr>
        <a:xfrm xmlns:a="http://schemas.openxmlformats.org/drawingml/2006/main">
          <a:off x="2520943" y="192360"/>
          <a:ext cx="458142" cy="203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61%</a:t>
          </a:r>
        </a:p>
      </cdr:txBody>
    </cdr:sp>
  </cdr:relSizeAnchor>
  <cdr:relSizeAnchor xmlns:cdr="http://schemas.openxmlformats.org/drawingml/2006/chartDrawing">
    <cdr:from>
      <cdr:x>0.49363</cdr:x>
      <cdr:y>0.1705</cdr:y>
    </cdr:from>
    <cdr:to>
      <cdr:x>0.57637</cdr:x>
      <cdr:y>0.33265</cdr:y>
    </cdr:to>
    <cdr:sp macro="" textlink="">
      <cdr:nvSpPr>
        <cdr:cNvPr id="6" name="TextBox 5">
          <a:extLst xmlns:a="http://schemas.openxmlformats.org/drawingml/2006/main">
            <a:ext uri="{FF2B5EF4-FFF2-40B4-BE49-F238E27FC236}">
              <a16:creationId xmlns="" xmlns:a16="http://schemas.microsoft.com/office/drawing/2014/main" id="{E7E0FBAE-9DE1-457A-B9D2-D603D20F6C76}"/>
            </a:ext>
          </a:extLst>
        </cdr:cNvPr>
        <cdr:cNvSpPr txBox="1"/>
      </cdr:nvSpPr>
      <cdr:spPr>
        <a:xfrm xmlns:a="http://schemas.openxmlformats.org/drawingml/2006/main">
          <a:off x="2987854" y="298174"/>
          <a:ext cx="500780" cy="283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21%</a:t>
          </a:r>
        </a:p>
      </cdr:txBody>
    </cdr:sp>
  </cdr:relSizeAnchor>
  <cdr:relSizeAnchor xmlns:cdr="http://schemas.openxmlformats.org/drawingml/2006/chartDrawing">
    <cdr:from>
      <cdr:x>0.59507</cdr:x>
      <cdr:y>0.11008</cdr:y>
    </cdr:from>
    <cdr:to>
      <cdr:x>0.67413</cdr:x>
      <cdr:y>0.22778</cdr:y>
    </cdr:to>
    <cdr:sp macro="" textlink="">
      <cdr:nvSpPr>
        <cdr:cNvPr id="7" name="TextBox 6">
          <a:extLst xmlns:a="http://schemas.openxmlformats.org/drawingml/2006/main">
            <a:ext uri="{FF2B5EF4-FFF2-40B4-BE49-F238E27FC236}">
              <a16:creationId xmlns="" xmlns:a16="http://schemas.microsoft.com/office/drawing/2014/main" id="{58895EF0-B89F-49DC-8D84-9403D566E47C}"/>
            </a:ext>
          </a:extLst>
        </cdr:cNvPr>
        <cdr:cNvSpPr txBox="1"/>
      </cdr:nvSpPr>
      <cdr:spPr>
        <a:xfrm xmlns:a="http://schemas.openxmlformats.org/drawingml/2006/main">
          <a:off x="3854246" y="188730"/>
          <a:ext cx="512071" cy="2017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67%</a:t>
          </a:r>
        </a:p>
      </cdr:txBody>
    </cdr:sp>
  </cdr:relSizeAnchor>
  <cdr:relSizeAnchor xmlns:cdr="http://schemas.openxmlformats.org/drawingml/2006/chartDrawing">
    <cdr:from>
      <cdr:x>0.70705</cdr:x>
      <cdr:y>0.08641</cdr:y>
    </cdr:from>
    <cdr:to>
      <cdr:x>0.79104</cdr:x>
      <cdr:y>0.18675</cdr:y>
    </cdr:to>
    <cdr:sp macro="" textlink="">
      <cdr:nvSpPr>
        <cdr:cNvPr id="8" name="TextBox 7">
          <a:extLst xmlns:a="http://schemas.openxmlformats.org/drawingml/2006/main">
            <a:ext uri="{FF2B5EF4-FFF2-40B4-BE49-F238E27FC236}">
              <a16:creationId xmlns="" xmlns:a16="http://schemas.microsoft.com/office/drawing/2014/main" id="{B313301A-78DB-42FD-BBD3-8147FFA95CA2}"/>
            </a:ext>
          </a:extLst>
        </cdr:cNvPr>
        <cdr:cNvSpPr txBox="1"/>
      </cdr:nvSpPr>
      <cdr:spPr>
        <a:xfrm xmlns:a="http://schemas.openxmlformats.org/drawingml/2006/main">
          <a:off x="4579551" y="148152"/>
          <a:ext cx="544004" cy="1720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67%</a:t>
          </a:r>
        </a:p>
      </cdr:txBody>
    </cdr:sp>
  </cdr:relSizeAnchor>
  <cdr:relSizeAnchor xmlns:cdr="http://schemas.openxmlformats.org/drawingml/2006/chartDrawing">
    <cdr:from>
      <cdr:x>0.79182</cdr:x>
      <cdr:y>0.13803</cdr:y>
    </cdr:from>
    <cdr:to>
      <cdr:x>0.86063</cdr:x>
      <cdr:y>0.27222</cdr:y>
    </cdr:to>
    <cdr:sp macro="" textlink="">
      <cdr:nvSpPr>
        <cdr:cNvPr id="9" name="TextBox 8">
          <a:extLst xmlns:a="http://schemas.openxmlformats.org/drawingml/2006/main">
            <a:ext uri="{FF2B5EF4-FFF2-40B4-BE49-F238E27FC236}">
              <a16:creationId xmlns="" xmlns:a16="http://schemas.microsoft.com/office/drawing/2014/main" id="{4475890A-A729-4A3B-91F3-8EA9411F6EFE}"/>
            </a:ext>
          </a:extLst>
        </cdr:cNvPr>
        <cdr:cNvSpPr txBox="1"/>
      </cdr:nvSpPr>
      <cdr:spPr>
        <a:xfrm xmlns:a="http://schemas.openxmlformats.org/drawingml/2006/main">
          <a:off x="5128607" y="236661"/>
          <a:ext cx="445682" cy="2300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40%</a:t>
          </a:r>
        </a:p>
      </cdr:txBody>
    </cdr:sp>
  </cdr:relSizeAnchor>
  <cdr:relSizeAnchor xmlns:cdr="http://schemas.openxmlformats.org/drawingml/2006/chartDrawing">
    <cdr:from>
      <cdr:x>0.89867</cdr:x>
      <cdr:y>0.07841</cdr:y>
    </cdr:from>
    <cdr:to>
      <cdr:x>0.96895</cdr:x>
      <cdr:y>0.1815</cdr:y>
    </cdr:to>
    <cdr:sp macro="" textlink="">
      <cdr:nvSpPr>
        <cdr:cNvPr id="10" name="TextBox 9">
          <a:extLst xmlns:a="http://schemas.openxmlformats.org/drawingml/2006/main">
            <a:ext uri="{FF2B5EF4-FFF2-40B4-BE49-F238E27FC236}">
              <a16:creationId xmlns="" xmlns:a16="http://schemas.microsoft.com/office/drawing/2014/main" id="{E8E262F3-6FA4-4C2D-B20B-3FF55C24D0EA}"/>
            </a:ext>
          </a:extLst>
        </cdr:cNvPr>
        <cdr:cNvSpPr txBox="1"/>
      </cdr:nvSpPr>
      <cdr:spPr>
        <a:xfrm xmlns:a="http://schemas.openxmlformats.org/drawingml/2006/main">
          <a:off x="5649483" y="202393"/>
          <a:ext cx="441815" cy="266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6282</Words>
  <Characters>35812</Characters>
  <Application>Microsoft Office Word</Application>
  <DocSecurity>0</DocSecurity>
  <Lines>298</Lines>
  <Paragraphs>84</Paragraphs>
  <ScaleCrop>false</ScaleCrop>
  <Company/>
  <LinksUpToDate>false</LinksUpToDate>
  <CharactersWithSpaces>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ATIQUR RAHMAN</dc:creator>
  <cp:lastModifiedBy>MOHAMMAD ATIQUR RAHMAN</cp:lastModifiedBy>
  <cp:revision>6</cp:revision>
  <dcterms:created xsi:type="dcterms:W3CDTF">2019-01-07T08:45:00Z</dcterms:created>
  <dcterms:modified xsi:type="dcterms:W3CDTF">2019-01-12T06:44:00Z</dcterms:modified>
</cp:coreProperties>
</file>